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_GBK" w:eastAsia="方正小标宋_GBK" w:cs="方正小标宋_GBK"/>
          <w:b w:val="0"/>
          <w:bCs w:val="0"/>
          <w:color w:val="auto"/>
          <w:spacing w:val="-4"/>
          <w:position w:val="2"/>
          <w:sz w:val="44"/>
          <w:szCs w:val="44"/>
          <w:lang w:eastAsia="zh-CN"/>
        </w:rPr>
      </w:pPr>
      <w:r>
        <w:rPr>
          <w:rFonts w:hint="eastAsia" w:ascii="方正小标宋_GBK" w:eastAsia="方正小标宋_GBK" w:cs="方正小标宋_GBK"/>
          <w:b w:val="0"/>
          <w:bCs w:val="0"/>
          <w:color w:val="auto"/>
          <w:spacing w:val="-4"/>
          <w:position w:val="2"/>
          <w:sz w:val="44"/>
          <w:szCs w:val="44"/>
          <w:lang w:eastAsia="zh-CN"/>
        </w:rPr>
        <w:t>小金县</w:t>
      </w:r>
      <w:r>
        <w:rPr>
          <w:rFonts w:hint="eastAsia" w:ascii="方正小标宋_GBK" w:eastAsia="方正小标宋_GBK" w:cs="方正小标宋_GBK"/>
          <w:b w:val="0"/>
          <w:bCs w:val="0"/>
          <w:color w:val="auto"/>
          <w:spacing w:val="-4"/>
          <w:position w:val="2"/>
          <w:sz w:val="44"/>
          <w:szCs w:val="44"/>
        </w:rPr>
        <w:t>行政许可事项清单（2025年版）</w:t>
      </w: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Times New Roman" w:hAnsi="Times New Roman" w:eastAsia="方正黑体_GBK" w:cs="黑体"/>
          <w:color w:val="auto"/>
          <w:spacing w:val="-1"/>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黑体"/>
          <w:color w:val="auto"/>
          <w:lang w:eastAsia="zh-CN"/>
        </w:rPr>
      </w:pPr>
      <w:r>
        <w:rPr>
          <w:rFonts w:ascii="Times New Roman" w:hAnsi="Times New Roman" w:eastAsia="方正黑体_GBK" w:cs="黑体"/>
          <w:color w:val="auto"/>
          <w:spacing w:val="-1"/>
          <w:sz w:val="28"/>
          <w:szCs w:val="28"/>
        </w:rPr>
        <w:t>一、我县实施的</w:t>
      </w:r>
      <w:r>
        <w:rPr>
          <w:rFonts w:hint="eastAsia" w:ascii="Times New Roman" w:hAnsi="Times New Roman" w:eastAsia="方正黑体_GBK" w:cs="黑体"/>
          <w:color w:val="auto"/>
          <w:spacing w:val="-1"/>
          <w:sz w:val="28"/>
          <w:szCs w:val="28"/>
          <w:lang w:eastAsia="zh-CN"/>
        </w:rPr>
        <w:t>中央、省级</w:t>
      </w:r>
      <w:r>
        <w:rPr>
          <w:rFonts w:ascii="Times New Roman" w:hAnsi="Times New Roman" w:eastAsia="方正黑体_GBK" w:cs="黑体"/>
          <w:color w:val="auto"/>
          <w:spacing w:val="-1"/>
          <w:sz w:val="28"/>
          <w:szCs w:val="28"/>
        </w:rPr>
        <w:t>层面设定的行政许可事项</w:t>
      </w:r>
    </w:p>
    <w:tbl>
      <w:tblPr>
        <w:tblStyle w:val="9"/>
        <w:tblW w:w="58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637"/>
        <w:gridCol w:w="2373"/>
        <w:gridCol w:w="1464"/>
        <w:gridCol w:w="1585"/>
        <w:gridCol w:w="3375"/>
        <w:gridCol w:w="4553"/>
        <w:gridCol w:w="17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tblHeader/>
          <w:jc w:val="center"/>
        </w:trPr>
        <w:tc>
          <w:tcPr>
            <w:tcW w:w="571"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b/>
                <w:bCs/>
                <w:color w:val="auto"/>
                <w:spacing w:val="0"/>
                <w:w w:val="100"/>
                <w:position w:val="0"/>
                <w:sz w:val="20"/>
                <w:szCs w:val="20"/>
                <w:lang w:eastAsia="zh-CN"/>
              </w:rPr>
            </w:pPr>
            <w:r>
              <w:rPr>
                <w:rFonts w:hint="eastAsia" w:ascii="方正仿宋_GBK" w:eastAsia="方正仿宋_GBK" w:cs="方正仿宋_GBK"/>
                <w:b/>
                <w:bCs/>
                <w:color w:val="auto"/>
                <w:spacing w:val="0"/>
                <w:w w:val="100"/>
                <w:position w:val="0"/>
                <w:sz w:val="20"/>
                <w:szCs w:val="20"/>
                <w:lang w:eastAsia="zh-CN"/>
              </w:rPr>
              <w:t>序号</w:t>
            </w:r>
          </w:p>
        </w:tc>
        <w:tc>
          <w:tcPr>
            <w:tcW w:w="637"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b/>
                <w:bCs/>
                <w:color w:val="auto"/>
                <w:spacing w:val="0"/>
                <w:w w:val="100"/>
                <w:position w:val="0"/>
                <w:sz w:val="20"/>
                <w:szCs w:val="20"/>
              </w:rPr>
            </w:pPr>
            <w:r>
              <w:rPr>
                <w:rFonts w:hint="eastAsia" w:ascii="方正仿宋_GBK" w:eastAsia="方正仿宋_GBK" w:cs="方正仿宋_GBK"/>
                <w:b/>
                <w:bCs/>
                <w:color w:val="auto"/>
                <w:spacing w:val="0"/>
                <w:w w:val="100"/>
                <w:position w:val="0"/>
                <w:sz w:val="20"/>
                <w:szCs w:val="20"/>
                <w:lang w:eastAsia="zh-CN"/>
              </w:rPr>
              <w:t>省级清单</w:t>
            </w:r>
            <w:r>
              <w:rPr>
                <w:rFonts w:hint="eastAsia" w:ascii="方正仿宋_GBK" w:eastAsia="方正仿宋_GBK" w:cs="方正仿宋_GBK"/>
                <w:b/>
                <w:bCs/>
                <w:color w:val="auto"/>
                <w:spacing w:val="0"/>
                <w:w w:val="100"/>
                <w:position w:val="0"/>
                <w:sz w:val="20"/>
                <w:szCs w:val="20"/>
              </w:rPr>
              <w:t>序号</w:t>
            </w:r>
          </w:p>
        </w:tc>
        <w:tc>
          <w:tcPr>
            <w:tcW w:w="2372"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b/>
                <w:bCs/>
                <w:color w:val="auto"/>
                <w:spacing w:val="0"/>
                <w:w w:val="100"/>
                <w:position w:val="0"/>
                <w:sz w:val="20"/>
                <w:szCs w:val="20"/>
              </w:rPr>
            </w:pPr>
            <w:r>
              <w:rPr>
                <w:rFonts w:hint="eastAsia" w:ascii="方正仿宋_GBK" w:eastAsia="方正仿宋_GBK" w:cs="方正仿宋_GBK"/>
                <w:b/>
                <w:bCs/>
                <w:color w:val="auto"/>
                <w:spacing w:val="0"/>
                <w:w w:val="100"/>
                <w:position w:val="0"/>
                <w:sz w:val="20"/>
                <w:szCs w:val="20"/>
              </w:rPr>
              <w:t>事项名称</w:t>
            </w:r>
          </w:p>
        </w:tc>
        <w:tc>
          <w:tcPr>
            <w:tcW w:w="1463"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b/>
                <w:bCs/>
                <w:color w:val="auto"/>
                <w:spacing w:val="0"/>
                <w:w w:val="100"/>
                <w:position w:val="0"/>
                <w:sz w:val="20"/>
                <w:szCs w:val="20"/>
              </w:rPr>
            </w:pPr>
            <w:r>
              <w:rPr>
                <w:rFonts w:hint="eastAsia" w:ascii="方正仿宋_GBK" w:eastAsia="方正仿宋_GBK" w:cs="方正仿宋_GBK"/>
                <w:b/>
                <w:bCs/>
                <w:color w:val="auto"/>
                <w:spacing w:val="0"/>
                <w:w w:val="100"/>
                <w:position w:val="0"/>
                <w:sz w:val="20"/>
                <w:szCs w:val="20"/>
              </w:rPr>
              <w:t>主管部门</w:t>
            </w:r>
          </w:p>
        </w:tc>
        <w:tc>
          <w:tcPr>
            <w:tcW w:w="1584"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b/>
                <w:bCs/>
                <w:color w:val="auto"/>
                <w:spacing w:val="0"/>
                <w:w w:val="100"/>
                <w:position w:val="0"/>
                <w:sz w:val="20"/>
                <w:szCs w:val="20"/>
              </w:rPr>
            </w:pPr>
            <w:r>
              <w:rPr>
                <w:rFonts w:hint="eastAsia" w:ascii="方正仿宋_GBK" w:eastAsia="方正仿宋_GBK" w:cs="方正仿宋_GBK"/>
                <w:b/>
                <w:bCs/>
                <w:color w:val="auto"/>
                <w:spacing w:val="0"/>
                <w:w w:val="100"/>
                <w:position w:val="0"/>
                <w:sz w:val="20"/>
                <w:szCs w:val="20"/>
              </w:rPr>
              <w:t>实施机关</w:t>
            </w:r>
          </w:p>
        </w:tc>
        <w:tc>
          <w:tcPr>
            <w:tcW w:w="3374"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b/>
                <w:bCs/>
                <w:color w:val="auto"/>
                <w:spacing w:val="0"/>
                <w:w w:val="100"/>
                <w:position w:val="0"/>
                <w:sz w:val="20"/>
                <w:szCs w:val="20"/>
              </w:rPr>
            </w:pPr>
            <w:r>
              <w:rPr>
                <w:rFonts w:hint="eastAsia" w:ascii="方正仿宋_GBK" w:eastAsia="方正仿宋_GBK" w:cs="方正仿宋_GBK"/>
                <w:b/>
                <w:bCs/>
                <w:color w:val="auto"/>
                <w:spacing w:val="0"/>
                <w:w w:val="100"/>
                <w:position w:val="0"/>
                <w:sz w:val="20"/>
                <w:szCs w:val="20"/>
              </w:rPr>
              <w:t>设定依据</w:t>
            </w:r>
          </w:p>
        </w:tc>
        <w:tc>
          <w:tcPr>
            <w:tcW w:w="4551"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b/>
                <w:bCs/>
                <w:color w:val="auto"/>
                <w:spacing w:val="0"/>
                <w:w w:val="100"/>
                <w:position w:val="0"/>
                <w:sz w:val="20"/>
                <w:szCs w:val="20"/>
              </w:rPr>
            </w:pPr>
            <w:r>
              <w:rPr>
                <w:rFonts w:hint="eastAsia" w:ascii="方正仿宋_GBK" w:eastAsia="方正仿宋_GBK" w:cs="方正仿宋_GBK"/>
                <w:b/>
                <w:bCs/>
                <w:color w:val="auto"/>
                <w:spacing w:val="0"/>
                <w:w w:val="100"/>
                <w:position w:val="0"/>
                <w:sz w:val="20"/>
                <w:szCs w:val="20"/>
              </w:rPr>
              <w:t>实施依据</w:t>
            </w:r>
          </w:p>
        </w:tc>
        <w:tc>
          <w:tcPr>
            <w:tcW w:w="1701"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b/>
                <w:bCs/>
                <w:color w:val="auto"/>
                <w:spacing w:val="0"/>
                <w:w w:val="100"/>
                <w:position w:val="0"/>
                <w:sz w:val="20"/>
                <w:szCs w:val="20"/>
              </w:rPr>
            </w:pPr>
            <w:r>
              <w:rPr>
                <w:rFonts w:hint="eastAsia" w:ascii="方正仿宋_GBK" w:eastAsia="方正仿宋_GBK" w:cs="方正仿宋_GBK"/>
                <w:b/>
                <w:bCs/>
                <w:color w:val="auto"/>
                <w:spacing w:val="0"/>
                <w:w w:val="100"/>
                <w:position w:val="0"/>
                <w:sz w:val="20"/>
                <w:szCs w:val="2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35"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固定资产投资项目节能审查</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发展改革</w:t>
            </w:r>
            <w:r>
              <w:rPr>
                <w:rFonts w:hint="eastAsia" w:ascii="方正仿宋_GBK" w:eastAsia="方正仿宋_GBK" w:cs="方正仿宋_GBK"/>
                <w:color w:val="auto"/>
                <w:spacing w:val="0"/>
                <w:w w:val="100"/>
                <w:position w:val="0"/>
                <w:sz w:val="20"/>
                <w:szCs w:val="20"/>
                <w:lang w:eastAsia="zh-CN"/>
              </w:rPr>
              <w:t>局</w:t>
            </w:r>
            <w:r>
              <w:rPr>
                <w:rFonts w:hint="eastAsia" w:ascii="方正仿宋_GBK" w:eastAsia="方正仿宋_GBK" w:cs="方正仿宋_GBK"/>
                <w:color w:val="auto"/>
                <w:spacing w:val="0"/>
                <w:w w:val="100"/>
                <w:position w:val="0"/>
                <w:sz w:val="20"/>
                <w:szCs w:val="20"/>
              </w:rPr>
              <w:t>、</w:t>
            </w: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经信</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8"/>
              <w:keepNext w:val="0"/>
              <w:keepLines w:val="0"/>
              <w:pageBreakBefore w:val="0"/>
              <w:widowControl/>
              <w:suppressLineNumbers w:val="0"/>
              <w:kinsoku/>
              <w:wordWrap/>
              <w:overflowPunct/>
              <w:topLinePunct w:val="0"/>
              <w:autoSpaceDE w:val="0"/>
              <w:autoSpaceDN w:val="0"/>
              <w:bidi w:val="0"/>
              <w:adjustRightInd w:val="0"/>
              <w:spacing w:before="0" w:beforeAutospacing="0" w:after="0" w:afterAutospacing="0"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snapToGrid w:val="0"/>
                <w:color w:val="auto"/>
                <w:spacing w:val="0"/>
                <w:w w:val="100"/>
                <w:kern w:val="0"/>
                <w:position w:val="0"/>
                <w:sz w:val="20"/>
                <w:szCs w:val="20"/>
                <w:lang w:val="en-US" w:bidi="ar-SA"/>
              </w:rPr>
              <w:t>县发展改革</w:t>
            </w:r>
            <w:r>
              <w:rPr>
                <w:rFonts w:hint="eastAsia" w:ascii="方正仿宋_GBK" w:eastAsia="方正仿宋_GBK" w:cs="方正仿宋_GBK"/>
                <w:snapToGrid w:val="0"/>
                <w:color w:val="auto"/>
                <w:spacing w:val="0"/>
                <w:w w:val="100"/>
                <w:kern w:val="0"/>
                <w:position w:val="0"/>
                <w:sz w:val="20"/>
                <w:szCs w:val="20"/>
                <w:lang w:val="en-US" w:eastAsia="zh-CN" w:bidi="ar-SA"/>
              </w:rPr>
              <w:t>局</w:t>
            </w:r>
            <w:r>
              <w:rPr>
                <w:rFonts w:hint="eastAsia" w:ascii="方正仿宋_GBK" w:eastAsia="方正仿宋_GBK" w:cs="方正仿宋_GBK"/>
                <w:snapToGrid w:val="0"/>
                <w:color w:val="auto"/>
                <w:spacing w:val="0"/>
                <w:w w:val="100"/>
                <w:kern w:val="0"/>
                <w:position w:val="0"/>
                <w:sz w:val="20"/>
                <w:szCs w:val="20"/>
                <w:lang w:val="en-US" w:bidi="ar-SA"/>
              </w:rPr>
              <w:t>（</w:t>
            </w:r>
            <w:r>
              <w:rPr>
                <w:rFonts w:hint="eastAsia" w:ascii="方正仿宋_GBK" w:eastAsia="方正仿宋_GBK" w:cs="方正仿宋_GBK"/>
                <w:snapToGrid w:val="0"/>
                <w:color w:val="auto"/>
                <w:spacing w:val="0"/>
                <w:w w:val="100"/>
                <w:kern w:val="0"/>
                <w:position w:val="0"/>
                <w:sz w:val="20"/>
                <w:szCs w:val="20"/>
                <w:lang w:val="en-US" w:eastAsia="zh-CN" w:bidi="ar-SA"/>
              </w:rPr>
              <w:t>非</w:t>
            </w:r>
            <w:r>
              <w:rPr>
                <w:rFonts w:hint="eastAsia" w:ascii="方正仿宋_GBK" w:eastAsia="方正仿宋_GBK" w:cs="方正仿宋_GBK"/>
                <w:snapToGrid w:val="0"/>
                <w:color w:val="auto"/>
                <w:spacing w:val="0"/>
                <w:w w:val="100"/>
                <w:kern w:val="0"/>
                <w:position w:val="0"/>
                <w:sz w:val="20"/>
                <w:szCs w:val="20"/>
                <w:lang w:val="en-US" w:bidi="ar-SA"/>
              </w:rPr>
              <w:t>技术改造类</w:t>
            </w:r>
            <w:r>
              <w:rPr>
                <w:rFonts w:hint="eastAsia" w:ascii="方正仿宋_GBK" w:eastAsia="方正仿宋_GBK" w:cs="方正仿宋_GBK"/>
                <w:snapToGrid w:val="0"/>
                <w:color w:val="auto"/>
                <w:spacing w:val="0"/>
                <w:w w:val="100"/>
                <w:kern w:val="0"/>
                <w:position w:val="0"/>
                <w:sz w:val="20"/>
                <w:szCs w:val="20"/>
                <w:lang w:val="en-US" w:eastAsia="zh-CN" w:bidi="ar-SA"/>
              </w:rPr>
              <w:t>）</w:t>
            </w:r>
            <w:r>
              <w:rPr>
                <w:rFonts w:hint="eastAsia" w:ascii="方正仿宋_GBK" w:eastAsia="方正仿宋_GBK" w:cs="方正仿宋_GBK"/>
                <w:snapToGrid w:val="0"/>
                <w:color w:val="auto"/>
                <w:spacing w:val="0"/>
                <w:w w:val="100"/>
                <w:kern w:val="0"/>
                <w:position w:val="0"/>
                <w:sz w:val="20"/>
                <w:szCs w:val="20"/>
                <w:lang w:val="en-US" w:bidi="ar-SA"/>
              </w:rPr>
              <w:t>；县经信</w:t>
            </w:r>
            <w:r>
              <w:rPr>
                <w:rFonts w:hint="eastAsia" w:ascii="方正仿宋_GBK" w:eastAsia="方正仿宋_GBK" w:cs="方正仿宋_GBK"/>
                <w:snapToGrid w:val="0"/>
                <w:color w:val="auto"/>
                <w:spacing w:val="0"/>
                <w:w w:val="100"/>
                <w:kern w:val="0"/>
                <w:position w:val="0"/>
                <w:sz w:val="20"/>
                <w:szCs w:val="20"/>
                <w:lang w:val="en-US" w:eastAsia="zh-CN" w:bidi="ar-SA"/>
              </w:rPr>
              <w:t>局</w:t>
            </w:r>
            <w:r>
              <w:rPr>
                <w:rFonts w:hint="eastAsia" w:ascii="方正仿宋_GBK" w:eastAsia="方正仿宋_GBK" w:cs="方正仿宋_GBK"/>
                <w:snapToGrid w:val="0"/>
                <w:color w:val="auto"/>
                <w:spacing w:val="0"/>
                <w:w w:val="100"/>
                <w:kern w:val="0"/>
                <w:position w:val="0"/>
                <w:sz w:val="20"/>
                <w:szCs w:val="20"/>
                <w:lang w:val="en-US" w:bidi="ar-SA"/>
              </w:rPr>
              <w:t>（技术改造类</w:t>
            </w:r>
            <w:r>
              <w:rPr>
                <w:rFonts w:hint="eastAsia" w:ascii="方正仿宋_GBK" w:eastAsia="方正仿宋_GBK" w:cs="方正仿宋_GBK"/>
                <w:snapToGrid w:val="0"/>
                <w:color w:val="auto"/>
                <w:spacing w:val="0"/>
                <w:w w:val="100"/>
                <w:kern w:val="0"/>
                <w:position w:val="0"/>
                <w:sz w:val="20"/>
                <w:szCs w:val="20"/>
                <w:lang w:val="en-US" w:eastAsia="zh-CN" w:bidi="ar-SA"/>
              </w:rPr>
              <w:t>）</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《中华人民共和国节约能源法》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《固定资产投资项目节能审查办法》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《节能监察办法》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《四川省〈中华人民共和国节约能源法〉实施办法》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00"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《四川省固定资产投资项目节能审查实施办法》（川发改环资规〔2023〕380号）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50"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民办、中外合作开办中等及以下学校和其他教育机构筹设审批</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县教育局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县</w:t>
            </w:r>
            <w:r>
              <w:rPr>
                <w:rFonts w:hint="eastAsia" w:ascii="方正仿宋_GBK" w:eastAsia="方正仿宋_GBK" w:cs="方正仿宋_GBK"/>
                <w:color w:val="auto"/>
                <w:spacing w:val="0"/>
                <w:w w:val="100"/>
                <w:position w:val="0"/>
                <w:sz w:val="20"/>
                <w:szCs w:val="20"/>
                <w:lang w:eastAsia="zh-CN"/>
              </w:rPr>
              <w:t>教育局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《中华人民共和国民办教育促进法》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《中华人民共和国民办教育促进法》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10"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《中华人民共和国中外合作办学条例》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《中华人民共和国中外合作办学条例》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10"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《国务院关于当前发展学前教育的若干意见》（国发〔2010〕41号）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7</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中等及以下学校和其他教育机构设置审批</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县教育局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县教育局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《中华人民共和国教育法》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《中华人民共和国民办教育促进法》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《中华人民共和国民办教育促进法》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《中华人民共和国中外合作办学条例》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《中华人民共和国中外合作办学条例》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《国务院关于当前发展学前教育的若干意见》（国发〔2010〕41号）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《中华人民共和国民办教育促进法实施条例》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《国务院办公厅关于规范校外培训机构发展的意见》（国办发〔2018〕80号）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12</w:t>
            </w:r>
          </w:p>
        </w:tc>
        <w:tc>
          <w:tcPr>
            <w:tcW w:w="2372"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从事文艺、体育等专业训练的社会组织自行实施义务教育审批</w:t>
            </w:r>
          </w:p>
        </w:tc>
        <w:tc>
          <w:tcPr>
            <w:tcW w:w="1463"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县教育局</w:t>
            </w:r>
          </w:p>
        </w:tc>
        <w:tc>
          <w:tcPr>
            <w:tcW w:w="158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县教育局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《中华人民共和国义务教育法》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《中华人民共和国义务教育法》</w:t>
            </w:r>
          </w:p>
        </w:tc>
        <w:tc>
          <w:tcPr>
            <w:tcW w:w="170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15</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校车使用许可</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县教育局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县政府（由</w:t>
            </w:r>
            <w:r>
              <w:rPr>
                <w:rFonts w:hint="eastAsia" w:ascii="方正仿宋_GBK" w:eastAsia="方正仿宋_GBK" w:cs="方正仿宋_GBK"/>
                <w:color w:val="auto"/>
                <w:spacing w:val="0"/>
                <w:w w:val="100"/>
                <w:position w:val="0"/>
                <w:sz w:val="20"/>
                <w:szCs w:val="20"/>
                <w:lang w:eastAsia="zh-CN"/>
              </w:rPr>
              <w:t>县教育局</w:t>
            </w:r>
            <w:r>
              <w:rPr>
                <w:rFonts w:hint="eastAsia" w:ascii="方正仿宋_GBK" w:eastAsia="方正仿宋_GBK" w:cs="方正仿宋_GBK"/>
                <w:color w:val="auto"/>
                <w:spacing w:val="0"/>
                <w:w w:val="100"/>
                <w:position w:val="0"/>
                <w:sz w:val="20"/>
                <w:szCs w:val="20"/>
              </w:rPr>
              <w:t>会同</w:t>
            </w: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r>
              <w:rPr>
                <w:rFonts w:hint="eastAsia" w:ascii="方正仿宋_GBK" w:eastAsia="方正仿宋_GBK" w:cs="方正仿宋_GBK"/>
                <w:color w:val="auto"/>
                <w:spacing w:val="0"/>
                <w:w w:val="100"/>
                <w:position w:val="0"/>
                <w:sz w:val="20"/>
                <w:szCs w:val="20"/>
              </w:rPr>
              <w:t>、县交通运输</w:t>
            </w:r>
            <w:r>
              <w:rPr>
                <w:rFonts w:hint="eastAsia" w:ascii="方正仿宋_GBK" w:eastAsia="方正仿宋_GBK" w:cs="方正仿宋_GBK"/>
                <w:color w:val="auto"/>
                <w:spacing w:val="0"/>
                <w:w w:val="100"/>
                <w:position w:val="0"/>
                <w:sz w:val="20"/>
                <w:szCs w:val="20"/>
                <w:lang w:eastAsia="zh-CN"/>
              </w:rPr>
              <w:t>局</w:t>
            </w:r>
            <w:r>
              <w:rPr>
                <w:rFonts w:hint="eastAsia" w:ascii="方正仿宋_GBK" w:eastAsia="方正仿宋_GBK" w:cs="方正仿宋_GBK"/>
                <w:color w:val="auto"/>
                <w:spacing w:val="0"/>
                <w:w w:val="100"/>
                <w:position w:val="0"/>
                <w:sz w:val="20"/>
                <w:szCs w:val="20"/>
              </w:rPr>
              <w:t>承办）</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《校车安全管理条例》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《校车安全管理条例》</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《四川省〈校车安全管理条例〉实施办法》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16</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教师资格认定</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县教育局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县教育局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《中华人民共和国教师法》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《中华人民共和国教师法》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《教师资格条例》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《教师资格条例》</w:t>
            </w: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《〈教师资格条例〉实施办法》</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000000" w:sz="2" w:space="0"/>
              <w:right w:val="single" w:color="000000" w:sz="2" w:space="0"/>
            </w:tcBorders>
            <w:noWrap/>
            <w:vAlign w:val="center"/>
          </w:tcPr>
          <w:p/>
        </w:tc>
        <w:tc>
          <w:tcPr>
            <w:tcW w:w="1463"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1584"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《国家职业资格目录（2021年版）》</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《四川省教师资格制度实施细则》（川教〔2004〕293号）</w:t>
            </w:r>
          </w:p>
        </w:tc>
        <w:tc>
          <w:tcPr>
            <w:tcW w:w="1701" w:type="dxa"/>
            <w:vMerge w:val="continue"/>
            <w:tcBorders>
              <w:top w:val="nil"/>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17</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适龄儿童、少年因身体状况需要延缓入学或者休学审批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县教育局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县教育局</w:t>
            </w:r>
            <w:r>
              <w:rPr>
                <w:rFonts w:hint="eastAsia" w:ascii="方正仿宋_GBK" w:eastAsia="方正仿宋_GBK" w:cs="方正仿宋_GBK"/>
                <w:color w:val="auto"/>
                <w:spacing w:val="0"/>
                <w:w w:val="100"/>
                <w:position w:val="0"/>
                <w:sz w:val="20"/>
                <w:szCs w:val="20"/>
              </w:rPr>
              <w:t>；</w:t>
            </w:r>
            <w:r>
              <w:rPr>
                <w:rFonts w:hint="eastAsia" w:ascii="方正仿宋_GBK" w:eastAsia="方正仿宋_GBK" w:cs="方正仿宋_GBK"/>
                <w:color w:val="auto"/>
                <w:spacing w:val="0"/>
                <w:w w:val="100"/>
                <w:position w:val="0"/>
                <w:sz w:val="20"/>
                <w:szCs w:val="20"/>
                <w:lang w:eastAsia="zh-CN"/>
              </w:rPr>
              <w:t>乡</w:t>
            </w:r>
            <w:r>
              <w:rPr>
                <w:rFonts w:hint="eastAsia" w:ascii="方正仿宋_GBK" w:eastAsia="方正仿宋_GBK" w:cs="方正仿宋_GBK"/>
                <w:color w:val="auto"/>
                <w:spacing w:val="0"/>
                <w:w w:val="100"/>
                <w:position w:val="0"/>
                <w:sz w:val="20"/>
                <w:szCs w:val="20"/>
              </w:rPr>
              <w:t>镇</w:t>
            </w:r>
            <w:r>
              <w:rPr>
                <w:rFonts w:hint="eastAsia" w:ascii="方正仿宋_GBK" w:eastAsia="方正仿宋_GBK" w:cs="方正仿宋_GBK"/>
                <w:color w:val="auto"/>
                <w:spacing w:val="0"/>
                <w:w w:val="100"/>
                <w:position w:val="0"/>
                <w:sz w:val="20"/>
                <w:szCs w:val="20"/>
                <w:lang w:eastAsia="zh-CN"/>
              </w:rPr>
              <w:t>人民</w:t>
            </w:r>
            <w:r>
              <w:rPr>
                <w:rFonts w:hint="eastAsia" w:ascii="方正仿宋_GBK" w:eastAsia="方正仿宋_GBK" w:cs="方正仿宋_GBK"/>
                <w:color w:val="auto"/>
                <w:spacing w:val="0"/>
                <w:w w:val="100"/>
                <w:position w:val="0"/>
                <w:sz w:val="20"/>
                <w:szCs w:val="20"/>
              </w:rPr>
              <w:t>政府</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《中华人民共和国义务教育法》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《中华人民共和国义务教育法》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43</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民用枪支及枪支主要零部件、弹药配置许可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《中华人民共和国枪支管理法》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《中华人民共和国枪支管理法》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《射击运动枪支配置办法》（公通字〔2000〕1号）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25"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《射击竞技体育运动枪支管理办法》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50</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举行集会游行示威许可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《中华人民共和国集会游行示威法》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《中华人民共和国集会游行示威法》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《中华人民共和国集会游行示威法实施条例》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《中华人民共和国集会游行示威法实施条例》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51</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大型群众性活动安全许可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《中华人民共和国消防法》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《大型群众性活动安全管理条例》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05"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《大型群众性活动安全管理条例》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《营业性演出管理条例》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52</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旅馆业特种行业许可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《旅馆业治安管理办法》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《国务院关于深化“证照分离”改革进一步激发市场主体发展活力的通知》（国发〔2021〕7号）</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restart"/>
            <w:tcBorders>
              <w:top w:val="single" w:color="000000" w:sz="2" w:space="0"/>
              <w:left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《公安部关于深化娱乐服务场所和特种行业治安管理改革进一步依法加强事中事后监管的工作意见》（公治〔2017〕529号）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75"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left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《四川省旅馆业治安管理办法》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56</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举办焰火晚会及其他大型焰火燃放活动许可</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《烟花爆竹安全管理条例》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《烟花爆竹安全管理条例》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《公安部办公厅关于贯彻执行〈大型焰火燃放作业人员资格条件及管理〉和〈大型焰火燃放作业单位资质条件及管理〉有关事项的通知》（公治〔2010〕592号）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57</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烟花爆竹道路运输许可</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r>
              <w:rPr>
                <w:rFonts w:hint="eastAsia" w:ascii="方正仿宋_GBK" w:eastAsia="方正仿宋_GBK" w:cs="方正仿宋_GBK"/>
                <w:color w:val="auto"/>
                <w:spacing w:val="0"/>
                <w:w w:val="100"/>
                <w:position w:val="0"/>
                <w:sz w:val="20"/>
                <w:szCs w:val="20"/>
              </w:rPr>
              <w:t>（运达地或者启运地）</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《烟花爆竹安全管理条例》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《烟花爆竹安全管理条例》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《关于优化烟花爆竹道路运输许可审批进一步深化烟花爆竹“放管服”改革工作的通知》（公治安明发〔2019〕218号）</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58</w:t>
            </w:r>
          </w:p>
        </w:tc>
        <w:tc>
          <w:tcPr>
            <w:tcW w:w="2372"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民用爆炸物品购买许可</w:t>
            </w:r>
          </w:p>
        </w:tc>
        <w:tc>
          <w:tcPr>
            <w:tcW w:w="1463"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《民用爆炸物品安全管理条例》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《民用爆炸物品安全管理条例》</w:t>
            </w:r>
          </w:p>
        </w:tc>
        <w:tc>
          <w:tcPr>
            <w:tcW w:w="170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59</w:t>
            </w:r>
          </w:p>
        </w:tc>
        <w:tc>
          <w:tcPr>
            <w:tcW w:w="2372"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民用爆炸物品运输许可</w:t>
            </w:r>
          </w:p>
        </w:tc>
        <w:tc>
          <w:tcPr>
            <w:tcW w:w="1463"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r>
              <w:rPr>
                <w:rFonts w:hint="eastAsia" w:ascii="方正仿宋_GBK" w:eastAsia="方正仿宋_GBK" w:cs="方正仿宋_GBK"/>
                <w:color w:val="auto"/>
                <w:spacing w:val="0"/>
                <w:w w:val="100"/>
                <w:position w:val="0"/>
                <w:sz w:val="20"/>
                <w:szCs w:val="20"/>
              </w:rPr>
              <w:t>（运达地）</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《民用爆炸物品安全管理条例》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《民用爆炸物品安全管理条例》</w:t>
            </w:r>
          </w:p>
        </w:tc>
        <w:tc>
          <w:tcPr>
            <w:tcW w:w="170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63</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剧毒化学品购买许可</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《危险化学品安全管理条例》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《危险化学品安全管理条例》</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《剧毒化学品购买和公路运输许可证件管理办法》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64</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剧毒化学品道路运输通行许可</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《危险化学品安全管理条例》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《危险化学品安全管理条例》</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《剧毒化学品购买和公路运输许可证件管理办法》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65</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放射性物品道路运输许可</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《中华人民共和国核安全法》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《中华人民共和国核安全法》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《放射性物品运输安全管理条例》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《放射性物品运输安全管理条例》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66</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运输危险化学品的车辆进入危险化学品运输车辆限制通行区域审批</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《危险化学品安全管理条例》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《危险化学品安全管理条例》</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《四川省公安厅关于进一步规范危险化学品运输车辆进入限制通行区域管理工作的通知》（川公发〔2018〕95号）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67</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易制毒化学品购买许可（除第一类中的药品类易制毒化学品外）</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《中华人民共和国禁毒法》</w:t>
            </w:r>
          </w:p>
        </w:tc>
        <w:tc>
          <w:tcPr>
            <w:tcW w:w="455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《易制毒化学品购销和运输管理办法》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《易制毒化学品管理条例》</w:t>
            </w:r>
          </w:p>
        </w:tc>
        <w:tc>
          <w:tcPr>
            <w:tcW w:w="4551" w:type="dxa"/>
            <w:vMerge w:val="continue"/>
            <w:tcBorders>
              <w:top w:val="single" w:color="auto" w:sz="4" w:space="0"/>
              <w:left w:val="single" w:color="auto" w:sz="4" w:space="0"/>
              <w:bottom w:val="single" w:color="auto" w:sz="4" w:space="0"/>
              <w:right w:val="single" w:color="auto" w:sz="4" w:space="0"/>
            </w:tcBorders>
            <w:noWrap/>
            <w:vAlign w:val="center"/>
          </w:tcP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68</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易制毒化学品运输许可</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《中华人民共和国禁毒法》</w:t>
            </w:r>
          </w:p>
        </w:tc>
        <w:tc>
          <w:tcPr>
            <w:tcW w:w="455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《易制毒化学品购销和运输管理办法》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《易制毒化学品管理条例》</w:t>
            </w:r>
          </w:p>
        </w:tc>
        <w:tc>
          <w:tcPr>
            <w:tcW w:w="4551" w:type="dxa"/>
            <w:vMerge w:val="continue"/>
            <w:tcBorders>
              <w:top w:val="single" w:color="auto" w:sz="4" w:space="0"/>
              <w:left w:val="single" w:color="auto" w:sz="4" w:space="0"/>
              <w:bottom w:val="single" w:color="auto" w:sz="4" w:space="0"/>
              <w:right w:val="single" w:color="auto" w:sz="4" w:space="0"/>
            </w:tcBorders>
            <w:noWrap/>
            <w:vAlign w:val="center"/>
          </w:tcP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69</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金融机构营业场所和金库安全防范设施建设方案审批</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《金融机构营业场所和金库安全防范设施建设许可实施办法》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《公安部办公厅关于深化治安管理“放管服”改革优化营商环境便民利民6项措施的补充通知》（公治〔2018〕711号）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《四川省公安厅关于印发〈关于深化金融机构营业场所和金库安全防范设施建设方案审批及工程验收行政许可改革的实施方案〉的通知》（川公规〔2024〕1号）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《四川省公安厅关于贯彻执行〈金融机构营业场所和金库安全防范设施建设许可实施办法〉的通知》（川公发〔2006〕63号）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70</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金融机构营业场所和金库安全防范设施建设工程验收</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《金融机构营业场所和金库安全防范设施建设许可实施办法》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《公安部办公厅关于印发〈深化治安管理“放管服”改革优化营商环境便民利民6项措施〉的补充通知》（公治〔2018〕711号）</w:t>
            </w:r>
          </w:p>
        </w:tc>
        <w:tc>
          <w:tcPr>
            <w:tcW w:w="1701" w:type="dxa"/>
            <w:vMerge w:val="continue"/>
            <w:tcBorders>
              <w:top w:val="single" w:color="auto" w:sz="4" w:space="0"/>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《四川省公安厅关于印发〈关于深化金融机构营业场所和金库安全防范设施建设方案审批及工程验收行政许可改革的实施方案〉的通知》（川公规〔2024〕1号）</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《四川省公安厅关于贯彻执行〈金融机构营业场所和金库安全防范设施建设许可实施办法〉的通知》（川公发〔2006〕63号）</w:t>
            </w:r>
          </w:p>
        </w:tc>
        <w:tc>
          <w:tcPr>
            <w:tcW w:w="1701" w:type="dxa"/>
            <w:vMerge w:val="continue"/>
            <w:tcBorders>
              <w:top w:val="nil"/>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72</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机动车登记</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《机动车登记规定》</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《中华人民共和国道路交通安全法实施条例》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《机动车登记工作规范》（公交管〔2022〕75号）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73</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机动车临时通行牌证核发</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《中华人民共和国道路交通安全法实施条例》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《机动车登记规定》</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《机动车登记工作规范》（公交管〔2022〕75号）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74</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机动车检验合格标志核发</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《机动车登记规定》</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《机动车登记工作规范》（公交管〔2022〕75号）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75</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机动车驾驶证核发、审验</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《机动车驾驶证申领和使用规定》</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《机动车驾驶证业务工作规范》</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76</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校车驾驶资格许可</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《校车安全管理条例》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《校车安全管理条例》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《机动车驾驶证申领和使用规定》</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《机动车驾驶证业务工作规范》</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77</w:t>
            </w:r>
          </w:p>
        </w:tc>
        <w:tc>
          <w:tcPr>
            <w:tcW w:w="2372"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非机动车登记</w:t>
            </w:r>
          </w:p>
        </w:tc>
        <w:tc>
          <w:tcPr>
            <w:tcW w:w="1463"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《四川省非机动车管理规定》</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78</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涉路施工交通安全审查</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《中华人民共和国公路法》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《中华人民共和国公路法》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《城市道路管理条例》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《城市道路管理条例》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79</w:t>
            </w:r>
          </w:p>
        </w:tc>
        <w:tc>
          <w:tcPr>
            <w:tcW w:w="2372"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户口迁移审批</w:t>
            </w:r>
          </w:p>
        </w:tc>
        <w:tc>
          <w:tcPr>
            <w:tcW w:w="1463"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《中华人民共和国户口登记条例》</w:t>
            </w: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《中华人民共和国户口登记条例》</w:t>
            </w:r>
          </w:p>
        </w:tc>
        <w:tc>
          <w:tcPr>
            <w:tcW w:w="1701"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25"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80</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犬类准养证核发</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《中华人民共和国动物防疫法》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《中华人民共和国传染病防治法实施办法》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60"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auto" w:sz="4" w:space="0"/>
            </w:tcBorders>
            <w:noWrap/>
            <w:vAlign w:val="center"/>
          </w:tcPr>
          <w:p/>
        </w:tc>
        <w:tc>
          <w:tcPr>
            <w:tcW w:w="3374" w:type="dxa"/>
            <w:vMerge w:val="continue"/>
            <w:tcBorders>
              <w:left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《四川省预防控制狂犬病条例》</w:t>
            </w:r>
          </w:p>
        </w:tc>
        <w:tc>
          <w:tcPr>
            <w:tcW w:w="1701" w:type="dxa"/>
            <w:vMerge w:val="continue"/>
            <w:tcBorders>
              <w:top w:val="single" w:color="auto" w:sz="4" w:space="0"/>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85"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auto" w:sz="4" w:space="0"/>
            </w:tcBorders>
            <w:noWrap/>
            <w:vAlign w:val="center"/>
          </w:tcPr>
          <w:p/>
        </w:tc>
        <w:tc>
          <w:tcPr>
            <w:tcW w:w="3374" w:type="dxa"/>
            <w:vMerge w:val="continue"/>
            <w:tcBorders>
              <w:left w:val="single" w:color="auto" w:sz="4" w:space="0"/>
              <w:right w:val="single" w:color="auto" w:sz="4"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《国务院办公厅转发公安部等部门关于进一步加强和改进城市养犬管理工作意见的通知》（国办发〔2019〕19号）</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83</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社会团体成立、变更、注销登记及修改章程核准</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民政</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县民政</w:t>
            </w:r>
            <w:r>
              <w:rPr>
                <w:rFonts w:hint="eastAsia" w:ascii="方正仿宋_GBK" w:eastAsia="方正仿宋_GBK" w:cs="方正仿宋_GBK"/>
                <w:color w:val="auto"/>
                <w:spacing w:val="0"/>
                <w:w w:val="100"/>
                <w:position w:val="0"/>
                <w:sz w:val="20"/>
                <w:szCs w:val="20"/>
                <w:lang w:eastAsia="zh-CN"/>
              </w:rPr>
              <w:t>局</w:t>
            </w:r>
            <w:r>
              <w:rPr>
                <w:rFonts w:hint="eastAsia" w:ascii="方正仿宋_GBK" w:eastAsia="方正仿宋_GBK" w:cs="方正仿宋_GBK"/>
                <w:color w:val="auto"/>
                <w:spacing w:val="0"/>
                <w:w w:val="100"/>
                <w:position w:val="0"/>
                <w:sz w:val="20"/>
                <w:szCs w:val="20"/>
              </w:rPr>
              <w:t>（实行登记管理机关和业务主管单位双重负责管理体制的，由有关业务主管单位实施前置审查）</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《社会团体登记管理条例》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《社会团体登记管理条例》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《社会组织名称管理办法》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《四川省社会组织名称管理办法》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84</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民办非企业单位成立、变更、注销登记及修改章程核准</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民政</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县民政局</w:t>
            </w:r>
            <w:r>
              <w:rPr>
                <w:rFonts w:hint="eastAsia" w:ascii="方正仿宋_GBK" w:eastAsia="方正仿宋_GBK" w:cs="方正仿宋_GBK"/>
                <w:color w:val="auto"/>
                <w:spacing w:val="0"/>
                <w:w w:val="100"/>
                <w:position w:val="0"/>
                <w:sz w:val="20"/>
                <w:szCs w:val="20"/>
              </w:rPr>
              <w:t>（实行登记管理机关和业务主管单位双重负责管理体制的，由有关业务主管单位实施前置审查）</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《民办非企业单位登记管理暂行条例》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《民办非企业单位登记管理暂行条例》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《社会组织名称管理办法》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《四川省社会组织名称管理办法》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85</w:t>
            </w:r>
          </w:p>
        </w:tc>
        <w:tc>
          <w:tcPr>
            <w:tcW w:w="2372"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宗教活动场所法人成立、变更、注销登记</w:t>
            </w:r>
          </w:p>
        </w:tc>
        <w:tc>
          <w:tcPr>
            <w:tcW w:w="1463"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县民政局</w:t>
            </w:r>
          </w:p>
        </w:tc>
        <w:tc>
          <w:tcPr>
            <w:tcW w:w="158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县民政局</w:t>
            </w:r>
            <w:r>
              <w:rPr>
                <w:rFonts w:hint="eastAsia" w:ascii="方正仿宋_GBK" w:eastAsia="方正仿宋_GBK" w:cs="方正仿宋_GBK"/>
                <w:color w:val="auto"/>
                <w:spacing w:val="0"/>
                <w:w w:val="100"/>
                <w:position w:val="0"/>
                <w:sz w:val="20"/>
                <w:szCs w:val="20"/>
              </w:rPr>
              <w:t>（由</w:t>
            </w:r>
            <w:r>
              <w:rPr>
                <w:rFonts w:hint="eastAsia" w:ascii="方正仿宋_GBK" w:eastAsia="方正仿宋_GBK" w:cs="方正仿宋_GBK"/>
                <w:color w:val="auto"/>
                <w:spacing w:val="0"/>
                <w:w w:val="100"/>
                <w:position w:val="0"/>
                <w:sz w:val="20"/>
                <w:szCs w:val="20"/>
                <w:lang w:eastAsia="zh-CN"/>
              </w:rPr>
              <w:t>县民宗局</w:t>
            </w:r>
            <w:r>
              <w:rPr>
                <w:rFonts w:hint="eastAsia" w:ascii="方正仿宋_GBK" w:eastAsia="方正仿宋_GBK" w:cs="方正仿宋_GBK"/>
                <w:color w:val="auto"/>
                <w:spacing w:val="0"/>
                <w:w w:val="100"/>
                <w:position w:val="0"/>
                <w:sz w:val="20"/>
                <w:szCs w:val="20"/>
              </w:rPr>
              <w:t>实施前置审查）</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《宗教事务条例》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《国家宗教事务局民政部关于宗教活动场所办理法人登记事项的通知》（国宗发〔2019〕1号）</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86</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慈善组织公开募捐资格审批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县民政局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县民政局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《中华人民共和国慈善法》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《慈善组织公开募捐管理办法》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87</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殡葬设施建设审批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县民政局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县政府；</w:t>
            </w:r>
            <w:r>
              <w:rPr>
                <w:rFonts w:hint="eastAsia" w:ascii="方正仿宋_GBK" w:eastAsia="方正仿宋_GBK" w:cs="方正仿宋_GBK"/>
                <w:color w:val="auto"/>
                <w:spacing w:val="0"/>
                <w:w w:val="100"/>
                <w:position w:val="0"/>
                <w:sz w:val="20"/>
                <w:szCs w:val="20"/>
                <w:lang w:eastAsia="zh-CN"/>
              </w:rPr>
              <w:t>县民政局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《殡葬管理条例》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《殡葬管理条例》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《国务院关于深化“证照分离”改革进一步激发市场主体发展活力的通知》（国发〔2021〕7号）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《四川省人民政府关于印发四川省推行“证照分离”改革全覆盖进一步激发市场主体发展活力实施方案的通知》（川府发〔2021〕9号）</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88</w:t>
            </w:r>
          </w:p>
        </w:tc>
        <w:tc>
          <w:tcPr>
            <w:tcW w:w="2372"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地名命名、更名审批</w:t>
            </w:r>
          </w:p>
        </w:tc>
        <w:tc>
          <w:tcPr>
            <w:tcW w:w="1463"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县民政局</w:t>
            </w:r>
          </w:p>
        </w:tc>
        <w:tc>
          <w:tcPr>
            <w:tcW w:w="158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县民政局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《地名管理条例》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《地名管理条例》</w:t>
            </w:r>
          </w:p>
        </w:tc>
        <w:tc>
          <w:tcPr>
            <w:tcW w:w="170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102</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中介机构从事代理记账业务审批</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县财政局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县财政局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《中华人民共和国会计法》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《代理记账管理办法》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《四川省财政厅关于下放会计代理记账机构管理权限的通知》（川财会〔2015〕1号）</w:t>
            </w:r>
          </w:p>
        </w:tc>
        <w:tc>
          <w:tcPr>
            <w:tcW w:w="1701" w:type="dxa"/>
            <w:vMerge w:val="continue"/>
            <w:tcBorders>
              <w:top w:val="single" w:color="auto" w:sz="4" w:space="0"/>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108</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职业培训学校筹设审批</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人力资源社会保障</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人力资源社会保障</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《中华人民共和国民办教育促进法》</w:t>
            </w:r>
          </w:p>
        </w:tc>
        <w:tc>
          <w:tcPr>
            <w:tcW w:w="4551" w:type="dxa"/>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《中华人民共和国民办教育促进法》</w:t>
            </w:r>
          </w:p>
        </w:tc>
        <w:tc>
          <w:tcPr>
            <w:tcW w:w="1701"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省级负责中外合作职业培训学校筹设审批。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 w:hRule="atLeast"/>
          <w:jc w:val="center"/>
        </w:trPr>
        <w:tc>
          <w:tcPr>
            <w:tcW w:w="571" w:type="dxa"/>
            <w:vMerge w:val="continue"/>
            <w:tcBorders>
              <w:top w:val="single" w:color="auto" w:sz="4"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auto" w:sz="4" w:space="0"/>
            </w:tcBorders>
            <w:noWrap/>
            <w:vAlign w:val="center"/>
          </w:tcP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《中华人民共和国中外合作办学条例》</w:t>
            </w: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《中华人民共和国中外合作办学条例》</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《中华人民共和国民办教育促进法实施条例》</w:t>
            </w:r>
          </w:p>
        </w:tc>
        <w:tc>
          <w:tcPr>
            <w:tcW w:w="1701" w:type="dxa"/>
            <w:vMerge w:val="continue"/>
            <w:tcBorders>
              <w:top w:val="nil"/>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109</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职业培训学校办学许可</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人力资源社会保障</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人力资源社会保障</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《中华人民共和国民办教育促进法》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《中华人民共和国民办教育促进法》</w:t>
            </w:r>
          </w:p>
        </w:tc>
        <w:tc>
          <w:tcPr>
            <w:tcW w:w="170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省级负责中外合作职业培训学校办学许可。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《中华人民共和国中外合作办学条例》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《中华人民共和国中外合作办学条例》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《中华人民共和国民办教育促进法实施条例》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《四川省人力资源和社会保障厅关于印发〈四川省民办职业培训学校管理办法〉的通知》（川人社办发〔2020〕73号）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112</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人力资源服务许可</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人力资源社会保障</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人力资源社会保障</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《中华人民共和国就业促进法》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《网络招聘服务管理规定》</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《人力资源服务机构管理规定》</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《人力资源市场暂行条例》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《四川省人力资源和社会保障厅关于做好人力资源服务行政许可及备案管理有关工作的通知》（川人社规〔2023〕13号）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113</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劳务派遣经营许可</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人力资源社会保障</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人力资源社会保障</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《中华人民共和国劳动合同法》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《中华人民共和国劳动合同法》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《中华人民共和国劳动合同法实施条例》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《劳务派遣行政许可实施办法》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《劳务派遣暂行规定》</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115</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企业实行不定时工作制和综合计算工时工作制审批</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人力资源社会保障</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人力资源社会保障</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《中华人民共和国劳动法》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《关于企业实行不定时工作制和综合计算工时工作制的审批办法》（劳部发〔1994〕503号）</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《四川省劳动和社会保障厅关于加强用人单位实行特殊工时制度管理有关问题的通知》（川劳社办〔2008〕44号）</w:t>
            </w:r>
          </w:p>
        </w:tc>
        <w:tc>
          <w:tcPr>
            <w:tcW w:w="1701" w:type="dxa"/>
            <w:vMerge w:val="continue"/>
            <w:tcBorders>
              <w:top w:val="single" w:color="auto" w:sz="4" w:space="0"/>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117</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开采矿产资源审批</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《中华人民共和国矿产资源法》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《中华人民共和国矿产资源法》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《矿产资源开采登记管理办法》</w:t>
            </w: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《中华人民共和国矿产资源法实施细则》</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《矿产资源开采登记管理办法》</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《自然资源部关于深化矿产资源管理改革若干事项的意见》（自然资规〔2023〕6号）</w:t>
            </w:r>
          </w:p>
        </w:tc>
        <w:tc>
          <w:tcPr>
            <w:tcW w:w="1701" w:type="dxa"/>
            <w:vMerge w:val="continue"/>
            <w:tcBorders>
              <w:top w:val="nil"/>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122</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法人或其他组织需要利用属于国家秘密的基础测绘成果审批</w:t>
            </w:r>
          </w:p>
        </w:tc>
        <w:tc>
          <w:tcPr>
            <w:tcW w:w="1463"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《中华人民共和国测绘成果管理条例》</w:t>
            </w: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《中华人民共和国测绘法》</w:t>
            </w:r>
          </w:p>
        </w:tc>
        <w:tc>
          <w:tcPr>
            <w:tcW w:w="1701" w:type="dxa"/>
            <w:vMerge w:val="restart"/>
            <w:tcBorders>
              <w:top w:val="single" w:color="auto" w:sz="4" w:space="0"/>
              <w:left w:val="single" w:color="000000" w:sz="2" w:space="0"/>
              <w:bottom w:val="nil"/>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《中华人民共和国测绘成果管理条例》</w:t>
            </w:r>
          </w:p>
        </w:tc>
        <w:tc>
          <w:tcPr>
            <w:tcW w:w="1701" w:type="dxa"/>
            <w:vMerge w:val="continue"/>
            <w:tcBorders>
              <w:top w:val="nil"/>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《四川省测绘管理条例》</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《涉密基础测绘成果提供使用管理办法》（自然资规〔2023〕3号）</w:t>
            </w:r>
          </w:p>
        </w:tc>
        <w:tc>
          <w:tcPr>
            <w:tcW w:w="1701" w:type="dxa"/>
            <w:vMerge w:val="continue"/>
            <w:tcBorders>
              <w:top w:val="nil"/>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70"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《四川省测绘地理信息局办公室关于印发〈四川省涉密基础测绘成果提供使用管理办法〉的通知》（川测办〔2023〕57号）</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126</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建设项目用地预审与选址意见书核发</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《中华人民共和国城乡规划法》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《中华人民共和国城乡规划法》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《中华人民共和国土地管理法实施条例》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《中华人民共和国土地管理法实施条例》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《建设项目用地预审管理办法》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《四川省城乡规划条例》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《自然资源部关于以“多规合一”为基础推进规划用地“多审合一、多证合一”改革的通知》（自然资函〔2024〕709号）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131</w:t>
            </w:r>
          </w:p>
        </w:tc>
        <w:tc>
          <w:tcPr>
            <w:tcW w:w="2372"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国有建设用地使用权出让后土地使用权分割转让批准</w:t>
            </w:r>
          </w:p>
        </w:tc>
        <w:tc>
          <w:tcPr>
            <w:tcW w:w="1463"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158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《中华人民共和国城镇国有土地使用权出让和转让暂行条例》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《中华人民共和国城镇国有土地使用权出让和转让暂行条例》</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snapToGrid w:val="0"/>
                <w:color w:val="auto"/>
                <w:spacing w:val="0"/>
                <w:w w:val="100"/>
                <w:kern w:val="0"/>
                <w:position w:val="0"/>
                <w:sz w:val="20"/>
                <w:szCs w:val="20"/>
                <w:lang w:val="en-US" w:bidi="ar-SA"/>
              </w:rPr>
            </w:pPr>
            <w:r>
              <w:rPr>
                <w:rFonts w:hint="eastAsia" w:ascii="方正仿宋_GBK" w:eastAsia="方正仿宋_GBK" w:cs="方正仿宋_GBK"/>
                <w:color w:val="auto"/>
                <w:spacing w:val="0"/>
                <w:w w:val="100"/>
                <w:position w:val="0"/>
                <w:sz w:val="20"/>
                <w:szCs w:val="20"/>
              </w:rPr>
              <w:t>132</w:t>
            </w:r>
          </w:p>
        </w:tc>
        <w:tc>
          <w:tcPr>
            <w:tcW w:w="2372" w:type="dxa"/>
            <w:vMerge w:val="restart"/>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spacing w:line="240" w:lineRule="exact"/>
              <w:ind w:left="0" w:right="0" w:firstLine="0"/>
              <w:jc w:val="both"/>
              <w:textAlignment w:val="baseline"/>
              <w:rPr>
                <w:rFonts w:hint="eastAsia" w:ascii="方正仿宋_GBK" w:eastAsia="方正仿宋_GBK" w:cs="方正仿宋_GBK"/>
                <w:b w:val="0"/>
                <w:bCs w:val="0"/>
                <w:snapToGrid w:val="0"/>
                <w:color w:val="auto"/>
                <w:spacing w:val="0"/>
                <w:w w:val="100"/>
                <w:kern w:val="0"/>
                <w:position w:val="0"/>
                <w:sz w:val="20"/>
                <w:szCs w:val="20"/>
                <w:lang w:val="en-US" w:bidi="ar-SA"/>
              </w:rPr>
            </w:pPr>
            <w:r>
              <w:rPr>
                <w:rFonts w:hint="eastAsia" w:ascii="方正仿宋_GBK" w:eastAsia="方正仿宋_GBK" w:cs="方正仿宋_GBK"/>
                <w:b w:val="0"/>
                <w:bCs w:val="0"/>
                <w:color w:val="auto"/>
                <w:spacing w:val="0"/>
                <w:w w:val="100"/>
                <w:position w:val="0"/>
                <w:sz w:val="20"/>
                <w:szCs w:val="20"/>
              </w:rPr>
              <w:t>乡（镇）村企业使用集体建设用地审批</w:t>
            </w:r>
          </w:p>
        </w:tc>
        <w:tc>
          <w:tcPr>
            <w:tcW w:w="1463" w:type="dxa"/>
            <w:vMerge w:val="restart"/>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val="en-US"/>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val="en-US"/>
              </w:rPr>
            </w:pPr>
            <w:r>
              <w:rPr>
                <w:rFonts w:hint="eastAsia" w:ascii="方正仿宋_GBK" w:eastAsia="方正仿宋_GBK" w:cs="方正仿宋_GBK"/>
                <w:color w:val="auto"/>
                <w:spacing w:val="0"/>
                <w:w w:val="100"/>
                <w:position w:val="0"/>
                <w:sz w:val="20"/>
                <w:szCs w:val="20"/>
                <w:lang w:eastAsia="zh-CN"/>
              </w:rPr>
              <w:t>县政府（由县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局承办）</w:t>
            </w:r>
          </w:p>
        </w:tc>
        <w:tc>
          <w:tcPr>
            <w:tcW w:w="3374" w:type="dxa"/>
            <w:vMerge w:val="restart"/>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snapToGrid w:val="0"/>
                <w:color w:val="auto"/>
                <w:spacing w:val="0"/>
                <w:w w:val="100"/>
                <w:kern w:val="0"/>
                <w:position w:val="0"/>
                <w:sz w:val="20"/>
                <w:szCs w:val="20"/>
                <w:lang w:val="en-US" w:bidi="ar-SA"/>
              </w:rPr>
            </w:pPr>
            <w:r>
              <w:rPr>
                <w:rFonts w:hint="eastAsia" w:ascii="方正仿宋_GBK" w:eastAsia="方正仿宋_GBK" w:cs="方正仿宋_GBK"/>
                <w:color w:val="auto"/>
                <w:spacing w:val="0"/>
                <w:w w:val="100"/>
                <w:position w:val="0"/>
                <w:sz w:val="20"/>
                <w:szCs w:val="20"/>
              </w:rPr>
              <w:t>《中华人民共和国土地管理法》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snapToGrid w:val="0"/>
                <w:color w:val="auto"/>
                <w:spacing w:val="0"/>
                <w:w w:val="100"/>
                <w:kern w:val="0"/>
                <w:position w:val="0"/>
                <w:sz w:val="20"/>
                <w:szCs w:val="20"/>
                <w:lang w:val="en-US" w:bidi="ar-SA"/>
              </w:rPr>
            </w:pPr>
            <w:r>
              <w:rPr>
                <w:rFonts w:hint="eastAsia" w:ascii="方正仿宋_GBK" w:eastAsia="方正仿宋_GBK" w:cs="方正仿宋_GBK"/>
                <w:color w:val="auto"/>
                <w:spacing w:val="0"/>
                <w:w w:val="100"/>
                <w:position w:val="0"/>
                <w:sz w:val="20"/>
                <w:szCs w:val="20"/>
              </w:rPr>
              <w:t>《中华人民共和国土地管理法》</w:t>
            </w:r>
          </w:p>
        </w:tc>
        <w:tc>
          <w:tcPr>
            <w:tcW w:w="170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584"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3374"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《四川省〈中华人民共和国土地管理法〉实施办法》</w:t>
            </w:r>
          </w:p>
        </w:tc>
        <w:tc>
          <w:tcPr>
            <w:tcW w:w="1701" w:type="dxa"/>
            <w:vMerge w:val="continue"/>
            <w:tcBorders>
              <w:top w:val="single" w:color="000000" w:sz="2" w:space="0"/>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133</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乡（镇）村公共设施、公益事业使用集体建设用地审批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县政府（由县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局承办）</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auto" w:sz="4"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《四川省〈中华人民共和国土地管理法〉实施办法》</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134</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临时用地审批</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《土地复垦条例》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《中华人民共和国土地管理法实施条例》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《中华人民共和国土地管理法实施条例》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《四川省〈中华人民共和国土地管理法〉实施办法》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《四川省〈中华人民共和国土地管理法〉实施办法》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《自然资源部关于规范临时用地管理的通知》（自然资规〔2021〕2号）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000000" w:sz="2" w:space="0"/>
              <w:right w:val="single" w:color="auto" w:sz="4" w:space="0"/>
            </w:tcBorders>
            <w:noWrap/>
            <w:vAlign w:val="center"/>
          </w:tcPr>
          <w:p/>
        </w:tc>
        <w:tc>
          <w:tcPr>
            <w:tcW w:w="2372" w:type="dxa"/>
            <w:vMerge w:val="continue"/>
            <w:tcBorders>
              <w:top w:val="single" w:color="auto" w:sz="4" w:space="0"/>
              <w:left w:val="single" w:color="auto" w:sz="4" w:space="0"/>
              <w:bottom w:val="nil"/>
              <w:right w:val="single" w:color="000000" w:sz="2" w:space="0"/>
            </w:tcBorders>
            <w:noWrap/>
            <w:vAlign w:val="center"/>
          </w:tcPr>
          <w:p/>
        </w:tc>
        <w:tc>
          <w:tcPr>
            <w:tcW w:w="1463" w:type="dxa"/>
            <w:vMerge w:val="continue"/>
            <w:tcBorders>
              <w:top w:val="single" w:color="auto" w:sz="4" w:space="0"/>
              <w:left w:val="single" w:color="000000" w:sz="2" w:space="0"/>
              <w:bottom w:val="nil"/>
              <w:right w:val="single" w:color="000000" w:sz="2" w:space="0"/>
            </w:tcBorders>
            <w:noWrap/>
            <w:vAlign w:val="center"/>
          </w:tcPr>
          <w:p/>
        </w:tc>
        <w:tc>
          <w:tcPr>
            <w:tcW w:w="1584" w:type="dxa"/>
            <w:vMerge w:val="continue"/>
            <w:tcBorders>
              <w:top w:val="single" w:color="auto" w:sz="4" w:space="0"/>
              <w:left w:val="single" w:color="000000" w:sz="2" w:space="0"/>
              <w:bottom w:val="nil"/>
              <w:right w:val="single" w:color="000000" w:sz="2" w:space="0"/>
            </w:tcBorders>
            <w:noWrap/>
            <w:vAlign w:val="center"/>
          </w:tcPr>
          <w:p/>
        </w:tc>
        <w:tc>
          <w:tcPr>
            <w:tcW w:w="3374" w:type="dxa"/>
            <w:vMerge w:val="continue"/>
            <w:tcBorders>
              <w:top w:val="single" w:color="auto" w:sz="4" w:space="0"/>
              <w:left w:val="single" w:color="000000" w:sz="2" w:space="0"/>
              <w:bottom w:val="nil"/>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《自然资源部办公厅关于加强临时用地监管有关工作的通知》（自然资办函〔2023〕1280号）</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2372" w:type="dxa"/>
            <w:vMerge w:val="continue"/>
            <w:tcBorders>
              <w:top w:val="nil"/>
              <w:left w:val="single" w:color="auto" w:sz="4"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《自然资源部办公厅关于进一步做好基础设施建设使用临时用地保障工作的通知》（自然资办函〔2024〕2159号）</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000000" w:sz="2" w:space="0"/>
              <w:left w:val="single" w:color="auto" w:sz="4" w:space="0"/>
              <w:bottom w:val="single" w:color="auto" w:sz="4" w:space="0"/>
              <w:right w:val="single" w:color="auto" w:sz="4" w:space="0"/>
            </w:tcBorders>
            <w:noWrap/>
            <w:vAlign w:val="center"/>
          </w:tcPr>
          <w:p/>
        </w:tc>
        <w:tc>
          <w:tcPr>
            <w:tcW w:w="2372" w:type="dxa"/>
            <w:vMerge w:val="continue"/>
            <w:tcBorders>
              <w:top w:val="nil"/>
              <w:left w:val="single" w:color="auto" w:sz="4"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《四川省自然资源厅关于进一步明确临时用地管理有关事项的通知》（川自然资规〔2022〕3号）</w:t>
            </w:r>
          </w:p>
        </w:tc>
        <w:tc>
          <w:tcPr>
            <w:tcW w:w="1701" w:type="dxa"/>
            <w:vMerge w:val="continue"/>
            <w:tcBorders>
              <w:top w:val="nil"/>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135</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建设用地、临时建设用地规划许可</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《中华人民共和国城乡规划法》</w:t>
            </w:r>
          </w:p>
        </w:tc>
        <w:tc>
          <w:tcPr>
            <w:tcW w:w="4551" w:type="dxa"/>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《中华人民共和国城乡规划法》</w:t>
            </w:r>
          </w:p>
        </w:tc>
        <w:tc>
          <w:tcPr>
            <w:tcW w:w="1701" w:type="dxa"/>
            <w:vMerge w:val="restart"/>
            <w:tcBorders>
              <w:top w:val="single" w:color="auto" w:sz="4" w:space="0"/>
              <w:left w:val="single" w:color="000000" w:sz="2"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《四川省城乡规划条例》</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《自然资源部关于以“多规合一”为基础推进规划用地“多审合一、多证合一”改革的通知》（自然资函〔2024〕709号）</w:t>
            </w:r>
          </w:p>
        </w:tc>
        <w:tc>
          <w:tcPr>
            <w:tcW w:w="1701" w:type="dxa"/>
            <w:vMerge w:val="continue"/>
            <w:tcBorders>
              <w:top w:val="nil"/>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136</w:t>
            </w:r>
          </w:p>
        </w:tc>
        <w:tc>
          <w:tcPr>
            <w:tcW w:w="2372"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开发未确定使用权的国有荒山、荒地、荒滩从事生产审查</w:t>
            </w:r>
          </w:p>
        </w:tc>
        <w:tc>
          <w:tcPr>
            <w:tcW w:w="1463"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县政府（由县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局承办）</w:t>
            </w: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《中华人民共和国土地管理法实施条例》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《中华人民共和国土地管理法实施条例》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《四川省〈中华人民共和国土地管理法〉实施办法》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137</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一般建设项目环境影响评价审批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小金生态环境局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小金生态环境局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《中华人民共和国环境保护法》</w:t>
            </w:r>
          </w:p>
        </w:tc>
        <w:tc>
          <w:tcPr>
            <w:tcW w:w="455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《中华人民共和国环境影响评价法》</w:t>
            </w:r>
          </w:p>
        </w:tc>
        <w:tc>
          <w:tcPr>
            <w:tcW w:w="170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637" w:type="dxa"/>
            <w:vMerge w:val="continue"/>
            <w:tcBorders>
              <w:top w:val="nil"/>
              <w:left w:val="single" w:color="000000" w:sz="2" w:space="0"/>
              <w:bottom w:val="nil"/>
              <w:right w:val="single" w:color="000000" w:sz="2" w:space="0"/>
            </w:tcBorders>
            <w:noWrap/>
            <w:vAlign w:val="center"/>
          </w:tcPr>
          <w:p>
            <w:pPr>
              <w:rPr>
                <w:color w:val="auto"/>
              </w:rPr>
            </w:pPr>
          </w:p>
        </w:tc>
        <w:tc>
          <w:tcPr>
            <w:tcW w:w="2372" w:type="dxa"/>
            <w:vMerge w:val="continue"/>
            <w:tcBorders>
              <w:top w:val="nil"/>
              <w:left w:val="single" w:color="000000" w:sz="2" w:space="0"/>
              <w:bottom w:val="nil"/>
              <w:right w:val="single" w:color="000000" w:sz="2" w:space="0"/>
            </w:tcBorders>
            <w:noWrap/>
            <w:vAlign w:val="center"/>
          </w:tcPr>
          <w:p>
            <w:pPr>
              <w:rPr>
                <w:color w:val="auto"/>
              </w:rPr>
            </w:pPr>
          </w:p>
        </w:tc>
        <w:tc>
          <w:tcPr>
            <w:tcW w:w="1463" w:type="dxa"/>
            <w:vMerge w:val="continue"/>
            <w:tcBorders>
              <w:top w:val="nil"/>
              <w:left w:val="single" w:color="000000" w:sz="2" w:space="0"/>
              <w:bottom w:val="nil"/>
              <w:right w:val="single" w:color="000000" w:sz="2" w:space="0"/>
            </w:tcBorders>
            <w:noWrap/>
            <w:vAlign w:val="center"/>
          </w:tcPr>
          <w:p>
            <w:pPr>
              <w:rPr>
                <w:color w:val="auto"/>
              </w:rPr>
            </w:pPr>
          </w:p>
        </w:tc>
        <w:tc>
          <w:tcPr>
            <w:tcW w:w="1584" w:type="dxa"/>
            <w:vMerge w:val="continue"/>
            <w:tcBorders>
              <w:top w:val="nil"/>
              <w:left w:val="single" w:color="000000" w:sz="2" w:space="0"/>
              <w:bottom w:val="nil"/>
              <w:right w:val="single" w:color="000000" w:sz="2" w:space="0"/>
            </w:tcBorders>
            <w:noWrap/>
            <w:vAlign w:val="center"/>
          </w:tcPr>
          <w:p>
            <w:pPr>
              <w:rPr>
                <w:color w:val="auto"/>
              </w:rPr>
            </w:p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17"/>
                <w:w w:val="100"/>
                <w:position w:val="0"/>
                <w:sz w:val="20"/>
                <w:szCs w:val="20"/>
              </w:rPr>
              <w:t>《中华人民共和国环境影响评价法》</w:t>
            </w:r>
          </w:p>
        </w:tc>
        <w:tc>
          <w:tcPr>
            <w:tcW w:w="4551" w:type="dxa"/>
            <w:vMerge w:val="continue"/>
            <w:tcBorders>
              <w:top w:val="nil"/>
              <w:left w:val="single" w:color="000000" w:sz="2" w:space="0"/>
              <w:bottom w:val="nil"/>
              <w:right w:val="single" w:color="000000" w:sz="2" w:space="0"/>
            </w:tcBorders>
            <w:noWrap/>
            <w:vAlign w:val="center"/>
          </w:tcPr>
          <w:p>
            <w:pPr>
              <w:rPr>
                <w:color w:val="auto"/>
              </w:rPr>
            </w:pPr>
          </w:p>
        </w:tc>
        <w:tc>
          <w:tcPr>
            <w:tcW w:w="1701" w:type="dxa"/>
            <w:vMerge w:val="continue"/>
            <w:tcBorders>
              <w:top w:val="nil"/>
              <w:left w:val="single" w:color="000000" w:sz="2" w:space="0"/>
              <w:bottom w:val="nil"/>
              <w:right w:val="single" w:color="000000" w:sz="2"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637" w:type="dxa"/>
            <w:vMerge w:val="continue"/>
            <w:tcBorders>
              <w:top w:val="nil"/>
              <w:left w:val="single" w:color="000000" w:sz="2" w:space="0"/>
              <w:bottom w:val="nil"/>
              <w:right w:val="single" w:color="000000" w:sz="2" w:space="0"/>
            </w:tcBorders>
            <w:noWrap/>
            <w:vAlign w:val="center"/>
          </w:tcPr>
          <w:p>
            <w:pPr>
              <w:rPr>
                <w:color w:val="auto"/>
              </w:rPr>
            </w:pPr>
          </w:p>
        </w:tc>
        <w:tc>
          <w:tcPr>
            <w:tcW w:w="2372" w:type="dxa"/>
            <w:vMerge w:val="continue"/>
            <w:tcBorders>
              <w:top w:val="nil"/>
              <w:left w:val="single" w:color="000000" w:sz="2" w:space="0"/>
              <w:bottom w:val="nil"/>
              <w:right w:val="single" w:color="000000" w:sz="2" w:space="0"/>
            </w:tcBorders>
            <w:noWrap/>
            <w:vAlign w:val="center"/>
          </w:tcPr>
          <w:p>
            <w:pPr>
              <w:rPr>
                <w:color w:val="auto"/>
              </w:rPr>
            </w:pPr>
          </w:p>
        </w:tc>
        <w:tc>
          <w:tcPr>
            <w:tcW w:w="1463" w:type="dxa"/>
            <w:vMerge w:val="continue"/>
            <w:tcBorders>
              <w:top w:val="nil"/>
              <w:left w:val="single" w:color="000000" w:sz="2" w:space="0"/>
              <w:bottom w:val="nil"/>
              <w:right w:val="single" w:color="000000" w:sz="2" w:space="0"/>
            </w:tcBorders>
            <w:noWrap/>
            <w:vAlign w:val="center"/>
          </w:tcPr>
          <w:p>
            <w:pPr>
              <w:rPr>
                <w:color w:val="auto"/>
              </w:rPr>
            </w:pPr>
          </w:p>
        </w:tc>
        <w:tc>
          <w:tcPr>
            <w:tcW w:w="1584" w:type="dxa"/>
            <w:vMerge w:val="continue"/>
            <w:tcBorders>
              <w:top w:val="nil"/>
              <w:left w:val="single" w:color="000000" w:sz="2" w:space="0"/>
              <w:bottom w:val="nil"/>
              <w:right w:val="single" w:color="000000" w:sz="2" w:space="0"/>
            </w:tcBorders>
            <w:noWrap/>
            <w:vAlign w:val="center"/>
          </w:tcPr>
          <w:p>
            <w:pPr>
              <w:rPr>
                <w:color w:val="auto"/>
              </w:rPr>
            </w:p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17"/>
                <w:w w:val="100"/>
                <w:position w:val="0"/>
                <w:sz w:val="20"/>
                <w:szCs w:val="20"/>
              </w:rPr>
            </w:pPr>
            <w:r>
              <w:rPr>
                <w:rFonts w:hint="eastAsia" w:ascii="方正仿宋_GBK" w:eastAsia="方正仿宋_GBK" w:cs="方正仿宋_GBK"/>
                <w:color w:val="auto"/>
                <w:spacing w:val="-17"/>
                <w:w w:val="100"/>
                <w:position w:val="0"/>
                <w:sz w:val="20"/>
                <w:szCs w:val="20"/>
              </w:rPr>
              <w:t>《中华人民共和国水污染防治法》</w:t>
            </w:r>
          </w:p>
        </w:tc>
        <w:tc>
          <w:tcPr>
            <w:tcW w:w="4551" w:type="dxa"/>
            <w:vMerge w:val="continue"/>
            <w:tcBorders>
              <w:top w:val="nil"/>
              <w:left w:val="single" w:color="000000" w:sz="2" w:space="0"/>
              <w:bottom w:val="nil"/>
              <w:right w:val="single" w:color="000000" w:sz="2" w:space="0"/>
            </w:tcBorders>
            <w:noWrap/>
            <w:vAlign w:val="center"/>
          </w:tcPr>
          <w:p>
            <w:pPr>
              <w:rPr>
                <w:color w:val="auto"/>
              </w:rPr>
            </w:pPr>
          </w:p>
        </w:tc>
        <w:tc>
          <w:tcPr>
            <w:tcW w:w="1701" w:type="dxa"/>
            <w:vMerge w:val="continue"/>
            <w:tcBorders>
              <w:top w:val="nil"/>
              <w:left w:val="single" w:color="000000" w:sz="2" w:space="0"/>
              <w:bottom w:val="nil"/>
              <w:right w:val="single" w:color="000000" w:sz="2"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637" w:type="dxa"/>
            <w:vMerge w:val="continue"/>
            <w:tcBorders>
              <w:top w:val="nil"/>
              <w:left w:val="single" w:color="000000" w:sz="2" w:space="0"/>
              <w:bottom w:val="nil"/>
              <w:right w:val="single" w:color="000000" w:sz="2" w:space="0"/>
            </w:tcBorders>
            <w:noWrap/>
            <w:vAlign w:val="center"/>
          </w:tcPr>
          <w:p>
            <w:pPr>
              <w:rPr>
                <w:color w:val="auto"/>
              </w:rPr>
            </w:pPr>
          </w:p>
        </w:tc>
        <w:tc>
          <w:tcPr>
            <w:tcW w:w="2372" w:type="dxa"/>
            <w:vMerge w:val="continue"/>
            <w:tcBorders>
              <w:top w:val="nil"/>
              <w:left w:val="single" w:color="000000" w:sz="2" w:space="0"/>
              <w:bottom w:val="nil"/>
              <w:right w:val="single" w:color="000000" w:sz="2" w:space="0"/>
            </w:tcBorders>
            <w:noWrap/>
            <w:vAlign w:val="center"/>
          </w:tcPr>
          <w:p>
            <w:pPr>
              <w:rPr>
                <w:color w:val="auto"/>
              </w:rPr>
            </w:pPr>
          </w:p>
        </w:tc>
        <w:tc>
          <w:tcPr>
            <w:tcW w:w="1463" w:type="dxa"/>
            <w:vMerge w:val="continue"/>
            <w:tcBorders>
              <w:top w:val="nil"/>
              <w:left w:val="single" w:color="000000" w:sz="2" w:space="0"/>
              <w:bottom w:val="nil"/>
              <w:right w:val="single" w:color="000000" w:sz="2" w:space="0"/>
            </w:tcBorders>
            <w:noWrap/>
            <w:vAlign w:val="center"/>
          </w:tcPr>
          <w:p>
            <w:pPr>
              <w:rPr>
                <w:color w:val="auto"/>
              </w:rPr>
            </w:pPr>
          </w:p>
        </w:tc>
        <w:tc>
          <w:tcPr>
            <w:tcW w:w="1584" w:type="dxa"/>
            <w:vMerge w:val="continue"/>
            <w:tcBorders>
              <w:top w:val="nil"/>
              <w:left w:val="single" w:color="000000" w:sz="2" w:space="0"/>
              <w:bottom w:val="nil"/>
              <w:right w:val="single" w:color="000000" w:sz="2" w:space="0"/>
            </w:tcBorders>
            <w:noWrap/>
            <w:vAlign w:val="center"/>
          </w:tcPr>
          <w:p>
            <w:pPr>
              <w:rPr>
                <w:color w:val="auto"/>
              </w:rPr>
            </w:p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17"/>
                <w:w w:val="100"/>
                <w:position w:val="0"/>
                <w:sz w:val="20"/>
                <w:szCs w:val="20"/>
              </w:rPr>
            </w:pPr>
            <w:r>
              <w:rPr>
                <w:rFonts w:hint="eastAsia" w:ascii="方正仿宋_GBK" w:eastAsia="方正仿宋_GBK" w:cs="方正仿宋_GBK"/>
                <w:color w:val="auto"/>
                <w:spacing w:val="-17"/>
                <w:w w:val="100"/>
                <w:position w:val="0"/>
                <w:sz w:val="20"/>
                <w:szCs w:val="20"/>
              </w:rPr>
              <w:t>《中华人民共和国大气污染防治法》</w:t>
            </w:r>
          </w:p>
        </w:tc>
        <w:tc>
          <w:tcPr>
            <w:tcW w:w="4551"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1701" w:type="dxa"/>
            <w:vMerge w:val="continue"/>
            <w:tcBorders>
              <w:top w:val="nil"/>
              <w:left w:val="single" w:color="000000" w:sz="2" w:space="0"/>
              <w:bottom w:val="nil"/>
              <w:right w:val="single" w:color="000000" w:sz="2"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637" w:type="dxa"/>
            <w:vMerge w:val="continue"/>
            <w:tcBorders>
              <w:top w:val="nil"/>
              <w:left w:val="single" w:color="000000" w:sz="2" w:space="0"/>
              <w:bottom w:val="nil"/>
              <w:right w:val="single" w:color="000000" w:sz="2" w:space="0"/>
            </w:tcBorders>
            <w:noWrap/>
            <w:vAlign w:val="center"/>
          </w:tcPr>
          <w:p>
            <w:pPr>
              <w:rPr>
                <w:color w:val="auto"/>
              </w:rPr>
            </w:pPr>
          </w:p>
        </w:tc>
        <w:tc>
          <w:tcPr>
            <w:tcW w:w="2372" w:type="dxa"/>
            <w:vMerge w:val="continue"/>
            <w:tcBorders>
              <w:top w:val="nil"/>
              <w:left w:val="single" w:color="000000" w:sz="2" w:space="0"/>
              <w:bottom w:val="nil"/>
              <w:right w:val="single" w:color="000000" w:sz="2" w:space="0"/>
            </w:tcBorders>
            <w:noWrap/>
            <w:vAlign w:val="center"/>
          </w:tcPr>
          <w:p>
            <w:pPr>
              <w:rPr>
                <w:color w:val="auto"/>
              </w:rPr>
            </w:pPr>
          </w:p>
        </w:tc>
        <w:tc>
          <w:tcPr>
            <w:tcW w:w="1463" w:type="dxa"/>
            <w:vMerge w:val="continue"/>
            <w:tcBorders>
              <w:top w:val="nil"/>
              <w:left w:val="single" w:color="000000" w:sz="2" w:space="0"/>
              <w:bottom w:val="nil"/>
              <w:right w:val="single" w:color="000000" w:sz="2" w:space="0"/>
            </w:tcBorders>
            <w:noWrap/>
            <w:vAlign w:val="center"/>
          </w:tcPr>
          <w:p>
            <w:pPr>
              <w:rPr>
                <w:color w:val="auto"/>
              </w:rPr>
            </w:pPr>
          </w:p>
        </w:tc>
        <w:tc>
          <w:tcPr>
            <w:tcW w:w="1584" w:type="dxa"/>
            <w:vMerge w:val="continue"/>
            <w:tcBorders>
              <w:top w:val="nil"/>
              <w:left w:val="single" w:color="000000" w:sz="2" w:space="0"/>
              <w:bottom w:val="nil"/>
              <w:right w:val="single" w:color="000000" w:sz="2" w:space="0"/>
            </w:tcBorders>
            <w:noWrap/>
            <w:vAlign w:val="center"/>
          </w:tcPr>
          <w:p>
            <w:pPr>
              <w:rPr>
                <w:color w:val="auto"/>
              </w:rPr>
            </w:p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17"/>
                <w:w w:val="100"/>
                <w:position w:val="0"/>
                <w:sz w:val="20"/>
                <w:szCs w:val="20"/>
              </w:rPr>
            </w:pPr>
            <w:r>
              <w:rPr>
                <w:rFonts w:hint="eastAsia" w:ascii="方正仿宋_GBK" w:eastAsia="方正仿宋_GBK" w:cs="方正仿宋_GBK"/>
                <w:color w:val="auto"/>
                <w:spacing w:val="-17"/>
                <w:w w:val="100"/>
                <w:position w:val="0"/>
                <w:sz w:val="20"/>
                <w:szCs w:val="20"/>
              </w:rPr>
              <w:t>《中华人民共和国土壤污染防治法》</w:t>
            </w:r>
          </w:p>
        </w:tc>
        <w:tc>
          <w:tcPr>
            <w:tcW w:w="4551" w:type="dxa"/>
            <w:vMerge w:val="restart"/>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《建设项目环境保护管理条例》</w:t>
            </w:r>
          </w:p>
        </w:tc>
        <w:tc>
          <w:tcPr>
            <w:tcW w:w="1701" w:type="dxa"/>
            <w:vMerge w:val="continue"/>
            <w:tcBorders>
              <w:top w:val="nil"/>
              <w:left w:val="single" w:color="000000" w:sz="2" w:space="0"/>
              <w:bottom w:val="nil"/>
              <w:right w:val="single" w:color="000000" w:sz="2"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637" w:type="dxa"/>
            <w:vMerge w:val="continue"/>
            <w:tcBorders>
              <w:top w:val="nil"/>
              <w:left w:val="single" w:color="000000" w:sz="2" w:space="0"/>
              <w:bottom w:val="nil"/>
              <w:right w:val="single" w:color="000000" w:sz="2" w:space="0"/>
            </w:tcBorders>
            <w:noWrap/>
            <w:vAlign w:val="center"/>
          </w:tcPr>
          <w:p>
            <w:pPr>
              <w:rPr>
                <w:color w:val="auto"/>
              </w:rPr>
            </w:pPr>
          </w:p>
        </w:tc>
        <w:tc>
          <w:tcPr>
            <w:tcW w:w="2372" w:type="dxa"/>
            <w:vMerge w:val="continue"/>
            <w:tcBorders>
              <w:top w:val="nil"/>
              <w:left w:val="single" w:color="000000" w:sz="2" w:space="0"/>
              <w:bottom w:val="nil"/>
              <w:right w:val="single" w:color="000000" w:sz="2" w:space="0"/>
            </w:tcBorders>
            <w:noWrap/>
            <w:vAlign w:val="center"/>
          </w:tcPr>
          <w:p>
            <w:pPr>
              <w:rPr>
                <w:color w:val="auto"/>
              </w:rPr>
            </w:pPr>
          </w:p>
        </w:tc>
        <w:tc>
          <w:tcPr>
            <w:tcW w:w="1463" w:type="dxa"/>
            <w:vMerge w:val="continue"/>
            <w:tcBorders>
              <w:top w:val="nil"/>
              <w:left w:val="single" w:color="000000" w:sz="2" w:space="0"/>
              <w:bottom w:val="nil"/>
              <w:right w:val="single" w:color="000000" w:sz="2" w:space="0"/>
            </w:tcBorders>
            <w:noWrap/>
            <w:vAlign w:val="center"/>
          </w:tcPr>
          <w:p>
            <w:pPr>
              <w:rPr>
                <w:color w:val="auto"/>
              </w:rPr>
            </w:pPr>
          </w:p>
        </w:tc>
        <w:tc>
          <w:tcPr>
            <w:tcW w:w="1584" w:type="dxa"/>
            <w:vMerge w:val="continue"/>
            <w:tcBorders>
              <w:top w:val="nil"/>
              <w:left w:val="single" w:color="000000" w:sz="2" w:space="0"/>
              <w:bottom w:val="nil"/>
              <w:right w:val="single" w:color="000000" w:sz="2" w:space="0"/>
            </w:tcBorders>
            <w:noWrap/>
            <w:vAlign w:val="center"/>
          </w:tcPr>
          <w:p>
            <w:pPr>
              <w:rPr>
                <w:color w:val="auto"/>
              </w:rPr>
            </w:p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《中华人民共和国固体废物污染环境防治法》</w:t>
            </w:r>
          </w:p>
        </w:tc>
        <w:tc>
          <w:tcPr>
            <w:tcW w:w="455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1701" w:type="dxa"/>
            <w:vMerge w:val="continue"/>
            <w:tcBorders>
              <w:top w:val="nil"/>
              <w:left w:val="single" w:color="000000" w:sz="2" w:space="0"/>
              <w:bottom w:val="nil"/>
              <w:right w:val="single" w:color="000000" w:sz="2"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637" w:type="dxa"/>
            <w:vMerge w:val="continue"/>
            <w:tcBorders>
              <w:top w:val="nil"/>
              <w:left w:val="single" w:color="000000" w:sz="2" w:space="0"/>
              <w:bottom w:val="nil"/>
              <w:right w:val="single" w:color="000000" w:sz="2" w:space="0"/>
            </w:tcBorders>
            <w:noWrap/>
            <w:vAlign w:val="center"/>
          </w:tcPr>
          <w:p>
            <w:pPr>
              <w:rPr>
                <w:color w:val="auto"/>
              </w:rPr>
            </w:pPr>
          </w:p>
        </w:tc>
        <w:tc>
          <w:tcPr>
            <w:tcW w:w="2372" w:type="dxa"/>
            <w:vMerge w:val="continue"/>
            <w:tcBorders>
              <w:top w:val="nil"/>
              <w:left w:val="single" w:color="000000" w:sz="2" w:space="0"/>
              <w:bottom w:val="nil"/>
              <w:right w:val="single" w:color="000000" w:sz="2" w:space="0"/>
            </w:tcBorders>
            <w:noWrap/>
            <w:vAlign w:val="center"/>
          </w:tcPr>
          <w:p>
            <w:pPr>
              <w:rPr>
                <w:color w:val="auto"/>
              </w:rPr>
            </w:pPr>
          </w:p>
        </w:tc>
        <w:tc>
          <w:tcPr>
            <w:tcW w:w="1463" w:type="dxa"/>
            <w:vMerge w:val="continue"/>
            <w:tcBorders>
              <w:top w:val="nil"/>
              <w:left w:val="single" w:color="000000" w:sz="2" w:space="0"/>
              <w:bottom w:val="nil"/>
              <w:right w:val="single" w:color="000000" w:sz="2" w:space="0"/>
            </w:tcBorders>
            <w:noWrap/>
            <w:vAlign w:val="center"/>
          </w:tcPr>
          <w:p>
            <w:pPr>
              <w:rPr>
                <w:color w:val="auto"/>
              </w:rPr>
            </w:pPr>
          </w:p>
        </w:tc>
        <w:tc>
          <w:tcPr>
            <w:tcW w:w="1584" w:type="dxa"/>
            <w:vMerge w:val="continue"/>
            <w:tcBorders>
              <w:top w:val="nil"/>
              <w:left w:val="single" w:color="000000" w:sz="2" w:space="0"/>
              <w:bottom w:val="nil"/>
              <w:right w:val="single" w:color="000000" w:sz="2" w:space="0"/>
            </w:tcBorders>
            <w:noWrap/>
            <w:vAlign w:val="center"/>
          </w:tcPr>
          <w:p>
            <w:pPr>
              <w:rPr>
                <w:color w:val="auto"/>
              </w:rPr>
            </w:p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17"/>
                <w:w w:val="100"/>
                <w:position w:val="0"/>
                <w:sz w:val="20"/>
                <w:szCs w:val="20"/>
              </w:rPr>
              <w:t>《中华人民共和国噪声污染防治法》</w:t>
            </w:r>
          </w:p>
        </w:tc>
        <w:tc>
          <w:tcPr>
            <w:tcW w:w="455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1701" w:type="dxa"/>
            <w:vMerge w:val="continue"/>
            <w:tcBorders>
              <w:top w:val="nil"/>
              <w:left w:val="single" w:color="000000" w:sz="2" w:space="0"/>
              <w:bottom w:val="nil"/>
              <w:right w:val="single" w:color="000000" w:sz="2"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637" w:type="dxa"/>
            <w:vMerge w:val="continue"/>
            <w:tcBorders>
              <w:top w:val="nil"/>
              <w:left w:val="single" w:color="000000" w:sz="2" w:space="0"/>
              <w:bottom w:val="single" w:color="auto" w:sz="4" w:space="0"/>
              <w:right w:val="single" w:color="000000" w:sz="2" w:space="0"/>
            </w:tcBorders>
            <w:noWrap/>
            <w:vAlign w:val="center"/>
          </w:tcPr>
          <w:p>
            <w:pPr>
              <w:rPr>
                <w:color w:val="auto"/>
              </w:rPr>
            </w:pPr>
          </w:p>
        </w:tc>
        <w:tc>
          <w:tcPr>
            <w:tcW w:w="2372" w:type="dxa"/>
            <w:vMerge w:val="continue"/>
            <w:tcBorders>
              <w:top w:val="nil"/>
              <w:left w:val="single" w:color="000000" w:sz="2" w:space="0"/>
              <w:bottom w:val="single" w:color="auto" w:sz="4" w:space="0"/>
              <w:right w:val="single" w:color="000000" w:sz="2" w:space="0"/>
            </w:tcBorders>
            <w:noWrap/>
            <w:vAlign w:val="center"/>
          </w:tcPr>
          <w:p>
            <w:pPr>
              <w:rPr>
                <w:color w:val="auto"/>
              </w:rPr>
            </w:pPr>
          </w:p>
        </w:tc>
        <w:tc>
          <w:tcPr>
            <w:tcW w:w="1463" w:type="dxa"/>
            <w:vMerge w:val="continue"/>
            <w:tcBorders>
              <w:top w:val="nil"/>
              <w:left w:val="single" w:color="000000" w:sz="2" w:space="0"/>
              <w:bottom w:val="single" w:color="auto" w:sz="4" w:space="0"/>
              <w:right w:val="single" w:color="000000" w:sz="2" w:space="0"/>
            </w:tcBorders>
            <w:noWrap/>
            <w:vAlign w:val="center"/>
          </w:tcPr>
          <w:p>
            <w:pPr>
              <w:rPr>
                <w:color w:val="auto"/>
              </w:rPr>
            </w:pPr>
          </w:p>
        </w:tc>
        <w:tc>
          <w:tcPr>
            <w:tcW w:w="1584" w:type="dxa"/>
            <w:vMerge w:val="continue"/>
            <w:tcBorders>
              <w:top w:val="nil"/>
              <w:left w:val="single" w:color="000000" w:sz="2" w:space="0"/>
              <w:bottom w:val="single" w:color="auto" w:sz="4" w:space="0"/>
              <w:right w:val="single" w:color="000000" w:sz="2" w:space="0"/>
            </w:tcBorders>
            <w:noWrap/>
            <w:vAlign w:val="center"/>
          </w:tcPr>
          <w:p>
            <w:pPr>
              <w:rPr>
                <w:color w:val="auto"/>
              </w:rPr>
            </w:pPr>
          </w:p>
        </w:tc>
        <w:tc>
          <w:tcPr>
            <w:tcW w:w="337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《建设项目环境保护管理条例》</w:t>
            </w:r>
          </w:p>
        </w:tc>
        <w:tc>
          <w:tcPr>
            <w:tcW w:w="4551" w:type="dxa"/>
            <w:vMerge w:val="continue"/>
            <w:tcBorders>
              <w:top w:val="single" w:color="000000" w:sz="2" w:space="0"/>
              <w:left w:val="single" w:color="000000" w:sz="2" w:space="0"/>
              <w:bottom w:val="single" w:color="auto" w:sz="4" w:space="0"/>
              <w:right w:val="single" w:color="000000" w:sz="2" w:space="0"/>
            </w:tcBorders>
            <w:noWrap/>
            <w:vAlign w:val="center"/>
          </w:tcPr>
          <w:p>
            <w:pPr>
              <w:rPr>
                <w:color w:val="auto"/>
              </w:rPr>
            </w:pPr>
          </w:p>
        </w:tc>
        <w:tc>
          <w:tcPr>
            <w:tcW w:w="1701" w:type="dxa"/>
            <w:vMerge w:val="continue"/>
            <w:tcBorders>
              <w:top w:val="nil"/>
              <w:left w:val="single" w:color="000000" w:sz="2" w:space="0"/>
              <w:bottom w:val="single" w:color="auto" w:sz="4" w:space="0"/>
              <w:right w:val="single" w:color="000000" w:sz="2"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138</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核与辐射类建设项目环境影响评价审批</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小金生态环境局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小金生态环境局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《中华人民共和国环境保护法》</w:t>
            </w:r>
          </w:p>
        </w:tc>
        <w:tc>
          <w:tcPr>
            <w:tcW w:w="455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《中华人民共和国环境影响评价法》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pPr>
              <w:rPr>
                <w:color w:val="auto"/>
              </w:rPr>
            </w:p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《中华人民共和国环境影响评价法》</w:t>
            </w:r>
          </w:p>
        </w:tc>
        <w:tc>
          <w:tcPr>
            <w:tcW w:w="4551"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95"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pPr>
              <w:rPr>
                <w:color w:val="auto"/>
              </w:rPr>
            </w:p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3374" w:type="dxa"/>
            <w:tcBorders>
              <w:top w:val="single" w:color="auto" w:sz="4" w:space="0"/>
              <w:left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《中华人民共和国放射性污染防治法》</w:t>
            </w:r>
          </w:p>
        </w:tc>
        <w:tc>
          <w:tcPr>
            <w:tcW w:w="4551" w:type="dxa"/>
            <w:tcBorders>
              <w:top w:val="single" w:color="auto" w:sz="4" w:space="0"/>
              <w:left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《建设项目环境保护管理条例》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140</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江河、湖泊新建、改建或者扩大排污口审批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小金生态环境局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小金生态环境局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《中华人民共和国水法》</w:t>
            </w: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《中华人民共和国水法》</w:t>
            </w:r>
          </w:p>
        </w:tc>
        <w:tc>
          <w:tcPr>
            <w:tcW w:w="1701"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637" w:type="dxa"/>
            <w:vMerge w:val="continue"/>
            <w:tcBorders>
              <w:top w:val="nil"/>
              <w:left w:val="single" w:color="000000" w:sz="2" w:space="0"/>
              <w:bottom w:val="nil"/>
              <w:right w:val="single" w:color="000000" w:sz="2" w:space="0"/>
            </w:tcBorders>
            <w:noWrap/>
            <w:vAlign w:val="center"/>
          </w:tcPr>
          <w:p>
            <w:pPr>
              <w:rPr>
                <w:color w:val="auto"/>
              </w:rPr>
            </w:pPr>
          </w:p>
        </w:tc>
        <w:tc>
          <w:tcPr>
            <w:tcW w:w="2372" w:type="dxa"/>
            <w:vMerge w:val="continue"/>
            <w:tcBorders>
              <w:top w:val="nil"/>
              <w:left w:val="single" w:color="000000" w:sz="2" w:space="0"/>
              <w:bottom w:val="nil"/>
              <w:right w:val="single" w:color="000000" w:sz="2" w:space="0"/>
            </w:tcBorders>
            <w:noWrap/>
            <w:vAlign w:val="center"/>
          </w:tcPr>
          <w:p>
            <w:pPr>
              <w:rPr>
                <w:color w:val="auto"/>
              </w:rPr>
            </w:pPr>
          </w:p>
        </w:tc>
        <w:tc>
          <w:tcPr>
            <w:tcW w:w="1463" w:type="dxa"/>
            <w:vMerge w:val="continue"/>
            <w:tcBorders>
              <w:top w:val="nil"/>
              <w:left w:val="single" w:color="000000" w:sz="2" w:space="0"/>
              <w:bottom w:val="nil"/>
              <w:right w:val="single" w:color="000000" w:sz="2" w:space="0"/>
            </w:tcBorders>
            <w:noWrap/>
            <w:vAlign w:val="center"/>
          </w:tcPr>
          <w:p>
            <w:pPr>
              <w:rPr>
                <w:color w:val="auto"/>
              </w:rPr>
            </w:pPr>
          </w:p>
        </w:tc>
        <w:tc>
          <w:tcPr>
            <w:tcW w:w="1584" w:type="dxa"/>
            <w:vMerge w:val="continue"/>
            <w:tcBorders>
              <w:top w:val="nil"/>
              <w:left w:val="single" w:color="000000" w:sz="2" w:space="0"/>
              <w:bottom w:val="nil"/>
              <w:right w:val="single" w:color="000000" w:sz="2" w:space="0"/>
            </w:tcBorders>
            <w:noWrap/>
            <w:vAlign w:val="center"/>
          </w:tcPr>
          <w:p>
            <w:pPr>
              <w:rPr>
                <w:color w:val="auto"/>
              </w:rPr>
            </w:p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《中华人民共和国水污染防治法》</w:t>
            </w:r>
          </w:p>
        </w:tc>
        <w:tc>
          <w:tcPr>
            <w:tcW w:w="4551" w:type="dxa"/>
            <w:vMerge w:val="restart"/>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《入河排污口监督管理办法》</w:t>
            </w:r>
          </w:p>
        </w:tc>
        <w:tc>
          <w:tcPr>
            <w:tcW w:w="1701" w:type="dxa"/>
            <w:vMerge w:val="continue"/>
            <w:tcBorders>
              <w:top w:val="nil"/>
              <w:left w:val="single" w:color="000000" w:sz="2" w:space="0"/>
              <w:bottom w:val="nil"/>
              <w:right w:val="single" w:color="000000" w:sz="2"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637" w:type="dxa"/>
            <w:vMerge w:val="continue"/>
            <w:tcBorders>
              <w:top w:val="nil"/>
              <w:left w:val="single" w:color="000000" w:sz="2" w:space="0"/>
              <w:bottom w:val="nil"/>
              <w:right w:val="single" w:color="000000" w:sz="2" w:space="0"/>
            </w:tcBorders>
            <w:noWrap/>
            <w:vAlign w:val="center"/>
          </w:tcPr>
          <w:p>
            <w:pPr>
              <w:rPr>
                <w:color w:val="auto"/>
              </w:rPr>
            </w:pPr>
          </w:p>
        </w:tc>
        <w:tc>
          <w:tcPr>
            <w:tcW w:w="2372" w:type="dxa"/>
            <w:vMerge w:val="continue"/>
            <w:tcBorders>
              <w:top w:val="nil"/>
              <w:left w:val="single" w:color="000000" w:sz="2" w:space="0"/>
              <w:bottom w:val="nil"/>
              <w:right w:val="single" w:color="000000" w:sz="2" w:space="0"/>
            </w:tcBorders>
            <w:noWrap/>
            <w:vAlign w:val="center"/>
          </w:tcPr>
          <w:p>
            <w:pPr>
              <w:rPr>
                <w:color w:val="auto"/>
              </w:rPr>
            </w:pPr>
          </w:p>
        </w:tc>
        <w:tc>
          <w:tcPr>
            <w:tcW w:w="1463" w:type="dxa"/>
            <w:vMerge w:val="continue"/>
            <w:tcBorders>
              <w:top w:val="nil"/>
              <w:left w:val="single" w:color="000000" w:sz="2" w:space="0"/>
              <w:bottom w:val="nil"/>
              <w:right w:val="single" w:color="000000" w:sz="2" w:space="0"/>
            </w:tcBorders>
            <w:noWrap/>
            <w:vAlign w:val="center"/>
          </w:tcPr>
          <w:p>
            <w:pPr>
              <w:rPr>
                <w:color w:val="auto"/>
              </w:rPr>
            </w:pPr>
          </w:p>
        </w:tc>
        <w:tc>
          <w:tcPr>
            <w:tcW w:w="1584" w:type="dxa"/>
            <w:vMerge w:val="continue"/>
            <w:tcBorders>
              <w:top w:val="nil"/>
              <w:left w:val="single" w:color="000000" w:sz="2" w:space="0"/>
              <w:bottom w:val="nil"/>
              <w:right w:val="single" w:color="000000" w:sz="2" w:space="0"/>
            </w:tcBorders>
            <w:noWrap/>
            <w:vAlign w:val="center"/>
          </w:tcPr>
          <w:p>
            <w:pPr>
              <w:rPr>
                <w:color w:val="auto"/>
              </w:rPr>
            </w:p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《中华人民共和国长江保护法》</w:t>
            </w:r>
          </w:p>
        </w:tc>
        <w:tc>
          <w:tcPr>
            <w:tcW w:w="455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1701" w:type="dxa"/>
            <w:vMerge w:val="continue"/>
            <w:tcBorders>
              <w:top w:val="nil"/>
              <w:left w:val="single" w:color="000000" w:sz="2" w:space="0"/>
              <w:bottom w:val="nil"/>
              <w:right w:val="single" w:color="000000" w:sz="2"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637"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2372"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1463"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1584"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《中华人民共和国黄河保护法》</w:t>
            </w:r>
          </w:p>
        </w:tc>
        <w:tc>
          <w:tcPr>
            <w:tcW w:w="455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1701" w:type="dxa"/>
            <w:vMerge w:val="continue"/>
            <w:tcBorders>
              <w:top w:val="nil"/>
              <w:left w:val="single" w:color="000000" w:sz="2" w:space="0"/>
              <w:bottom w:val="single" w:color="000000" w:sz="2" w:space="0"/>
              <w:right w:val="single" w:color="000000" w:sz="2"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141</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危险废物经营许可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小金生态环境局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小金生态环境局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《中华人民共和国固体废物污染环境防治法》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《中华人民共和国固体废物污染环境防治法》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75"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637"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2372"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1463"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1584"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3374" w:type="dxa"/>
            <w:tcBorders>
              <w:top w:val="single" w:color="000000" w:sz="2" w:space="0"/>
              <w:left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《危险废物经营许可证管理办法》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《危险废物经营许可证管理办法》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55"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147</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green"/>
              </w:rPr>
            </w:pPr>
            <w:r>
              <w:rPr>
                <w:rFonts w:hint="eastAsia" w:ascii="方正仿宋_GBK" w:eastAsia="方正仿宋_GBK" w:cs="方正仿宋_GBK"/>
                <w:b w:val="0"/>
                <w:bCs w:val="0"/>
                <w:color w:val="auto"/>
                <w:spacing w:val="0"/>
                <w:w w:val="100"/>
                <w:position w:val="0"/>
                <w:sz w:val="20"/>
                <w:szCs w:val="20"/>
                <w:highlight w:val="none"/>
              </w:rPr>
              <w:t>放射性核素排放许可</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小金生态环境局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小金生态环境局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《中华人民共和国放射性污染防治法》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《中华人民共和国放射性污染防治法》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158</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建筑工程施工许可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《中华人民共和国建筑法》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《中华人民共和国建筑法》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637" w:type="dxa"/>
            <w:vMerge w:val="continue"/>
            <w:tcBorders>
              <w:top w:val="nil"/>
              <w:left w:val="single" w:color="000000" w:sz="2" w:space="0"/>
              <w:bottom w:val="nil"/>
              <w:right w:val="single" w:color="000000" w:sz="2" w:space="0"/>
            </w:tcBorders>
            <w:noWrap/>
            <w:vAlign w:val="center"/>
          </w:tcPr>
          <w:p>
            <w:pPr>
              <w:rPr>
                <w:color w:val="auto"/>
              </w:rPr>
            </w:pPr>
          </w:p>
        </w:tc>
        <w:tc>
          <w:tcPr>
            <w:tcW w:w="2372" w:type="dxa"/>
            <w:vMerge w:val="continue"/>
            <w:tcBorders>
              <w:top w:val="nil"/>
              <w:left w:val="single" w:color="000000" w:sz="2" w:space="0"/>
              <w:bottom w:val="nil"/>
              <w:right w:val="single" w:color="000000" w:sz="2" w:space="0"/>
            </w:tcBorders>
            <w:noWrap/>
            <w:vAlign w:val="center"/>
          </w:tcPr>
          <w:p>
            <w:pPr>
              <w:rPr>
                <w:color w:val="auto"/>
              </w:rPr>
            </w:pPr>
          </w:p>
        </w:tc>
        <w:tc>
          <w:tcPr>
            <w:tcW w:w="1463" w:type="dxa"/>
            <w:vMerge w:val="continue"/>
            <w:tcBorders>
              <w:top w:val="nil"/>
              <w:left w:val="single" w:color="000000" w:sz="2" w:space="0"/>
              <w:bottom w:val="nil"/>
              <w:right w:val="single" w:color="000000" w:sz="2" w:space="0"/>
            </w:tcBorders>
            <w:noWrap/>
            <w:vAlign w:val="center"/>
          </w:tcPr>
          <w:p>
            <w:pPr>
              <w:rPr>
                <w:color w:val="auto"/>
              </w:rPr>
            </w:pPr>
          </w:p>
        </w:tc>
        <w:tc>
          <w:tcPr>
            <w:tcW w:w="1584" w:type="dxa"/>
            <w:vMerge w:val="continue"/>
            <w:tcBorders>
              <w:top w:val="nil"/>
              <w:left w:val="single" w:color="000000" w:sz="2" w:space="0"/>
              <w:bottom w:val="nil"/>
              <w:right w:val="single" w:color="000000" w:sz="2" w:space="0"/>
            </w:tcBorders>
            <w:noWrap/>
            <w:vAlign w:val="center"/>
          </w:tcPr>
          <w:p>
            <w:pPr>
              <w:rPr>
                <w:color w:val="auto"/>
              </w:rPr>
            </w:pPr>
          </w:p>
        </w:tc>
        <w:tc>
          <w:tcPr>
            <w:tcW w:w="3374" w:type="dxa"/>
            <w:vMerge w:val="continue"/>
            <w:tcBorders>
              <w:top w:val="nil"/>
              <w:left w:val="single" w:color="000000" w:sz="2" w:space="0"/>
              <w:bottom w:val="nil"/>
              <w:right w:val="single" w:color="000000" w:sz="2" w:space="0"/>
            </w:tcBorders>
            <w:noWrap/>
            <w:vAlign w:val="center"/>
          </w:tcPr>
          <w:p>
            <w:pPr>
              <w:rPr>
                <w:color w:val="auto"/>
              </w:rPr>
            </w:p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《建设工程质量管理条例》</w:t>
            </w:r>
          </w:p>
        </w:tc>
        <w:tc>
          <w:tcPr>
            <w:tcW w:w="1701" w:type="dxa"/>
            <w:vMerge w:val="continue"/>
            <w:tcBorders>
              <w:top w:val="nil"/>
              <w:left w:val="single" w:color="000000" w:sz="2" w:space="0"/>
              <w:bottom w:val="nil"/>
              <w:right w:val="single" w:color="000000" w:sz="2"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color w:val="auto"/>
              </w:rPr>
            </w:pPr>
          </w:p>
        </w:tc>
        <w:tc>
          <w:tcPr>
            <w:tcW w:w="637"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2372"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1463"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1584"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3374" w:type="dxa"/>
            <w:vMerge w:val="continue"/>
            <w:tcBorders>
              <w:top w:val="nil"/>
              <w:left w:val="single" w:color="000000" w:sz="2" w:space="0"/>
              <w:bottom w:val="single" w:color="000000" w:sz="2" w:space="0"/>
              <w:right w:val="single" w:color="000000" w:sz="2" w:space="0"/>
            </w:tcBorders>
            <w:noWrap/>
            <w:vAlign w:val="center"/>
          </w:tcPr>
          <w:p>
            <w:pPr>
              <w:rPr>
                <w:color w:val="auto"/>
              </w:rPr>
            </w:p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《建筑工程施工许可管理办法》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165</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商品房预售许可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snapToGrid w:val="0"/>
                <w:color w:val="auto"/>
                <w:spacing w:val="0"/>
                <w:w w:val="100"/>
                <w:kern w:val="0"/>
                <w:position w:val="0"/>
                <w:sz w:val="20"/>
                <w:szCs w:val="20"/>
                <w:lang w:val="en-US" w:bidi="ar-SA"/>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snapToGrid w:val="0"/>
                <w:color w:val="auto"/>
                <w:spacing w:val="0"/>
                <w:w w:val="100"/>
                <w:kern w:val="0"/>
                <w:position w:val="0"/>
                <w:sz w:val="20"/>
                <w:szCs w:val="20"/>
                <w:lang w:val="en-US" w:bidi="ar-SA"/>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《中华人民共和国城市房地产管理法》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《中华人民共和国城市房地产管理法》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《城市房地产开发经营管理条例》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《城市商品房预售管理办法》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167</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关闭、闲置、拆除城市环境卫生设施许可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snapToGrid w:val="0"/>
                <w:color w:val="auto"/>
                <w:spacing w:val="0"/>
                <w:w w:val="100"/>
                <w:kern w:val="0"/>
                <w:position w:val="0"/>
                <w:sz w:val="20"/>
                <w:szCs w:val="20"/>
                <w:lang w:val="en-US" w:bidi="ar-SA"/>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r>
              <w:rPr>
                <w:rFonts w:hint="eastAsia" w:ascii="方正仿宋_GBK" w:eastAsia="方正仿宋_GBK" w:cs="方正仿宋_GBK"/>
                <w:color w:val="auto"/>
                <w:spacing w:val="0"/>
                <w:w w:val="100"/>
                <w:position w:val="0"/>
                <w:sz w:val="20"/>
                <w:szCs w:val="20"/>
              </w:rPr>
              <w:t>会同生态环境部门</w:t>
            </w:r>
            <w:r>
              <w:rPr>
                <w:rFonts w:hint="eastAsia" w:ascii="方正仿宋_GBK" w:eastAsia="方正仿宋_GBK" w:cs="方正仿宋_GBK"/>
                <w:color w:val="auto"/>
                <w:spacing w:val="0"/>
                <w:w w:val="100"/>
                <w:position w:val="0"/>
                <w:sz w:val="20"/>
                <w:szCs w:val="20"/>
                <w:lang w:eastAsia="zh-CN"/>
              </w:rPr>
              <w:t>）</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《中华人民共和国固体废物污染环境防治法》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《中华人民共和国固体废物污染环境防治法》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《城市市容和环境卫生管理条例》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《城市生活垃圾管理办法》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168</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拆除环境卫生设施许可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《城市市容和环境卫生管理条例》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《城市市容和环境卫生管理条例》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《城市生活垃圾管理办法》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169</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从事城市生活垃圾经营性清扫、收集、运输、处理服务审批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《城市生活垃圾管理办法》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170</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城市建筑垃圾处置核准</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《建设部关于纳入国务院决定的十五项行政许可的条件的规定》</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《城市建筑垃圾管理规定》</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171</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城镇污水排入排水管网许可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《城镇排水与污水处理条例》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《城镇排水与污水处理条例》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《四川省城镇排水与污水处理条例》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172</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拆除、改动、迁移城市公共供水设施审核</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《城市供水条例》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《城市供水条例》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《四川省城市供水条例》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173</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拆除、改动城镇排水与污水处理设施审核</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《城镇排水与污水处理条例》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《城镇排水与污水处理条例》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《四川省城镇排水与污水处理条例》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174</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由于工程施工、设备维修等原因确需停止供水的审批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《城市供水条例》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《城市供水条例》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《四川省城市供水条例》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175</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燃气经营许可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《城镇燃气管理条例》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《城镇燃气管理条例》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省级负责跨市（州）行政区域的燃气经营许可。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《四川省燃气管理条例》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176</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燃气经营者改动市政燃气设施审批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《城镇燃气管理条例》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《城镇燃气管理条例》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《国务院关于第六批取消和调整行政审批项目的决定》（国发〔2012〕52号）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《四川省燃气管理条例》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177</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市政设施建设类审批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lang w:eastAsia="zh-CN"/>
                <w14:textFill>
                  <w14:solidFill>
                    <w14:schemeClr w14:val="tx1"/>
                  </w14:solidFill>
                </w14:textFill>
              </w:rPr>
              <w:t>县住建局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县政府（由</w:t>
            </w:r>
            <w:r>
              <w:rPr>
                <w:rFonts w:hint="eastAsia" w:ascii="方正仿宋_GBK" w:eastAsia="方正仿宋_GBK" w:cs="方正仿宋_GBK"/>
                <w:color w:val="000000" w:themeColor="text1"/>
                <w:spacing w:val="0"/>
                <w:w w:val="100"/>
                <w:position w:val="0"/>
                <w:sz w:val="20"/>
                <w:szCs w:val="20"/>
                <w:lang w:eastAsia="zh-CN"/>
                <w14:textFill>
                  <w14:solidFill>
                    <w14:schemeClr w14:val="tx1"/>
                  </w14:solidFill>
                </w14:textFill>
              </w:rPr>
              <w:t>县住建局、</w:t>
            </w: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县</w:t>
            </w:r>
            <w:r>
              <w:rPr>
                <w:rFonts w:hint="eastAsia" w:ascii="方正仿宋_GBK" w:eastAsia="方正仿宋_GBK" w:cs="方正仿宋_GBK"/>
                <w:color w:val="000000" w:themeColor="text1"/>
                <w:spacing w:val="0"/>
                <w:w w:val="100"/>
                <w:position w:val="0"/>
                <w:sz w:val="20"/>
                <w:szCs w:val="20"/>
                <w:lang w:eastAsia="zh-CN"/>
                <w14:textFill>
                  <w14:solidFill>
                    <w14:schemeClr w14:val="tx1"/>
                  </w14:solidFill>
                </w14:textFill>
              </w:rPr>
              <w:t>公用服务中心承办）</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《城市道路管理条例》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《城市道路管理条例》</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178</w:t>
            </w:r>
          </w:p>
        </w:tc>
        <w:tc>
          <w:tcPr>
            <w:tcW w:w="2372"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特殊车辆在城市道路上行驶审批</w:t>
            </w:r>
          </w:p>
        </w:tc>
        <w:tc>
          <w:tcPr>
            <w:tcW w:w="1463"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lang w:eastAsia="zh-CN"/>
                <w14:textFill>
                  <w14:solidFill>
                    <w14:schemeClr w14:val="tx1"/>
                  </w14:solidFill>
                </w14:textFill>
              </w:rPr>
              <w:t>县住建局</w:t>
            </w:r>
          </w:p>
        </w:tc>
        <w:tc>
          <w:tcPr>
            <w:tcW w:w="158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县</w:t>
            </w:r>
            <w:r>
              <w:rPr>
                <w:rFonts w:hint="eastAsia" w:ascii="方正仿宋_GBK" w:eastAsia="方正仿宋_GBK" w:cs="方正仿宋_GBK"/>
                <w:color w:val="000000" w:themeColor="text1"/>
                <w:spacing w:val="0"/>
                <w:w w:val="100"/>
                <w:position w:val="0"/>
                <w:sz w:val="20"/>
                <w:szCs w:val="20"/>
                <w:lang w:eastAsia="zh-CN"/>
                <w14:textFill>
                  <w14:solidFill>
                    <w14:schemeClr w14:val="tx1"/>
                  </w14:solidFill>
                </w14:textFill>
              </w:rPr>
              <w:t>公用事业服务中心</w:t>
            </w:r>
          </w:p>
        </w:tc>
        <w:tc>
          <w:tcPr>
            <w:tcW w:w="337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《城市道路管理条例》</w:t>
            </w: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《城市桥梁检测和养护维修管理办法》</w:t>
            </w:r>
          </w:p>
        </w:tc>
        <w:tc>
          <w:tcPr>
            <w:tcW w:w="1701"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179</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改变绿化规划、绿化用地的使用性质审批</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highlight w:val="none"/>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highlight w:val="none"/>
                <w:lang w:eastAsia="zh-CN"/>
                <w14:textFill>
                  <w14:solidFill>
                    <w14:schemeClr w14:val="tx1"/>
                  </w14:solidFill>
                </w14:textFill>
              </w:rPr>
              <w:t>县住建局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highlight w:val="none"/>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highlight w:val="none"/>
                <w14:textFill>
                  <w14:solidFill>
                    <w14:schemeClr w14:val="tx1"/>
                  </w14:solidFill>
                </w14:textFill>
              </w:rPr>
              <w:t>县</w:t>
            </w:r>
            <w:r>
              <w:rPr>
                <w:rFonts w:hint="eastAsia" w:ascii="方正仿宋_GBK" w:eastAsia="方正仿宋_GBK" w:cs="方正仿宋_GBK"/>
                <w:color w:val="000000" w:themeColor="text1"/>
                <w:spacing w:val="0"/>
                <w:w w:val="100"/>
                <w:position w:val="0"/>
                <w:sz w:val="20"/>
                <w:szCs w:val="20"/>
                <w:highlight w:val="none"/>
                <w:lang w:eastAsia="zh-CN"/>
                <w14:textFill>
                  <w14:solidFill>
                    <w14:schemeClr w14:val="tx1"/>
                  </w14:solidFill>
                </w14:textFill>
              </w:rPr>
              <w:t>公用事业服务中心</w:t>
            </w:r>
          </w:p>
        </w:tc>
        <w:tc>
          <w:tcPr>
            <w:tcW w:w="3374"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《国务院对确需保留的行政审批项目设定行政许可的决定》</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《城市绿化条例》</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000000" w:sz="2" w:space="0"/>
              <w:right w:val="single" w:color="000000" w:sz="2" w:space="0"/>
            </w:tcBorders>
            <w:noWrap/>
            <w:vAlign w:val="center"/>
          </w:tcPr>
          <w:p/>
        </w:tc>
        <w:tc>
          <w:tcPr>
            <w:tcW w:w="2372"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1463" w:type="dxa"/>
            <w:vMerge w:val="continue"/>
            <w:tcBorders>
              <w:top w:val="single" w:color="auto" w:sz="4" w:space="0"/>
              <w:left w:val="single" w:color="000000" w:sz="2" w:space="0"/>
              <w:bottom w:val="single" w:color="000000" w:sz="2" w:space="0"/>
              <w:right w:val="single" w:color="000000" w:sz="2" w:space="0"/>
            </w:tcBorders>
            <w:noWrap/>
            <w:vAlign w:val="center"/>
          </w:tcPr>
          <w:p>
            <w:pPr>
              <w:rPr>
                <w:color w:val="000000" w:themeColor="text1"/>
                <w14:textFill>
                  <w14:solidFill>
                    <w14:schemeClr w14:val="tx1"/>
                  </w14:solidFill>
                </w14:textFill>
              </w:rPr>
            </w:pPr>
          </w:p>
        </w:tc>
        <w:tc>
          <w:tcPr>
            <w:tcW w:w="1584" w:type="dxa"/>
            <w:vMerge w:val="continue"/>
            <w:tcBorders>
              <w:top w:val="single" w:color="auto" w:sz="4" w:space="0"/>
              <w:left w:val="single" w:color="000000" w:sz="2" w:space="0"/>
              <w:bottom w:val="single" w:color="000000" w:sz="2" w:space="0"/>
              <w:right w:val="single" w:color="000000" w:sz="2" w:space="0"/>
            </w:tcBorders>
            <w:noWrap/>
            <w:vAlign w:val="center"/>
          </w:tcPr>
          <w:p>
            <w:pPr>
              <w:rPr>
                <w:color w:val="000000" w:themeColor="text1"/>
                <w14:textFill>
                  <w14:solidFill>
                    <w14:schemeClr w14:val="tx1"/>
                  </w14:solidFill>
                </w14:textFill>
              </w:rPr>
            </w:pPr>
          </w:p>
        </w:tc>
        <w:tc>
          <w:tcPr>
            <w:tcW w:w="3374" w:type="dxa"/>
            <w:vMerge w:val="continue"/>
            <w:tcBorders>
              <w:top w:val="single" w:color="auto" w:sz="4" w:space="0"/>
              <w:left w:val="single" w:color="000000" w:sz="2" w:space="0"/>
              <w:bottom w:val="single" w:color="000000" w:sz="2" w:space="0"/>
              <w:right w:val="single" w:color="000000" w:sz="2" w:space="0"/>
            </w:tcBorders>
            <w:noWrap/>
            <w:vAlign w:val="center"/>
          </w:tcPr>
          <w:p>
            <w:pPr>
              <w:rPr>
                <w:color w:val="000000" w:themeColor="text1"/>
                <w14:textFill>
                  <w14:solidFill>
                    <w14:schemeClr w14:val="tx1"/>
                  </w14:solidFill>
                </w14:textFill>
              </w:rPr>
            </w:p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《四川省城市园林绿化条例》</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180</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工程建设涉及城市绿地、树木审批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lang w:eastAsia="zh-CN"/>
                <w14:textFill>
                  <w14:solidFill>
                    <w14:schemeClr w14:val="tx1"/>
                  </w14:solidFill>
                </w14:textFill>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县</w:t>
            </w:r>
            <w:r>
              <w:rPr>
                <w:rFonts w:hint="eastAsia" w:ascii="方正仿宋_GBK" w:eastAsia="方正仿宋_GBK" w:cs="方正仿宋_GBK"/>
                <w:color w:val="000000" w:themeColor="text1"/>
                <w:spacing w:val="0"/>
                <w:w w:val="100"/>
                <w:position w:val="0"/>
                <w:sz w:val="20"/>
                <w:szCs w:val="20"/>
                <w:lang w:eastAsia="zh-CN"/>
                <w14:textFill>
                  <w14:solidFill>
                    <w14:schemeClr w14:val="tx1"/>
                  </w14:solidFill>
                </w14:textFill>
              </w:rPr>
              <w:t>公用事业服务中心</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《城市绿化条例》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《四川省城市园林绿化条例》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pPr>
              <w:rPr>
                <w:color w:val="000000" w:themeColor="text1"/>
                <w14:textFill>
                  <w14:solidFill>
                    <w14:schemeClr w14:val="tx1"/>
                  </w14:solidFill>
                </w14:textFill>
              </w:rPr>
            </w:pPr>
          </w:p>
        </w:tc>
        <w:tc>
          <w:tcPr>
            <w:tcW w:w="1584" w:type="dxa"/>
            <w:vMerge w:val="continue"/>
            <w:tcBorders>
              <w:top w:val="nil"/>
              <w:left w:val="single" w:color="000000" w:sz="2" w:space="0"/>
              <w:bottom w:val="single" w:color="000000" w:sz="2" w:space="0"/>
              <w:right w:val="single" w:color="000000" w:sz="2" w:space="0"/>
            </w:tcBorders>
            <w:noWrap/>
            <w:vAlign w:val="center"/>
          </w:tcPr>
          <w:p>
            <w:pPr>
              <w:rPr>
                <w:color w:val="000000" w:themeColor="text1"/>
                <w14:textFill>
                  <w14:solidFill>
                    <w14:schemeClr w14:val="tx1"/>
                  </w14:solidFill>
                </w14:textFill>
              </w:rPr>
            </w:pPr>
          </w:p>
        </w:tc>
        <w:tc>
          <w:tcPr>
            <w:tcW w:w="3374" w:type="dxa"/>
            <w:vMerge w:val="continue"/>
            <w:tcBorders>
              <w:top w:val="nil"/>
              <w:left w:val="single" w:color="000000" w:sz="2" w:space="0"/>
              <w:bottom w:val="single" w:color="000000" w:sz="2" w:space="0"/>
              <w:right w:val="single" w:color="000000" w:sz="2" w:space="0"/>
            </w:tcBorders>
            <w:noWrap/>
            <w:vAlign w:val="center"/>
          </w:tcPr>
          <w:p>
            <w:pPr>
              <w:rPr>
                <w:color w:val="000000" w:themeColor="text1"/>
                <w14:textFill>
                  <w14:solidFill>
                    <w14:schemeClr w14:val="tx1"/>
                  </w14:solidFill>
                </w14:textFill>
              </w:rPr>
            </w:p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000000" w:themeColor="text1"/>
                <w:spacing w:val="0"/>
                <w:w w:val="100"/>
                <w:position w:val="0"/>
                <w:sz w:val="20"/>
                <w:szCs w:val="20"/>
                <w14:textFill>
                  <w14:solidFill>
                    <w14:schemeClr w14:val="tx1"/>
                  </w14:solidFill>
                </w14:textFill>
              </w:rPr>
            </w:pP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《四川省古树名木保护条例》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181</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历史建筑实施原址保护审批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县住建局</w:t>
            </w:r>
            <w:r>
              <w:rPr>
                <w:rFonts w:hint="eastAsia" w:ascii="方正仿宋_GBK" w:eastAsia="方正仿宋_GBK" w:cs="方正仿宋_GBK"/>
                <w:color w:val="auto"/>
                <w:spacing w:val="0"/>
                <w:w w:val="100"/>
                <w:position w:val="0"/>
                <w:sz w:val="20"/>
                <w:szCs w:val="20"/>
              </w:rPr>
              <w:t>会同</w:t>
            </w:r>
            <w:r>
              <w:rPr>
                <w:rFonts w:hint="eastAsia" w:ascii="方正仿宋_GBK" w:eastAsia="方正仿宋_GBK" w:cs="方正仿宋_GBK"/>
                <w:color w:val="auto"/>
                <w:spacing w:val="0"/>
                <w:w w:val="100"/>
                <w:position w:val="0"/>
                <w:sz w:val="20"/>
                <w:szCs w:val="20"/>
                <w:lang w:eastAsia="zh-CN"/>
              </w:rPr>
              <w:t>县文广体旅局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《历史文化名城名镇名村保护条例》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《历史文化名城名镇名村保护条例》</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182</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历史文化街区、名镇、名村核心保护范围内拆除历史建筑以外的建筑物、构筑物或者其他设施审批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r>
              <w:rPr>
                <w:rFonts w:hint="eastAsia" w:ascii="方正仿宋_GBK" w:eastAsia="方正仿宋_GBK" w:cs="方正仿宋_GBK"/>
                <w:color w:val="auto"/>
                <w:spacing w:val="0"/>
                <w:w w:val="100"/>
                <w:position w:val="0"/>
                <w:sz w:val="20"/>
                <w:szCs w:val="20"/>
              </w:rPr>
              <w:t>会同</w:t>
            </w:r>
            <w:r>
              <w:rPr>
                <w:rFonts w:hint="eastAsia" w:ascii="方正仿宋_GBK" w:eastAsia="方正仿宋_GBK" w:cs="方正仿宋_GBK"/>
                <w:color w:val="auto"/>
                <w:spacing w:val="0"/>
                <w:w w:val="100"/>
                <w:position w:val="0"/>
                <w:sz w:val="20"/>
                <w:szCs w:val="20"/>
                <w:lang w:eastAsia="zh-CN"/>
              </w:rPr>
              <w:t>县文广体旅局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《历史文化名城名镇名村保护条例》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《历史文化名城名镇名村保护条例》</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183</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历史建筑外部修缮装饰、添加设施以及改变历史建筑的结构或者使用性质审批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r>
              <w:rPr>
                <w:rFonts w:hint="eastAsia" w:ascii="方正仿宋_GBK" w:eastAsia="方正仿宋_GBK" w:cs="方正仿宋_GBK"/>
                <w:color w:val="auto"/>
                <w:spacing w:val="0"/>
                <w:w w:val="100"/>
                <w:position w:val="0"/>
                <w:sz w:val="20"/>
                <w:szCs w:val="20"/>
              </w:rPr>
              <w:t>会同</w:t>
            </w:r>
            <w:r>
              <w:rPr>
                <w:rFonts w:hint="eastAsia" w:ascii="方正仿宋_GBK" w:eastAsia="方正仿宋_GBK" w:cs="方正仿宋_GBK"/>
                <w:color w:val="auto"/>
                <w:spacing w:val="0"/>
                <w:w w:val="100"/>
                <w:position w:val="0"/>
                <w:sz w:val="20"/>
                <w:szCs w:val="20"/>
                <w:lang w:eastAsia="zh-CN"/>
              </w:rPr>
              <w:t>县文广体旅局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《历史文化名城名镇名村保护条例》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《历史文化名城名镇名村保护条例》</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184</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建设工程消防设计审查</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《中华人民共和国消防法》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《中华人民共和国消防法》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《建设工程消防设计审查验收管理暂行规定》</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《四川省消防条例》</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185</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建设工程消防验收</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《中华人民共和国消防法》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《中华人民共和国消防法》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nil"/>
              <w:right w:val="single" w:color="000000" w:sz="2" w:space="0"/>
            </w:tcBorders>
            <w:noWrap/>
            <w:vAlign w:val="center"/>
          </w:tcPr>
          <w:p/>
        </w:tc>
        <w:tc>
          <w:tcPr>
            <w:tcW w:w="2372" w:type="dxa"/>
            <w:vMerge w:val="continue"/>
            <w:tcBorders>
              <w:top w:val="single" w:color="auto" w:sz="4" w:space="0"/>
              <w:left w:val="single" w:color="000000" w:sz="2" w:space="0"/>
              <w:bottom w:val="nil"/>
              <w:right w:val="single" w:color="000000" w:sz="2" w:space="0"/>
            </w:tcBorders>
            <w:noWrap/>
            <w:vAlign w:val="center"/>
          </w:tcPr>
          <w:p/>
        </w:tc>
        <w:tc>
          <w:tcPr>
            <w:tcW w:w="1463" w:type="dxa"/>
            <w:vMerge w:val="continue"/>
            <w:tcBorders>
              <w:top w:val="single" w:color="auto" w:sz="4" w:space="0"/>
              <w:left w:val="single" w:color="000000" w:sz="2" w:space="0"/>
              <w:bottom w:val="nil"/>
              <w:right w:val="single" w:color="000000" w:sz="2" w:space="0"/>
            </w:tcBorders>
            <w:noWrap/>
            <w:vAlign w:val="center"/>
          </w:tcPr>
          <w:p/>
        </w:tc>
        <w:tc>
          <w:tcPr>
            <w:tcW w:w="1584" w:type="dxa"/>
            <w:vMerge w:val="continue"/>
            <w:tcBorders>
              <w:top w:val="single" w:color="auto" w:sz="4" w:space="0"/>
              <w:left w:val="single" w:color="000000" w:sz="2" w:space="0"/>
              <w:bottom w:val="nil"/>
              <w:right w:val="single" w:color="000000" w:sz="2" w:space="0"/>
            </w:tcBorders>
            <w:noWrap/>
            <w:vAlign w:val="center"/>
          </w:tcPr>
          <w:p/>
        </w:tc>
        <w:tc>
          <w:tcPr>
            <w:tcW w:w="3374" w:type="dxa"/>
            <w:vMerge w:val="continue"/>
            <w:tcBorders>
              <w:top w:val="single" w:color="auto" w:sz="4" w:space="0"/>
              <w:left w:val="single" w:color="000000" w:sz="2" w:space="0"/>
              <w:bottom w:val="nil"/>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《建设工程消防设计审查验收管理暂行规定》</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nil"/>
              <w:left w:val="single" w:color="auto" w:sz="4"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《四川省消防条例》</w:t>
            </w:r>
          </w:p>
        </w:tc>
        <w:tc>
          <w:tcPr>
            <w:tcW w:w="1701" w:type="dxa"/>
            <w:vMerge w:val="continue"/>
            <w:tcBorders>
              <w:top w:val="nil"/>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1"/>
              </w:numPr>
              <w:kinsoku/>
              <w:wordWrap/>
              <w:overflowPunct/>
              <w:topLinePunct w:val="0"/>
              <w:autoSpaceDE w:val="0"/>
              <w:autoSpaceDN w:val="0"/>
              <w:bidi w:val="0"/>
              <w:adjustRightInd w:val="0"/>
              <w:snapToGri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186</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在村庄、集镇规划区内公共场所修建临时建筑等设施审批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val="en-US" w:eastAsia="zh-CN"/>
              </w:rPr>
              <w:t>乡、</w:t>
            </w:r>
            <w:r>
              <w:rPr>
                <w:rFonts w:hint="eastAsia" w:ascii="方正仿宋_GBK" w:eastAsia="方正仿宋_GBK" w:cs="方正仿宋_GBK"/>
                <w:color w:val="auto"/>
                <w:spacing w:val="0"/>
                <w:w w:val="100"/>
                <w:position w:val="0"/>
                <w:sz w:val="20"/>
                <w:szCs w:val="20"/>
              </w:rPr>
              <w:t>镇政府</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《村庄和集镇规划建设管理条例》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《村庄和集镇规划建设管理条例》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《四川省村镇规划建设管理条例》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81</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187</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设置大型户外广告及在城市建筑物、设施上悬挂、张贴宣传品审批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《城市市容和环境卫生管理条例》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《城市市容和环境卫生管理条例》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auto" w:sz="4"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《四川省城乡环境综合治理条例》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left="0" w:right="0" w:firstLine="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82</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188</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临时性建筑物搭建、堆放物料、占道施工审批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《城市市容和环境卫生管理条例》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《城市市容和环境卫生管理条例》</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rPr>
            </w:pPr>
            <w:r>
              <w:rPr>
                <w:rFonts w:hint="eastAsia" w:ascii="方正仿宋_GBK" w:eastAsia="方正仿宋_GBK" w:cs="方正仿宋_GBK"/>
                <w:color w:val="auto"/>
                <w:spacing w:val="0"/>
                <w:w w:val="100"/>
                <w:position w:val="0"/>
                <w:sz w:val="20"/>
                <w:szCs w:val="20"/>
                <w:lang w:val="en-US" w:eastAsia="zh-CN"/>
              </w:rPr>
              <w:t>83</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189</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建筑起重机械使用登记</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县住建局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《中华人民共和国特种设备安全法》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《中华人民共和国特种设备安全法》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《建设工程安全生产管理条例》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《建设工程安全生产管理条例》</w:t>
            </w: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《建筑起重机械安全监督管理规定》</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84</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190</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公路建设项目设计文件审批</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《中华人民共和国公路法》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《建设工程勘察设计管理条例》</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《公路工程设计变更管理办法》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《公路建设市场管理办法》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《建设工程质量管理条例》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《农村公路建设管理办法》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《四川省建设工程勘察设计管理条例》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《建设工程勘察设计管理条例》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《四川省农村公路建设管理办法》（川交规〔2022〕2号）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85</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191</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公路建设项目施工许可</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《中华人民共和国公路法》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《中华人民共和国公路法》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nil"/>
              <w:right w:val="single" w:color="000000" w:sz="2" w:space="0"/>
            </w:tcBorders>
            <w:noWrap/>
            <w:vAlign w:val="center"/>
          </w:tcPr>
          <w:p/>
        </w:tc>
        <w:tc>
          <w:tcPr>
            <w:tcW w:w="2372" w:type="dxa"/>
            <w:vMerge w:val="continue"/>
            <w:tcBorders>
              <w:top w:val="single" w:color="auto" w:sz="4" w:space="0"/>
              <w:left w:val="single" w:color="000000" w:sz="2" w:space="0"/>
              <w:bottom w:val="nil"/>
              <w:right w:val="single" w:color="000000" w:sz="2" w:space="0"/>
            </w:tcBorders>
            <w:noWrap/>
            <w:vAlign w:val="center"/>
          </w:tcPr>
          <w:p/>
        </w:tc>
        <w:tc>
          <w:tcPr>
            <w:tcW w:w="1463" w:type="dxa"/>
            <w:vMerge w:val="continue"/>
            <w:tcBorders>
              <w:top w:val="single" w:color="auto" w:sz="4" w:space="0"/>
              <w:left w:val="single" w:color="000000" w:sz="2" w:space="0"/>
              <w:bottom w:val="nil"/>
              <w:right w:val="single" w:color="000000" w:sz="2" w:space="0"/>
            </w:tcBorders>
            <w:noWrap/>
            <w:vAlign w:val="center"/>
          </w:tcPr>
          <w:p/>
        </w:tc>
        <w:tc>
          <w:tcPr>
            <w:tcW w:w="1584" w:type="dxa"/>
            <w:vMerge w:val="continue"/>
            <w:tcBorders>
              <w:top w:val="single" w:color="auto" w:sz="4" w:space="0"/>
              <w:left w:val="single" w:color="000000" w:sz="2" w:space="0"/>
              <w:bottom w:val="nil"/>
              <w:right w:val="single" w:color="000000" w:sz="2" w:space="0"/>
            </w:tcBorders>
            <w:noWrap/>
            <w:vAlign w:val="center"/>
          </w:tcPr>
          <w:p/>
        </w:tc>
        <w:tc>
          <w:tcPr>
            <w:tcW w:w="3374" w:type="dxa"/>
            <w:vMerge w:val="continue"/>
            <w:tcBorders>
              <w:top w:val="single" w:color="auto" w:sz="4" w:space="0"/>
              <w:left w:val="single" w:color="000000" w:sz="2" w:space="0"/>
              <w:bottom w:val="nil"/>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《国务院关于取消和调整一批行政审批项目等事项的决定》（国发〔2014〕50号）</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nil"/>
              <w:left w:val="single" w:color="auto" w:sz="4"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《公路建设市场管理办法》</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nil"/>
              <w:left w:val="single" w:color="auto" w:sz="4"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《四川省农村公路建设管理办法》（川交规〔2022〕2号）</w:t>
            </w:r>
          </w:p>
        </w:tc>
        <w:tc>
          <w:tcPr>
            <w:tcW w:w="1701" w:type="dxa"/>
            <w:vMerge w:val="continue"/>
            <w:tcBorders>
              <w:top w:val="nil"/>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86</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192</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公路建设项目竣工验收</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《中华人民共和国公路法》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《建设工程质量管理条例》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《公路建设监督管理办法》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restart"/>
            <w:tcBorders>
              <w:top w:val="single" w:color="000000" w:sz="2" w:space="0"/>
              <w:left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《收费公路管理条例》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《公路工程竣（交）工验收办法》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left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《农村公路建设管理办法》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left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《四川省普通国省干线公路建设管理办法》（川交规〔2023〕2号）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80"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left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《四川省农村公路建设管理办法》（川交规〔2022〕2号）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87</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194</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公路超限运输许可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《中华人民共和国公路法》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《公路安全保护条例》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《公路安全保护条例》</w:t>
            </w: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《超限运输车辆行驶公路管理规定》</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88</w:t>
            </w:r>
          </w:p>
        </w:tc>
        <w:tc>
          <w:tcPr>
            <w:tcW w:w="637" w:type="dxa"/>
            <w:vMerge w:val="restart"/>
            <w:tcBorders>
              <w:top w:val="single" w:color="auto" w:sz="4" w:space="0"/>
              <w:left w:val="single" w:color="auto" w:sz="4"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195</w:t>
            </w:r>
          </w:p>
        </w:tc>
        <w:tc>
          <w:tcPr>
            <w:tcW w:w="2372"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涉路施工许可</w:t>
            </w:r>
          </w:p>
        </w:tc>
        <w:tc>
          <w:tcPr>
            <w:tcW w:w="1463"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3374" w:type="dxa"/>
            <w:vMerge w:val="restart"/>
            <w:tcBorders>
              <w:top w:val="single" w:color="auto" w:sz="4" w:space="0"/>
              <w:left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《中华人民共和国公路法》</w:t>
            </w:r>
          </w:p>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《公路安全保护条例》</w:t>
            </w:r>
          </w:p>
        </w:tc>
        <w:tc>
          <w:tcPr>
            <w:tcW w:w="4551" w:type="dxa"/>
            <w:tcBorders>
              <w:top w:val="single" w:color="auto" w:sz="4"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《公路安全保护条例》</w:t>
            </w:r>
          </w:p>
        </w:tc>
        <w:tc>
          <w:tcPr>
            <w:tcW w:w="1701" w:type="dxa"/>
            <w:vMerge w:val="restart"/>
            <w:tcBorders>
              <w:top w:val="single" w:color="000000" w:sz="2" w:space="0"/>
              <w:left w:val="single" w:color="auto" w:sz="4"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nil"/>
              <w:left w:val="single" w:color="auto" w:sz="4"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left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《路政管理规定》</w:t>
            </w:r>
          </w:p>
        </w:tc>
        <w:tc>
          <w:tcPr>
            <w:tcW w:w="1701" w:type="dxa"/>
            <w:vMerge w:val="continue"/>
            <w:tcBorders>
              <w:top w:val="nil"/>
              <w:left w:val="single" w:color="auto" w:sz="4"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nil"/>
              <w:left w:val="single" w:color="auto" w:sz="4"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left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《四川省高速公路条例》</w:t>
            </w:r>
          </w:p>
        </w:tc>
        <w:tc>
          <w:tcPr>
            <w:tcW w:w="1701" w:type="dxa"/>
            <w:vMerge w:val="continue"/>
            <w:tcBorders>
              <w:top w:val="nil"/>
              <w:left w:val="single" w:color="auto" w:sz="4"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12"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nil"/>
              <w:left w:val="single" w:color="auto" w:sz="4"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《四川省人民政府办公厅关于进一步促进普通国省道建管养运协调发展的意见》（川办发〔2016〕54号）</w:t>
            </w:r>
          </w:p>
        </w:tc>
        <w:tc>
          <w:tcPr>
            <w:tcW w:w="1701" w:type="dxa"/>
            <w:vMerge w:val="continue"/>
            <w:tcBorders>
              <w:top w:val="nil"/>
              <w:left w:val="single" w:color="auto" w:sz="4"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89</w:t>
            </w:r>
          </w:p>
        </w:tc>
        <w:tc>
          <w:tcPr>
            <w:tcW w:w="637" w:type="dxa"/>
            <w:vMerge w:val="restart"/>
            <w:tcBorders>
              <w:top w:val="single" w:color="auto" w:sz="4"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197</w:t>
            </w:r>
          </w:p>
        </w:tc>
        <w:tc>
          <w:tcPr>
            <w:tcW w:w="2372"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更新采伐护路林审批</w:t>
            </w:r>
          </w:p>
        </w:tc>
        <w:tc>
          <w:tcPr>
            <w:tcW w:w="1463"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《中华人民共和国公路法》</w:t>
            </w: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《公路安全保护条例》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《公路安全保护条例》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《路政管理规定》</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40"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《四川省人民政府办公厅关于进一步促进普通国省道建管养运协调发展的意见》（川办发〔2016〕54号）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rPr>
            </w:pPr>
            <w:r>
              <w:rPr>
                <w:rFonts w:hint="eastAsia" w:ascii="方正仿宋_GBK" w:eastAsia="方正仿宋_GBK" w:cs="方正仿宋_GBK"/>
                <w:color w:val="auto"/>
                <w:spacing w:val="0"/>
                <w:w w:val="100"/>
                <w:position w:val="0"/>
                <w:sz w:val="20"/>
                <w:szCs w:val="20"/>
                <w:lang w:val="en-US" w:eastAsia="zh-CN"/>
              </w:rPr>
              <w:t>90</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202</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道路旅客运输经营许可</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《中华人民共和国道路运输条例》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《道路旅客运输及客运站管理规定》</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91</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203</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道路旅客运输站经营许可</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《中华人民共和国道路运输条例》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《道路旅客运输及客运站管理规定》</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92</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204</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11"/>
                <w:w w:val="100"/>
                <w:position w:val="0"/>
                <w:sz w:val="20"/>
                <w:szCs w:val="20"/>
              </w:rPr>
              <w:t>道路货物运输经营许可（除使用4500千克及以下普通货运车辆从事普通货运经营外）</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《中华人民共和国道路运输条例》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《道路货物运输及站场管理规定》</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93</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207</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出租汽车经营许可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《巡游出租汽车经营服务管理规定》</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《网络预约出租汽车经营服务管理暂行办法》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94</w:t>
            </w:r>
          </w:p>
        </w:tc>
        <w:tc>
          <w:tcPr>
            <w:tcW w:w="637" w:type="dxa"/>
            <w:vMerge w:val="restart"/>
            <w:tcBorders>
              <w:top w:val="single" w:color="000000" w:sz="2" w:space="0"/>
              <w:left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208</w:t>
            </w:r>
          </w:p>
        </w:tc>
        <w:tc>
          <w:tcPr>
            <w:tcW w:w="2372" w:type="dxa"/>
            <w:vMerge w:val="restart"/>
            <w:tcBorders>
              <w:top w:val="single" w:color="000000" w:sz="2" w:space="0"/>
              <w:left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出租汽车车辆运营证核发</w:t>
            </w:r>
          </w:p>
        </w:tc>
        <w:tc>
          <w:tcPr>
            <w:tcW w:w="1463" w:type="dxa"/>
            <w:vMerge w:val="restart"/>
            <w:tcBorders>
              <w:top w:val="single" w:color="000000" w:sz="2" w:space="0"/>
              <w:left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vMerge w:val="restart"/>
            <w:tcBorders>
              <w:top w:val="single" w:color="000000" w:sz="2" w:space="0"/>
              <w:left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3374" w:type="dxa"/>
            <w:vMerge w:val="restart"/>
            <w:tcBorders>
              <w:top w:val="single" w:color="000000" w:sz="2" w:space="0"/>
              <w:left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《巡游出租汽车经营服务管理规定》</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left w:val="single" w:color="000000" w:sz="2" w:space="0"/>
              <w:right w:val="single" w:color="000000" w:sz="2" w:space="0"/>
            </w:tcBorders>
            <w:noWrap/>
            <w:vAlign w:val="center"/>
          </w:tcPr>
          <w:p/>
        </w:tc>
        <w:tc>
          <w:tcPr>
            <w:tcW w:w="637" w:type="dxa"/>
            <w:vMerge w:val="continue"/>
            <w:tcBorders>
              <w:left w:val="single" w:color="000000" w:sz="2" w:space="0"/>
              <w:right w:val="single" w:color="000000" w:sz="2" w:space="0"/>
            </w:tcBorders>
            <w:noWrap/>
            <w:vAlign w:val="center"/>
          </w:tcPr>
          <w:p/>
        </w:tc>
        <w:tc>
          <w:tcPr>
            <w:tcW w:w="2372" w:type="dxa"/>
            <w:vMerge w:val="continue"/>
            <w:tcBorders>
              <w:left w:val="single" w:color="000000" w:sz="2" w:space="0"/>
              <w:right w:val="single" w:color="000000" w:sz="2" w:space="0"/>
            </w:tcBorders>
            <w:noWrap/>
            <w:vAlign w:val="center"/>
          </w:tcPr>
          <w:p/>
        </w:tc>
        <w:tc>
          <w:tcPr>
            <w:tcW w:w="1463" w:type="dxa"/>
            <w:vMerge w:val="continue"/>
            <w:tcBorders>
              <w:left w:val="single" w:color="000000" w:sz="2" w:space="0"/>
              <w:right w:val="single" w:color="000000" w:sz="2" w:space="0"/>
            </w:tcBorders>
            <w:noWrap/>
            <w:vAlign w:val="center"/>
          </w:tcPr>
          <w:p/>
        </w:tc>
        <w:tc>
          <w:tcPr>
            <w:tcW w:w="1584" w:type="dxa"/>
            <w:vMerge w:val="continue"/>
            <w:tcBorders>
              <w:left w:val="single" w:color="000000" w:sz="2" w:space="0"/>
              <w:right w:val="single" w:color="000000" w:sz="2" w:space="0"/>
            </w:tcBorders>
            <w:noWrap/>
            <w:vAlign w:val="center"/>
          </w:tcPr>
          <w:p/>
        </w:tc>
        <w:tc>
          <w:tcPr>
            <w:tcW w:w="3374" w:type="dxa"/>
            <w:vMerge w:val="continue"/>
            <w:tcBorders>
              <w:left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《网络预约出租汽车经营服务管理暂行办法》</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left w:val="single" w:color="000000" w:sz="2" w:space="0"/>
              <w:bottom w:val="single" w:color="auto" w:sz="4"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eastAsia" w:ascii="方正仿宋_GBK" w:eastAsia="方正仿宋_GBK" w:cs="方正仿宋_GBK"/>
                <w:color w:val="auto"/>
                <w:spacing w:val="0"/>
                <w:w w:val="100"/>
                <w:position w:val="0"/>
                <w:sz w:val="20"/>
                <w:szCs w:val="20"/>
                <w:lang w:val="en-US" w:eastAsia="zh-CN"/>
              </w:rPr>
            </w:pPr>
          </w:p>
        </w:tc>
        <w:tc>
          <w:tcPr>
            <w:tcW w:w="637" w:type="dxa"/>
            <w:vMerge w:val="continue"/>
            <w:tcBorders>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2372" w:type="dxa"/>
            <w:vMerge w:val="continue"/>
            <w:tcBorders>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p>
        </w:tc>
        <w:tc>
          <w:tcPr>
            <w:tcW w:w="1463" w:type="dxa"/>
            <w:vMerge w:val="continue"/>
            <w:tcBorders>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p>
        </w:tc>
        <w:tc>
          <w:tcPr>
            <w:tcW w:w="1584" w:type="dxa"/>
            <w:vMerge w:val="continue"/>
            <w:tcBorders>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p>
        </w:tc>
        <w:tc>
          <w:tcPr>
            <w:tcW w:w="3374" w:type="dxa"/>
            <w:vMerge w:val="continue"/>
            <w:tcBorders>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Times New Roman" w:hAnsi="Times New Roman" w:eastAsia="方正仿宋_GBK"/>
                <w:color w:val="auto"/>
                <w:spacing w:val="0"/>
                <w:w w:val="100"/>
                <w:position w:val="0"/>
              </w:rPr>
              <w:t>《阿坝藏族羌族自治州网络预约出租汽车经营服务管理实施细则（试行）》（阿州交法规〔2024〕1号）</w:t>
            </w:r>
          </w:p>
        </w:tc>
        <w:tc>
          <w:tcPr>
            <w:tcW w:w="170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95</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213</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水运工程建设项目竣工验收</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《中华人民共和国港口法》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《国务院关于取消和调整一批行政审批项目等事项的决定》（国发〔2014〕27号）</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航道工程根据项目立项核准层级申请竣工验收。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《中华人民共和国航道法》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《港口工程建设管理规定》</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《中华人民共和国航道管理条例》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《航道工程建设管理规定》</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《四川省交通运输厅关于转发〈航道工程建设管理规定〉的通知》（川交函〔2020〕100号）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95" w:hRule="atLeast"/>
          <w:jc w:val="center"/>
        </w:trPr>
        <w:tc>
          <w:tcPr>
            <w:tcW w:w="571" w:type="dxa"/>
            <w:vMerge w:val="continue"/>
            <w:tcBorders>
              <w:top w:val="single" w:color="auto" w:sz="4"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000000" w:sz="2" w:space="0"/>
              <w:right w:val="single" w:color="000000" w:sz="2" w:space="0"/>
            </w:tcBorders>
            <w:noWrap/>
            <w:vAlign w:val="center"/>
          </w:tcPr>
          <w:p/>
        </w:tc>
        <w:tc>
          <w:tcPr>
            <w:tcW w:w="2372"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1463"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1584"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3374"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《四川省交通运输厅关于印发〈四川省重点水运工程建设管理办法〉的通知》（川交规〔2023〕4号）</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96</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222</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港口内进行危险货物的装卸、过驳作业许可</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《中华人民共和国港口法》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《港口危险货物安全管理规定》</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97</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225</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6"/>
                <w:w w:val="100"/>
                <w:position w:val="0"/>
                <w:sz w:val="20"/>
                <w:szCs w:val="20"/>
              </w:rPr>
              <w:t>在内河通航水域载运、拖带超重、超长、超高、超宽、半潜物体或者拖放竹、木等物体许可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r>
              <w:rPr>
                <w:rFonts w:hint="eastAsia" w:ascii="方正仿宋_GBK" w:eastAsia="方正仿宋_GBK" w:cs="方正仿宋_GBK"/>
                <w:color w:val="auto"/>
                <w:spacing w:val="0"/>
                <w:w w:val="100"/>
                <w:position w:val="0"/>
                <w:sz w:val="20"/>
                <w:szCs w:val="20"/>
              </w:rPr>
              <w:t>负责长江干线以外的水域</w:t>
            </w:r>
            <w:r>
              <w:rPr>
                <w:rFonts w:hint="eastAsia" w:ascii="方正仿宋_GBK" w:eastAsia="方正仿宋_GBK" w:cs="方正仿宋_GBK"/>
                <w:color w:val="auto"/>
                <w:spacing w:val="0"/>
                <w:w w:val="100"/>
                <w:position w:val="0"/>
                <w:sz w:val="20"/>
                <w:szCs w:val="20"/>
                <w:lang w:eastAsia="zh-CN"/>
              </w:rPr>
              <w:t>）</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《中华人民共和国内河交通安全管理条例》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《中华人民共和国内河交通安全管理条例》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《中华人民共和国海事行政许可条件规定》</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《交通运输部办公厅关于全面推行直属海事系统权责清单制度的通知》（交办海〔2018〕19号）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98</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228</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船舶进行散装液体污染危害性货物或者危险货物过驳作业许可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r>
              <w:rPr>
                <w:rFonts w:hint="eastAsia" w:ascii="方正仿宋_GBK" w:eastAsia="方正仿宋_GBK" w:cs="方正仿宋_GBK"/>
                <w:color w:val="auto"/>
                <w:spacing w:val="0"/>
                <w:w w:val="100"/>
                <w:position w:val="0"/>
                <w:sz w:val="20"/>
                <w:szCs w:val="20"/>
              </w:rPr>
              <w:t>（负责长江干线以外的水域）</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《中华人民共和国水污染防治法》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《中华人民共和国内河交通安全管理条例》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《交通运输部办公厅关于全面推行直属海事系统权责清单制度的通知》（交办海〔2018〕19号）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99</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229</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船舶载运污染危害性货物或者危险货物进出港口许可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r>
              <w:rPr>
                <w:rFonts w:hint="eastAsia" w:ascii="方正仿宋_GBK" w:eastAsia="方正仿宋_GBK" w:cs="方正仿宋_GBK"/>
                <w:color w:val="auto"/>
                <w:spacing w:val="0"/>
                <w:w w:val="100"/>
                <w:position w:val="0"/>
                <w:sz w:val="20"/>
                <w:szCs w:val="20"/>
              </w:rPr>
              <w:t>（负责长江干线以外的水域）</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《中华人民共和国内河交通安全管理条例》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《中华人民共和国内河交通安全管理条例》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《交通运输部办公厅关于全面推行直属海事系统权责清单制度的通知》（交办海〔2018〕19号）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100</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230</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海域或者内河通航水域、岸线施工作业许可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r>
              <w:rPr>
                <w:rFonts w:hint="eastAsia" w:ascii="方正仿宋_GBK" w:eastAsia="方正仿宋_GBK" w:cs="方正仿宋_GBK"/>
                <w:color w:val="auto"/>
                <w:spacing w:val="0"/>
                <w:w w:val="100"/>
                <w:position w:val="0"/>
                <w:sz w:val="20"/>
                <w:szCs w:val="20"/>
              </w:rPr>
              <w:t>（负责长江干线以外的水域）</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《中华人民共和国内河交通安全管理条例》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《中华人民共和国内河交通安全管理条例》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《水上水下作业和活动通航安全管理规定》</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101</w:t>
            </w:r>
          </w:p>
        </w:tc>
        <w:tc>
          <w:tcPr>
            <w:tcW w:w="637"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235</w:t>
            </w:r>
          </w:p>
        </w:tc>
        <w:tc>
          <w:tcPr>
            <w:tcW w:w="2372"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设置或者撤销内河渡口审批</w:t>
            </w:r>
          </w:p>
        </w:tc>
        <w:tc>
          <w:tcPr>
            <w:tcW w:w="1463"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县交通运输局</w:t>
            </w:r>
          </w:p>
        </w:tc>
        <w:tc>
          <w:tcPr>
            <w:tcW w:w="158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县政府（由</w:t>
            </w:r>
            <w:r>
              <w:rPr>
                <w:rFonts w:hint="eastAsia" w:ascii="方正仿宋_GBK" w:eastAsia="方正仿宋_GBK" w:cs="方正仿宋_GBK"/>
                <w:color w:val="auto"/>
                <w:spacing w:val="0"/>
                <w:w w:val="100"/>
                <w:position w:val="0"/>
                <w:sz w:val="20"/>
                <w:szCs w:val="20"/>
                <w:lang w:eastAsia="zh-CN"/>
              </w:rPr>
              <w:t>县交通运输局</w:t>
            </w:r>
            <w:r>
              <w:rPr>
                <w:rFonts w:hint="eastAsia" w:ascii="方正仿宋_GBK" w:eastAsia="方正仿宋_GBK" w:cs="方正仿宋_GBK"/>
                <w:color w:val="auto"/>
                <w:spacing w:val="0"/>
                <w:w w:val="100"/>
                <w:position w:val="0"/>
                <w:sz w:val="20"/>
                <w:szCs w:val="20"/>
              </w:rPr>
              <w:t>承办）</w:t>
            </w:r>
          </w:p>
        </w:tc>
        <w:tc>
          <w:tcPr>
            <w:tcW w:w="337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《中华人民共和国内河交通安全管理条例》</w:t>
            </w: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《中华人民共和国内河交通安全管理条例》</w:t>
            </w:r>
          </w:p>
        </w:tc>
        <w:tc>
          <w:tcPr>
            <w:tcW w:w="1701"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rPr>
            </w:pPr>
            <w:r>
              <w:rPr>
                <w:rFonts w:hint="eastAsia" w:ascii="方正仿宋_GBK" w:eastAsia="方正仿宋_GBK" w:cs="方正仿宋_GBK"/>
                <w:color w:val="auto"/>
                <w:spacing w:val="0"/>
                <w:w w:val="100"/>
                <w:position w:val="0"/>
                <w:sz w:val="20"/>
                <w:szCs w:val="20"/>
                <w:lang w:val="en-US" w:eastAsia="zh-CN"/>
              </w:rPr>
              <w:t>102</w:t>
            </w:r>
          </w:p>
        </w:tc>
        <w:tc>
          <w:tcPr>
            <w:tcW w:w="637" w:type="dxa"/>
            <w:vMerge w:val="restart"/>
            <w:tcBorders>
              <w:top w:val="single" w:color="auto" w:sz="4" w:space="0"/>
              <w:left w:val="single" w:color="auto" w:sz="4"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243</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水利基建项目初步设计文件审批</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《政府投资条例》</w:t>
            </w:r>
          </w:p>
        </w:tc>
        <w:tc>
          <w:tcPr>
            <w:tcW w:w="1701" w:type="dxa"/>
            <w:vMerge w:val="restart"/>
            <w:tcBorders>
              <w:top w:val="single" w:color="auto" w:sz="4" w:space="0"/>
              <w:left w:val="single" w:color="000000" w:sz="2"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《水利工程建设项目管理规定（试行）》</w:t>
            </w:r>
          </w:p>
        </w:tc>
        <w:tc>
          <w:tcPr>
            <w:tcW w:w="1701" w:type="dxa"/>
            <w:vMerge w:val="continue"/>
            <w:tcBorders>
              <w:top w:val="single" w:color="auto" w:sz="4" w:space="0"/>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《水利工程建设程序管理暂行规定》（水建〔1998〕16号）</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《水利水电工程初步设计报告编制规程》（标准编号SL/T619-2021）</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《四川省水利工程管理条例》</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103</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244</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取水许可</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《中华人民共和国水法》</w:t>
            </w:r>
          </w:p>
        </w:tc>
        <w:tc>
          <w:tcPr>
            <w:tcW w:w="4551" w:type="dxa"/>
            <w:tcBorders>
              <w:top w:val="single" w:color="000000" w:sz="2" w:space="0"/>
              <w:left w:val="single" w:color="auto" w:sz="4"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《取水许可和水资源费征收管理条例》</w:t>
            </w:r>
          </w:p>
        </w:tc>
        <w:tc>
          <w:tcPr>
            <w:tcW w:w="4551" w:type="dxa"/>
            <w:tcBorders>
              <w:top w:val="single" w:color="000000" w:sz="2" w:space="0"/>
              <w:left w:val="single" w:color="auto" w:sz="4"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《取水许可和水资源费征收管理条例》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《取水许可管理办法》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《建设项目水资源论证管理办法》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《四川省水资源条例》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《四川省取水许可和水资源费征收管理办法》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104</w:t>
            </w:r>
          </w:p>
        </w:tc>
        <w:tc>
          <w:tcPr>
            <w:tcW w:w="637" w:type="dxa"/>
            <w:vMerge w:val="restart"/>
            <w:tcBorders>
              <w:top w:val="single" w:color="auto" w:sz="4"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245</w:t>
            </w:r>
          </w:p>
        </w:tc>
        <w:tc>
          <w:tcPr>
            <w:tcW w:w="2372"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洪水影响评价类审批</w:t>
            </w:r>
          </w:p>
        </w:tc>
        <w:tc>
          <w:tcPr>
            <w:tcW w:w="1463"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《中华人民共和国水法》</w:t>
            </w:r>
          </w:p>
        </w:tc>
        <w:tc>
          <w:tcPr>
            <w:tcW w:w="1701"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《中华人民共和国防洪法》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《中华人民共和国防洪法》</w:t>
            </w:r>
          </w:p>
        </w:tc>
        <w:tc>
          <w:tcPr>
            <w:tcW w:w="1701" w:type="dxa"/>
            <w:vMerge w:val="continue"/>
            <w:tcBorders>
              <w:top w:val="single" w:color="auto" w:sz="4" w:space="0"/>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《中华人民共和国河道管理条例》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《国务院关于印发清理规范投资项目报建审批事项实施方案的通知》（国发〔2016〕29号）</w:t>
            </w:r>
          </w:p>
        </w:tc>
        <w:tc>
          <w:tcPr>
            <w:tcW w:w="1701" w:type="dxa"/>
            <w:vMerge w:val="continue"/>
            <w:tcBorders>
              <w:top w:val="single" w:color="auto" w:sz="4" w:space="0"/>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《水文监测环境和设施保护办法》</w:t>
            </w:r>
          </w:p>
        </w:tc>
        <w:tc>
          <w:tcPr>
            <w:tcW w:w="1701" w:type="dxa"/>
            <w:vMerge w:val="continue"/>
            <w:tcBorders>
              <w:top w:val="single" w:color="auto" w:sz="4" w:space="0"/>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《水文站网管理办法》</w:t>
            </w:r>
          </w:p>
        </w:tc>
        <w:tc>
          <w:tcPr>
            <w:tcW w:w="1701" w:type="dxa"/>
            <w:vMerge w:val="continue"/>
            <w:tcBorders>
              <w:top w:val="single" w:color="auto" w:sz="4" w:space="0"/>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《中华人民共和国水文条例》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《水工程建设规划同意书制度管理办法（试行）》</w:t>
            </w:r>
          </w:p>
        </w:tc>
        <w:tc>
          <w:tcPr>
            <w:tcW w:w="1701" w:type="dxa"/>
            <w:vMerge w:val="continue"/>
            <w:tcBorders>
              <w:top w:val="single" w:color="auto" w:sz="4" w:space="0"/>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《水利部关于印发〈水利部简化整合投资项目涉水行政审批实施办法（试行）〉的通知》（水规计〔2016〕22号）</w:t>
            </w:r>
          </w:p>
        </w:tc>
        <w:tc>
          <w:tcPr>
            <w:tcW w:w="1701" w:type="dxa"/>
            <w:vMerge w:val="continue"/>
            <w:tcBorders>
              <w:top w:val="single" w:color="auto" w:sz="4" w:space="0"/>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105</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246</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河道管理范围内特定活动审批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《中华人民共和国河道管理条例》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《中华人民共和国防洪法》</w:t>
            </w:r>
          </w:p>
        </w:tc>
        <w:tc>
          <w:tcPr>
            <w:tcW w:w="1701"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106</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247</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河道采砂许可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《中华人民共和国水法》</w:t>
            </w:r>
          </w:p>
        </w:tc>
        <w:tc>
          <w:tcPr>
            <w:tcW w:w="455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《中华人民共和国长江保护法》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《中华人民共和国长江保护法》</w:t>
            </w:r>
          </w:p>
        </w:tc>
        <w:tc>
          <w:tcPr>
            <w:tcW w:w="4551" w:type="dxa"/>
            <w:vMerge w:val="continue"/>
            <w:tcBorders>
              <w:top w:val="nil"/>
              <w:left w:val="single" w:color="000000" w:sz="2" w:space="0"/>
              <w:bottom w:val="single" w:color="000000" w:sz="2" w:space="0"/>
              <w:right w:val="single" w:color="000000" w:sz="2" w:space="0"/>
            </w:tcBorders>
            <w:noWrap/>
            <w:vAlign w:val="center"/>
          </w:tcP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《中华人民共和国黄河保护法》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《中华人民共和国黄河保护法》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《中华人民共和国河道管理条例》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《长江河道采砂管理条例》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《长江河道采砂管理条例》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《四川省〈中华人民共和国水法〉实施办法》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《四川省河道采砂管理条例》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107</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248</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生产建设项目水土保持方案审批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《中华人民共和国水土保持法》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《中华人民共和国水土保持法》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《生产建设项目水土保持方案管理办法》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《四川省〈中华人民共和国水土保持法〉实施办法》</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108</w:t>
            </w:r>
          </w:p>
        </w:tc>
        <w:tc>
          <w:tcPr>
            <w:tcW w:w="637" w:type="dxa"/>
            <w:vMerge w:val="restart"/>
            <w:tcBorders>
              <w:top w:val="single" w:color="auto" w:sz="4" w:space="0"/>
              <w:left w:val="single" w:color="auto" w:sz="4"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254</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农村集体经济组织修建水库审批</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《中华人民共和国水法》</w:t>
            </w: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《政府投资条例》</w:t>
            </w:r>
          </w:p>
        </w:tc>
        <w:tc>
          <w:tcPr>
            <w:tcW w:w="1701" w:type="dxa"/>
            <w:vMerge w:val="restart"/>
            <w:tcBorders>
              <w:top w:val="single" w:color="auto" w:sz="4" w:space="0"/>
              <w:left w:val="single" w:color="000000" w:sz="2" w:space="0"/>
              <w:bottom w:val="nil"/>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《水行政许可实施办法》</w:t>
            </w:r>
          </w:p>
        </w:tc>
        <w:tc>
          <w:tcPr>
            <w:tcW w:w="1701" w:type="dxa"/>
            <w:vMerge w:val="continue"/>
            <w:tcBorders>
              <w:top w:val="nil"/>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《水利工程建设项目管理规定（试行）》</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《水利工程建设程序管理暂行规定》</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《水利水电工程初步设计报告编制规程》（SL/T619-2021）</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《国家发展改革委关于下放政府出资水利项目审批事项的通知》（发改农经〔2017〕2296号）</w:t>
            </w:r>
          </w:p>
        </w:tc>
        <w:tc>
          <w:tcPr>
            <w:tcW w:w="1701" w:type="dxa"/>
            <w:vMerge w:val="continue"/>
            <w:tcBorders>
              <w:top w:val="nil"/>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109</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255</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城市建设填堵水域、废除围堤审批</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县政府（</w:t>
            </w:r>
            <w:r>
              <w:rPr>
                <w:rFonts w:hint="eastAsia" w:ascii="方正仿宋_GBK" w:eastAsia="方正仿宋_GBK" w:cs="方正仿宋_GBK"/>
                <w:color w:val="auto"/>
                <w:spacing w:val="0"/>
                <w:w w:val="100"/>
                <w:position w:val="0"/>
                <w:sz w:val="20"/>
                <w:szCs w:val="20"/>
              </w:rPr>
              <w:t>由</w:t>
            </w:r>
            <w:r>
              <w:rPr>
                <w:rFonts w:hint="eastAsia" w:ascii="方正仿宋_GBK" w:eastAsia="方正仿宋_GBK" w:cs="方正仿宋_GBK"/>
                <w:color w:val="auto"/>
                <w:spacing w:val="0"/>
                <w:w w:val="100"/>
                <w:position w:val="0"/>
                <w:sz w:val="20"/>
                <w:szCs w:val="20"/>
                <w:lang w:eastAsia="zh-CN"/>
              </w:rPr>
              <w:t>县科技农畜水局</w:t>
            </w:r>
            <w:r>
              <w:rPr>
                <w:rFonts w:hint="eastAsia" w:ascii="方正仿宋_GBK" w:eastAsia="方正仿宋_GBK" w:cs="方正仿宋_GBK"/>
                <w:color w:val="auto"/>
                <w:spacing w:val="0"/>
                <w:w w:val="100"/>
                <w:position w:val="0"/>
                <w:sz w:val="20"/>
                <w:szCs w:val="20"/>
              </w:rPr>
              <w:t>承办</w:t>
            </w:r>
            <w:r>
              <w:rPr>
                <w:rFonts w:hint="eastAsia" w:ascii="方正仿宋_GBK" w:eastAsia="方正仿宋_GBK" w:cs="方正仿宋_GBK"/>
                <w:color w:val="auto"/>
                <w:spacing w:val="0"/>
                <w:w w:val="100"/>
                <w:position w:val="0"/>
                <w:sz w:val="20"/>
                <w:szCs w:val="20"/>
                <w:lang w:eastAsia="zh-CN"/>
              </w:rPr>
              <w:t>）</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《中华人民共和国防洪法》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《中华人民共和国水法》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《四川省〈中华人民共和国防洪法〉实施办法》</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110</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256</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占用农业灌溉水源、灌排工程设施审批</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《四川省水利工程管理条例》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《四川省水利厅关于公路、铁路、机场等基础设施建设与水利工程交叉跨（穿）越或迁改建设管理的意见》（川水函〔2018〕251号）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111</w:t>
            </w:r>
          </w:p>
        </w:tc>
        <w:tc>
          <w:tcPr>
            <w:tcW w:w="637"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257</w:t>
            </w:r>
          </w:p>
        </w:tc>
        <w:tc>
          <w:tcPr>
            <w:tcW w:w="2372"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利用堤顶、戗台兼做公路审批</w:t>
            </w:r>
          </w:p>
        </w:tc>
        <w:tc>
          <w:tcPr>
            <w:tcW w:w="1463"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《中华人民共和国河道管理条例》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《中华人民共和国河道管理条例》</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112</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258</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坝顶兼做公路审批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《水库大坝安全管理条例》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《中华人民共和国河道管理条例》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《四川省水利工程管理条例》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《四川省水库大坝安全管理办法》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113</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260</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大坝管理和保护范围内修建码头、鱼塘许可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《水库大坝安全管理条例》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《水库大坝安全管理条例》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70"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《四川省水库大坝安全管理办法》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114</w:t>
            </w:r>
          </w:p>
        </w:tc>
        <w:tc>
          <w:tcPr>
            <w:tcW w:w="637" w:type="dxa"/>
            <w:vMerge w:val="restart"/>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264</w:t>
            </w:r>
          </w:p>
        </w:tc>
        <w:tc>
          <w:tcPr>
            <w:tcW w:w="2372" w:type="dxa"/>
            <w:vMerge w:val="restart"/>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农药经营许可</w:t>
            </w:r>
          </w:p>
        </w:tc>
        <w:tc>
          <w:tcPr>
            <w:tcW w:w="1463" w:type="dxa"/>
            <w:vMerge w:val="restart"/>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《农药管理条例》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《农药管理条例》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《农药经营许可管理办法》</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《四川省农药管理条例》</w:t>
            </w:r>
          </w:p>
        </w:tc>
        <w:tc>
          <w:tcPr>
            <w:tcW w:w="1701" w:type="dxa"/>
            <w:vMerge w:val="continue"/>
            <w:tcBorders>
              <w:top w:val="single" w:color="auto" w:sz="4" w:space="0"/>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115</w:t>
            </w:r>
          </w:p>
        </w:tc>
        <w:tc>
          <w:tcPr>
            <w:tcW w:w="637" w:type="dxa"/>
            <w:vMerge w:val="restart"/>
            <w:tcBorders>
              <w:top w:val="single" w:color="auto" w:sz="4" w:space="0"/>
              <w:left w:val="single" w:color="000000" w:sz="2"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270</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兽药经营许可</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《兽药管理条例》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《兽药管理条例》</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《兽药经营质量管理规范》</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《兽用生物制品经营管理办法》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《四川省兽药经营质量管理规范实施办法》（川农规〔2024〕4号）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116</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273</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农作物种子生产经营许可</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《中华人民共和国种子法》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《中华人民共和国种子法》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《农作物种子生产经营许可管理办法》</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《农业转基因生物安全管理条例》</w:t>
            </w:r>
          </w:p>
        </w:tc>
        <w:tc>
          <w:tcPr>
            <w:tcW w:w="1701" w:type="dxa"/>
            <w:vMerge w:val="continue"/>
            <w:tcBorders>
              <w:top w:val="nil"/>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117</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274</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食用菌菌种生产经营许可</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《中华人民共和国种子法》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《中华人民共和国种子法》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《食用菌菌种管理办法》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《农作物种子生产经营许可管理办法》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118</w:t>
            </w:r>
          </w:p>
        </w:tc>
        <w:tc>
          <w:tcPr>
            <w:tcW w:w="637" w:type="dxa"/>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277</w:t>
            </w:r>
          </w:p>
        </w:tc>
        <w:tc>
          <w:tcPr>
            <w:tcW w:w="2372" w:type="dxa"/>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使用低于国家或地方规定的种用标准的农作物种子审批</w:t>
            </w:r>
          </w:p>
        </w:tc>
        <w:tc>
          <w:tcPr>
            <w:tcW w:w="1463" w:type="dxa"/>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县政府</w:t>
            </w:r>
          </w:p>
        </w:tc>
        <w:tc>
          <w:tcPr>
            <w:tcW w:w="1584" w:type="dxa"/>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县政府</w:t>
            </w:r>
            <w:r>
              <w:rPr>
                <w:rFonts w:hint="eastAsia" w:ascii="方正仿宋_GBK" w:eastAsia="方正仿宋_GBK" w:cs="方正仿宋_GBK"/>
                <w:color w:val="auto"/>
                <w:spacing w:val="0"/>
                <w:w w:val="100"/>
                <w:position w:val="0"/>
                <w:sz w:val="20"/>
                <w:szCs w:val="20"/>
              </w:rPr>
              <w:t>（由</w:t>
            </w:r>
            <w:r>
              <w:rPr>
                <w:rFonts w:hint="eastAsia" w:ascii="方正仿宋_GBK" w:eastAsia="方正仿宋_GBK" w:cs="方正仿宋_GBK"/>
                <w:color w:val="auto"/>
                <w:spacing w:val="0"/>
                <w:w w:val="100"/>
                <w:position w:val="0"/>
                <w:sz w:val="20"/>
                <w:szCs w:val="20"/>
                <w:lang w:eastAsia="zh-CN"/>
              </w:rPr>
              <w:t>县科技农畜水局</w:t>
            </w:r>
            <w:r>
              <w:rPr>
                <w:rFonts w:hint="eastAsia" w:ascii="方正仿宋_GBK" w:eastAsia="方正仿宋_GBK" w:cs="方正仿宋_GBK"/>
                <w:color w:val="auto"/>
                <w:spacing w:val="0"/>
                <w:w w:val="100"/>
                <w:position w:val="0"/>
                <w:sz w:val="20"/>
                <w:szCs w:val="20"/>
              </w:rPr>
              <w:t>承办</w:t>
            </w:r>
            <w:r>
              <w:rPr>
                <w:rFonts w:hint="eastAsia" w:ascii="方正仿宋_GBK" w:eastAsia="方正仿宋_GBK" w:cs="方正仿宋_GBK"/>
                <w:color w:val="auto"/>
                <w:spacing w:val="0"/>
                <w:w w:val="100"/>
                <w:position w:val="0"/>
                <w:sz w:val="20"/>
                <w:szCs w:val="20"/>
                <w:lang w:eastAsia="zh-CN"/>
              </w:rPr>
              <w:t>）</w:t>
            </w:r>
          </w:p>
        </w:tc>
        <w:tc>
          <w:tcPr>
            <w:tcW w:w="3374" w:type="dxa"/>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《中华人民共和国种子法》</w:t>
            </w: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《中华人民共和国种子法》</w:t>
            </w:r>
          </w:p>
        </w:tc>
        <w:tc>
          <w:tcPr>
            <w:tcW w:w="1701"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119</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279</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种畜禽生产经营许可</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《中华人民共和国畜牧法》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《中华人民共和国畜牧法》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《养蜂管理办法（试行）》（农业部公告第1692号）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《四川省种畜禽生产经营许可证审核发放办法》（川府函〔2007〕48号）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nil"/>
              <w:right w:val="single" w:color="000000" w:sz="2" w:space="0"/>
            </w:tcBorders>
            <w:noWrap/>
            <w:vAlign w:val="center"/>
          </w:tcPr>
          <w:p/>
        </w:tc>
        <w:tc>
          <w:tcPr>
            <w:tcW w:w="2372" w:type="dxa"/>
            <w:vMerge w:val="continue"/>
            <w:tcBorders>
              <w:top w:val="single" w:color="auto" w:sz="4" w:space="0"/>
              <w:left w:val="single" w:color="000000" w:sz="2" w:space="0"/>
              <w:bottom w:val="nil"/>
              <w:right w:val="single" w:color="000000" w:sz="2" w:space="0"/>
            </w:tcBorders>
            <w:noWrap/>
            <w:vAlign w:val="center"/>
          </w:tcPr>
          <w:p/>
        </w:tc>
        <w:tc>
          <w:tcPr>
            <w:tcW w:w="1463" w:type="dxa"/>
            <w:vMerge w:val="continue"/>
            <w:tcBorders>
              <w:top w:val="single" w:color="auto" w:sz="4" w:space="0"/>
              <w:left w:val="single" w:color="000000" w:sz="2" w:space="0"/>
              <w:bottom w:val="nil"/>
              <w:right w:val="single" w:color="000000" w:sz="2" w:space="0"/>
            </w:tcBorders>
            <w:noWrap/>
            <w:vAlign w:val="center"/>
          </w:tcPr>
          <w:p/>
        </w:tc>
        <w:tc>
          <w:tcPr>
            <w:tcW w:w="1584" w:type="dxa"/>
            <w:vMerge w:val="continue"/>
            <w:tcBorders>
              <w:top w:val="single" w:color="auto" w:sz="4" w:space="0"/>
              <w:left w:val="single" w:color="000000" w:sz="2" w:space="0"/>
              <w:bottom w:val="nil"/>
              <w:right w:val="single" w:color="000000" w:sz="2" w:space="0"/>
            </w:tcBorders>
            <w:noWrap/>
            <w:vAlign w:val="center"/>
          </w:tcPr>
          <w:p/>
        </w:tc>
        <w:tc>
          <w:tcPr>
            <w:tcW w:w="337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《农业转基因生物安全管理条例》</w:t>
            </w: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《四川省农业厅关于印发农业系统省市县三级行政审批项目目录的通知》（川农业〔2015〕5号）</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nil"/>
              <w:left w:val="single" w:color="auto" w:sz="4"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《四川省畜牧食品局关于2014年深化行政审批制度改革有关工作的通知》（川畜食函〔2014〕22号）</w:t>
            </w:r>
          </w:p>
        </w:tc>
        <w:tc>
          <w:tcPr>
            <w:tcW w:w="1701" w:type="dxa"/>
            <w:vMerge w:val="continue"/>
            <w:tcBorders>
              <w:top w:val="nil"/>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120</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280</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蚕种生产经营许可</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《中华人民共和国畜牧法》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《蚕种管理办法》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《四川省蚕种管理条例》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121</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282</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农业植物检疫证书核发</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r>
              <w:rPr>
                <w:rFonts w:hint="eastAsia" w:ascii="方正仿宋_GBK" w:eastAsia="方正仿宋_GBK" w:cs="方正仿宋_GBK"/>
                <w:color w:val="auto"/>
                <w:spacing w:val="0"/>
                <w:w w:val="100"/>
                <w:position w:val="0"/>
                <w:sz w:val="20"/>
                <w:szCs w:val="20"/>
              </w:rPr>
              <w:t>或其所属的植物检疫机构</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《植物检疫条例》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《植物检疫条例》</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nil"/>
              <w:right w:val="single" w:color="000000" w:sz="2" w:space="0"/>
            </w:tcBorders>
            <w:noWrap/>
            <w:vAlign w:val="center"/>
          </w:tcPr>
          <w:p/>
        </w:tc>
        <w:tc>
          <w:tcPr>
            <w:tcW w:w="2372" w:type="dxa"/>
            <w:vMerge w:val="continue"/>
            <w:tcBorders>
              <w:top w:val="single" w:color="auto" w:sz="4" w:space="0"/>
              <w:left w:val="single" w:color="000000" w:sz="2" w:space="0"/>
              <w:bottom w:val="nil"/>
              <w:right w:val="single" w:color="000000" w:sz="2" w:space="0"/>
            </w:tcBorders>
            <w:noWrap/>
            <w:vAlign w:val="center"/>
          </w:tcPr>
          <w:p/>
        </w:tc>
        <w:tc>
          <w:tcPr>
            <w:tcW w:w="1463" w:type="dxa"/>
            <w:vMerge w:val="continue"/>
            <w:tcBorders>
              <w:top w:val="single" w:color="auto" w:sz="4" w:space="0"/>
              <w:left w:val="single" w:color="000000" w:sz="2" w:space="0"/>
              <w:bottom w:val="nil"/>
              <w:right w:val="single" w:color="000000" w:sz="2" w:space="0"/>
            </w:tcBorders>
            <w:noWrap/>
            <w:vAlign w:val="center"/>
          </w:tcPr>
          <w:p/>
        </w:tc>
        <w:tc>
          <w:tcPr>
            <w:tcW w:w="1584" w:type="dxa"/>
            <w:vMerge w:val="continue"/>
            <w:tcBorders>
              <w:top w:val="single" w:color="auto" w:sz="4" w:space="0"/>
              <w:left w:val="single" w:color="000000" w:sz="2" w:space="0"/>
              <w:bottom w:val="nil"/>
              <w:right w:val="single" w:color="000000" w:sz="2" w:space="0"/>
            </w:tcBorders>
            <w:noWrap/>
            <w:vAlign w:val="center"/>
          </w:tcPr>
          <w:p/>
        </w:tc>
        <w:tc>
          <w:tcPr>
            <w:tcW w:w="3374" w:type="dxa"/>
            <w:vMerge w:val="continue"/>
            <w:tcBorders>
              <w:top w:val="single" w:color="auto" w:sz="4" w:space="0"/>
              <w:left w:val="single" w:color="000000" w:sz="2" w:space="0"/>
              <w:bottom w:val="nil"/>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《植物检疫条例实施细则（农业部分）》</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nil"/>
              <w:left w:val="single" w:color="auto" w:sz="4"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《四川省植物检疫条例》</w:t>
            </w:r>
          </w:p>
        </w:tc>
        <w:tc>
          <w:tcPr>
            <w:tcW w:w="1701" w:type="dxa"/>
            <w:vMerge w:val="continue"/>
            <w:tcBorders>
              <w:top w:val="nil"/>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122</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283</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农业植物产地检疫合格证签发</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r>
              <w:rPr>
                <w:rFonts w:hint="eastAsia" w:ascii="方正仿宋_GBK" w:eastAsia="方正仿宋_GBK" w:cs="方正仿宋_GBK"/>
                <w:color w:val="auto"/>
                <w:spacing w:val="0"/>
                <w:w w:val="100"/>
                <w:position w:val="0"/>
                <w:sz w:val="20"/>
                <w:szCs w:val="20"/>
              </w:rPr>
              <w:t>或其所属的植物检疫机构</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《植物检疫条例》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《植物检疫条例》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《植物检疫条例实施细则（农业部分）》</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123</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285</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农业野生植物采集、出售、收购、野外考察审批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采集国家二级保护野生植物的，由</w:t>
            </w:r>
            <w:r>
              <w:rPr>
                <w:rFonts w:hint="eastAsia" w:ascii="方正仿宋_GBK" w:eastAsia="方正仿宋_GBK" w:cs="方正仿宋_GBK"/>
                <w:color w:val="auto"/>
                <w:spacing w:val="0"/>
                <w:w w:val="100"/>
                <w:position w:val="0"/>
                <w:sz w:val="20"/>
                <w:szCs w:val="20"/>
                <w:lang w:eastAsia="zh-CN"/>
              </w:rPr>
              <w:t>县科技农畜水局</w:t>
            </w:r>
            <w:r>
              <w:rPr>
                <w:rFonts w:hint="eastAsia" w:ascii="方正仿宋_GBK" w:eastAsia="方正仿宋_GBK" w:cs="方正仿宋_GBK"/>
                <w:color w:val="auto"/>
                <w:spacing w:val="0"/>
                <w:w w:val="100"/>
                <w:position w:val="0"/>
                <w:sz w:val="20"/>
                <w:szCs w:val="20"/>
              </w:rPr>
              <w:t>受理</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《中华人民共和国野生植物保护条例》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《中华人民共和国野生植物保护条例》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《农业野生植物保护办法》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《四川省野生植物保护条例》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124</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289</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动物及动物产品检疫合格证核发</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《中华人民共和国动物防疫法》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《中华人民共和国动物防疫法》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《动物检疫管理办法》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《四川省〈中华人民共和国动物防疫法〉实施办法》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《水产苗种管理办法》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《四川省水产种苗管理办法》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《农业部关于印发〈生猪产地检疫规程〉等22个动物检疫规程的通知》（农牧发〔2023〕16号）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125</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290</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动物防疫条件合格证核发</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《中华人民共和国动物防疫法》</w:t>
            </w: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《中华人民共和国动物防疫法》</w:t>
            </w:r>
          </w:p>
        </w:tc>
        <w:tc>
          <w:tcPr>
            <w:tcW w:w="1701" w:type="dxa"/>
            <w:vMerge w:val="restart"/>
            <w:tcBorders>
              <w:top w:val="single" w:color="000000" w:sz="2" w:space="0"/>
              <w:left w:val="single" w:color="000000" w:sz="2"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《动物防疫条件审查办法》</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126</w:t>
            </w:r>
          </w:p>
        </w:tc>
        <w:tc>
          <w:tcPr>
            <w:tcW w:w="637" w:type="dxa"/>
            <w:vMerge w:val="restart"/>
            <w:tcBorders>
              <w:top w:val="single" w:color="auto" w:sz="4" w:space="0"/>
              <w:left w:val="single" w:color="auto" w:sz="4"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291</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向无规定动物疫病区输入易感动物、动物产品的检疫审批</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《中华人民共和国动物防疫法》</w:t>
            </w:r>
          </w:p>
        </w:tc>
        <w:tc>
          <w:tcPr>
            <w:tcW w:w="4551" w:type="dxa"/>
            <w:tcBorders>
              <w:top w:val="single" w:color="000000" w:sz="2"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《动物检疫管理办法》</w:t>
            </w:r>
          </w:p>
        </w:tc>
        <w:tc>
          <w:tcPr>
            <w:tcW w:w="1701" w:type="dxa"/>
            <w:vMerge w:val="restart"/>
            <w:tcBorders>
              <w:top w:val="single" w:color="000000" w:sz="2" w:space="0"/>
              <w:left w:val="single" w:color="000000" w:sz="2"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《四川省〈中华人民共和国动物防疫法〉实施办法》</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127</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292</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动物诊疗许可</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《中华人民共和国动物防疫法》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《中华人民共和国动物防疫法》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《动物诊疗机构管理办法》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128</w:t>
            </w:r>
          </w:p>
        </w:tc>
        <w:tc>
          <w:tcPr>
            <w:tcW w:w="637"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295</w:t>
            </w:r>
          </w:p>
        </w:tc>
        <w:tc>
          <w:tcPr>
            <w:tcW w:w="2372"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生鲜乳收购站许可</w:t>
            </w:r>
          </w:p>
        </w:tc>
        <w:tc>
          <w:tcPr>
            <w:tcW w:w="1463"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《乳品质量安全监督管理条例》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《乳品质量安全监督管理条例》</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129</w:t>
            </w:r>
          </w:p>
        </w:tc>
        <w:tc>
          <w:tcPr>
            <w:tcW w:w="637"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296</w:t>
            </w:r>
          </w:p>
        </w:tc>
        <w:tc>
          <w:tcPr>
            <w:tcW w:w="2372"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生鲜乳准运证明核发</w:t>
            </w:r>
          </w:p>
        </w:tc>
        <w:tc>
          <w:tcPr>
            <w:tcW w:w="1463"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《乳品质量安全监督管理条例》</w:t>
            </w: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《乳品质量安全监督管理条例》</w:t>
            </w:r>
          </w:p>
        </w:tc>
        <w:tc>
          <w:tcPr>
            <w:tcW w:w="1701"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130</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297</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拖拉机和联合收割机驾驶证核发</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《农业机械安全监督管理条例》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nil"/>
              <w:right w:val="single" w:color="000000" w:sz="2" w:space="0"/>
            </w:tcBorders>
            <w:noWrap/>
            <w:vAlign w:val="center"/>
          </w:tcPr>
          <w:p/>
        </w:tc>
        <w:tc>
          <w:tcPr>
            <w:tcW w:w="2372" w:type="dxa"/>
            <w:vMerge w:val="continue"/>
            <w:tcBorders>
              <w:top w:val="single" w:color="auto" w:sz="4" w:space="0"/>
              <w:left w:val="single" w:color="000000" w:sz="2" w:space="0"/>
              <w:bottom w:val="nil"/>
              <w:right w:val="single" w:color="000000" w:sz="2" w:space="0"/>
            </w:tcBorders>
            <w:noWrap/>
            <w:vAlign w:val="center"/>
          </w:tcPr>
          <w:p/>
        </w:tc>
        <w:tc>
          <w:tcPr>
            <w:tcW w:w="1463" w:type="dxa"/>
            <w:vMerge w:val="continue"/>
            <w:tcBorders>
              <w:top w:val="single" w:color="auto" w:sz="4" w:space="0"/>
              <w:left w:val="single" w:color="000000" w:sz="2" w:space="0"/>
              <w:bottom w:val="nil"/>
              <w:right w:val="single" w:color="000000" w:sz="2" w:space="0"/>
            </w:tcBorders>
            <w:noWrap/>
            <w:vAlign w:val="center"/>
          </w:tcPr>
          <w:p/>
        </w:tc>
        <w:tc>
          <w:tcPr>
            <w:tcW w:w="1584" w:type="dxa"/>
            <w:vMerge w:val="continue"/>
            <w:tcBorders>
              <w:top w:val="single" w:color="auto" w:sz="4" w:space="0"/>
              <w:left w:val="single" w:color="000000" w:sz="2" w:space="0"/>
              <w:bottom w:val="nil"/>
              <w:right w:val="single" w:color="000000" w:sz="2" w:space="0"/>
            </w:tcBorders>
            <w:noWrap/>
            <w:vAlign w:val="center"/>
          </w:tcPr>
          <w:p/>
        </w:tc>
        <w:tc>
          <w:tcPr>
            <w:tcW w:w="3374"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《四川省农业机械安全监督管理条例》</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nil"/>
              <w:left w:val="single" w:color="auto" w:sz="4"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《农业机械安全监督管理条例》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《拖拉机和联合收割机驾驶证管理规定》</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nil"/>
              <w:left w:val="single" w:color="auto" w:sz="4"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《拖拉机和联合收割机驾驶证业务工作规范》（农机发〔2018〕2号）</w:t>
            </w:r>
          </w:p>
        </w:tc>
        <w:tc>
          <w:tcPr>
            <w:tcW w:w="1701" w:type="dxa"/>
            <w:vMerge w:val="continue"/>
            <w:tcBorders>
              <w:top w:val="nil"/>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131</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298</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拖拉机和联合收割机登记</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《中华人民共和国道路交通安全法》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《农业机械安全监督管理条例》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《农业机械安全监督管理条例》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《四川省农业机械安全监督管理条例》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《拖拉机和联合收割机登记规定》</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132</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300</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工商企业等社会资本通过流转取得土地经营权审批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县、</w:t>
            </w:r>
            <w:r>
              <w:rPr>
                <w:rFonts w:hint="eastAsia" w:ascii="方正仿宋_GBK" w:eastAsia="方正仿宋_GBK" w:cs="方正仿宋_GBK"/>
                <w:color w:val="auto"/>
                <w:spacing w:val="0"/>
                <w:w w:val="100"/>
                <w:position w:val="0"/>
                <w:sz w:val="20"/>
                <w:szCs w:val="20"/>
                <w:lang w:eastAsia="zh-CN"/>
              </w:rPr>
              <w:t>乡</w:t>
            </w:r>
            <w:r>
              <w:rPr>
                <w:rFonts w:hint="eastAsia" w:ascii="方正仿宋_GBK" w:eastAsia="方正仿宋_GBK" w:cs="方正仿宋_GBK"/>
                <w:color w:val="auto"/>
                <w:spacing w:val="0"/>
                <w:w w:val="100"/>
                <w:position w:val="0"/>
                <w:sz w:val="20"/>
                <w:szCs w:val="20"/>
              </w:rPr>
              <w:t>镇政府（由</w:t>
            </w:r>
            <w:r>
              <w:rPr>
                <w:rFonts w:hint="eastAsia" w:ascii="方正仿宋_GBK" w:eastAsia="方正仿宋_GBK" w:cs="方正仿宋_GBK"/>
                <w:color w:val="auto"/>
                <w:spacing w:val="0"/>
                <w:w w:val="100"/>
                <w:position w:val="0"/>
                <w:sz w:val="20"/>
                <w:szCs w:val="20"/>
                <w:lang w:eastAsia="zh-CN"/>
              </w:rPr>
              <w:t>县科技农畜水局</w:t>
            </w:r>
            <w:r>
              <w:rPr>
                <w:rFonts w:hint="eastAsia" w:ascii="方正仿宋_GBK" w:eastAsia="方正仿宋_GBK" w:cs="方正仿宋_GBK"/>
                <w:color w:val="auto"/>
                <w:spacing w:val="0"/>
                <w:w w:val="100"/>
                <w:position w:val="0"/>
                <w:sz w:val="20"/>
                <w:szCs w:val="20"/>
              </w:rPr>
              <w:t>或者农村经营管理部门承办）</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《中华人民共和国农村土地承包法》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《农村土地经营权流转管理办法》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133</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301</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农村村民宅基地审批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乡</w:t>
            </w:r>
            <w:r>
              <w:rPr>
                <w:rFonts w:hint="eastAsia" w:ascii="方正仿宋_GBK" w:eastAsia="方正仿宋_GBK" w:cs="方正仿宋_GBK"/>
                <w:color w:val="auto"/>
                <w:spacing w:val="0"/>
                <w:w w:val="100"/>
                <w:position w:val="0"/>
                <w:sz w:val="20"/>
                <w:szCs w:val="20"/>
              </w:rPr>
              <w:t>镇政府</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《中华人民共和国土地管理法》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《农业农村部自然资源部关于规范农村宅基地审批管理的通知》（农经发〔2019〕6号）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《四川省农业农村厅四川省自然资源厅四川省住房和城乡建设厅关于规范农村宅基地审批和住房建设管理的通知》（川农〔2020〕43号）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134</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306</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lang w:eastAsia="zh-CN"/>
              </w:rPr>
            </w:pPr>
            <w:r>
              <w:rPr>
                <w:rFonts w:hint="eastAsia" w:ascii="方正仿宋_GBK" w:eastAsia="方正仿宋_GBK" w:cs="方正仿宋_GBK"/>
                <w:b w:val="0"/>
                <w:bCs w:val="0"/>
                <w:color w:val="auto"/>
                <w:spacing w:val="0"/>
                <w:w w:val="100"/>
                <w:position w:val="0"/>
                <w:sz w:val="20"/>
                <w:szCs w:val="20"/>
              </w:rPr>
              <w:t>渔业船舶船员证书核发</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《中华人民共和国船员条例》</w:t>
            </w:r>
          </w:p>
        </w:tc>
        <w:tc>
          <w:tcPr>
            <w:tcW w:w="455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《中华人民共和国渔业船员管理办法》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《中华人民共和国渔港水域交通安全管理条例》</w:t>
            </w:r>
          </w:p>
        </w:tc>
        <w:tc>
          <w:tcPr>
            <w:tcW w:w="4551" w:type="dxa"/>
            <w:vMerge w:val="continue"/>
            <w:tcBorders>
              <w:top w:val="nil"/>
              <w:left w:val="single" w:color="000000" w:sz="2" w:space="0"/>
              <w:bottom w:val="single" w:color="000000" w:sz="2" w:space="0"/>
              <w:right w:val="single" w:color="000000" w:sz="2" w:space="0"/>
            </w:tcBorders>
            <w:noWrap/>
            <w:vAlign w:val="center"/>
          </w:tcP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4" w:space="0"/>
              <w:right w:val="single" w:color="000000" w:sz="2" w:space="0"/>
            </w:tcBorders>
            <w:noWrap/>
            <w:vAlign w:val="center"/>
          </w:tcPr>
          <w:p/>
        </w:tc>
        <w:tc>
          <w:tcPr>
            <w:tcW w:w="2372" w:type="dxa"/>
            <w:vMerge w:val="continue"/>
            <w:tcBorders>
              <w:top w:val="nil"/>
              <w:left w:val="single" w:color="000000" w:sz="2" w:space="0"/>
              <w:bottom w:val="single" w:color="000000" w:sz="4" w:space="0"/>
              <w:right w:val="single" w:color="000000" w:sz="2" w:space="0"/>
            </w:tcBorders>
            <w:noWrap/>
            <w:vAlign w:val="center"/>
          </w:tcPr>
          <w:p/>
        </w:tc>
        <w:tc>
          <w:tcPr>
            <w:tcW w:w="1463" w:type="dxa"/>
            <w:vMerge w:val="continue"/>
            <w:tcBorders>
              <w:top w:val="nil"/>
              <w:left w:val="single" w:color="000000" w:sz="2" w:space="0"/>
              <w:bottom w:val="single" w:color="000000" w:sz="4" w:space="0"/>
              <w:right w:val="single" w:color="000000" w:sz="2" w:space="0"/>
            </w:tcBorders>
            <w:noWrap/>
            <w:vAlign w:val="center"/>
          </w:tcPr>
          <w:p/>
        </w:tc>
        <w:tc>
          <w:tcPr>
            <w:tcW w:w="1584" w:type="dxa"/>
            <w:vMerge w:val="continue"/>
            <w:tcBorders>
              <w:top w:val="nil"/>
              <w:left w:val="single" w:color="000000" w:sz="2" w:space="0"/>
              <w:bottom w:val="single" w:color="000000" w:sz="4" w:space="0"/>
              <w:right w:val="single" w:color="000000" w:sz="2" w:space="0"/>
            </w:tcBorders>
            <w:noWrap/>
            <w:vAlign w:val="center"/>
          </w:tcPr>
          <w:p/>
        </w:tc>
        <w:tc>
          <w:tcPr>
            <w:tcW w:w="3374" w:type="dxa"/>
            <w:tcBorders>
              <w:top w:val="single" w:color="000000" w:sz="2" w:space="0"/>
              <w:left w:val="single" w:color="000000" w:sz="2" w:space="0"/>
              <w:bottom w:val="single" w:color="000000"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《国家职业资格目录（2021年版）》</w:t>
            </w:r>
          </w:p>
        </w:tc>
        <w:tc>
          <w:tcPr>
            <w:tcW w:w="4551" w:type="dxa"/>
            <w:tcBorders>
              <w:top w:val="single" w:color="000000" w:sz="2" w:space="0"/>
              <w:left w:val="single" w:color="000000" w:sz="2" w:space="0"/>
              <w:bottom w:val="single" w:color="000000"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《中华人民共和国渔业港航监督行政处罚规定》</w:t>
            </w:r>
          </w:p>
        </w:tc>
        <w:tc>
          <w:tcPr>
            <w:tcW w:w="1701" w:type="dxa"/>
            <w:vMerge w:val="continue"/>
            <w:tcBorders>
              <w:top w:val="nil"/>
              <w:left w:val="single" w:color="000000" w:sz="2" w:space="0"/>
              <w:bottom w:val="single" w:color="000000"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135</w:t>
            </w:r>
          </w:p>
        </w:tc>
        <w:tc>
          <w:tcPr>
            <w:tcW w:w="6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308</w:t>
            </w:r>
          </w:p>
        </w:tc>
        <w:tc>
          <w:tcPr>
            <w:tcW w:w="2372"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水产苗种生产经营审批</w:t>
            </w:r>
          </w:p>
        </w:tc>
        <w:tc>
          <w:tcPr>
            <w:tcW w:w="1463"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《中华人民共和国渔业法》</w:t>
            </w:r>
          </w:p>
        </w:tc>
        <w:tc>
          <w:tcPr>
            <w:tcW w:w="4551"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《中华人民共和国渔业法》</w:t>
            </w:r>
          </w:p>
        </w:tc>
        <w:tc>
          <w:tcPr>
            <w:tcW w:w="1701"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4" w:space="0"/>
            </w:tcBorders>
            <w:noWrap/>
            <w:vAlign w:val="center"/>
          </w:tcPr>
          <w:p/>
        </w:tc>
        <w:tc>
          <w:tcPr>
            <w:tcW w:w="637"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72"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46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584"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374"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551"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《农业转基因生物安全管理条例》</w:t>
            </w:r>
          </w:p>
        </w:tc>
        <w:tc>
          <w:tcPr>
            <w:tcW w:w="1701" w:type="dxa"/>
            <w:vMerge w:val="continue"/>
            <w:tcBorders>
              <w:top w:val="single" w:color="000000" w:sz="4" w:space="0"/>
              <w:left w:val="single" w:color="000000" w:sz="4" w:space="0"/>
              <w:bottom w:val="single" w:color="000000" w:sz="4"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4" w:space="0"/>
            </w:tcBorders>
            <w:noWrap/>
            <w:vAlign w:val="center"/>
          </w:tcPr>
          <w:p/>
        </w:tc>
        <w:tc>
          <w:tcPr>
            <w:tcW w:w="637"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72"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46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584"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374"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551"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《水产苗种管理办法》</w:t>
            </w:r>
          </w:p>
        </w:tc>
        <w:tc>
          <w:tcPr>
            <w:tcW w:w="1701" w:type="dxa"/>
            <w:vMerge w:val="continue"/>
            <w:tcBorders>
              <w:top w:val="single" w:color="000000" w:sz="4" w:space="0"/>
              <w:left w:val="single" w:color="000000" w:sz="4" w:space="0"/>
              <w:bottom w:val="single" w:color="000000" w:sz="4"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4" w:space="0"/>
            </w:tcBorders>
            <w:noWrap/>
            <w:vAlign w:val="center"/>
          </w:tcPr>
          <w:p/>
        </w:tc>
        <w:tc>
          <w:tcPr>
            <w:tcW w:w="637"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72"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46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584"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374"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551"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《四川省水产种苗管理办法》</w:t>
            </w:r>
          </w:p>
        </w:tc>
        <w:tc>
          <w:tcPr>
            <w:tcW w:w="1701" w:type="dxa"/>
            <w:vMerge w:val="continue"/>
            <w:tcBorders>
              <w:top w:val="single" w:color="000000" w:sz="4" w:space="0"/>
              <w:left w:val="single" w:color="000000" w:sz="4" w:space="0"/>
              <w:bottom w:val="single" w:color="000000" w:sz="4"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136</w:t>
            </w:r>
          </w:p>
        </w:tc>
        <w:tc>
          <w:tcPr>
            <w:tcW w:w="6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309</w:t>
            </w:r>
          </w:p>
        </w:tc>
        <w:tc>
          <w:tcPr>
            <w:tcW w:w="2372"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水域滩涂养殖证核发</w:t>
            </w:r>
          </w:p>
        </w:tc>
        <w:tc>
          <w:tcPr>
            <w:tcW w:w="1463"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县政府（</w:t>
            </w:r>
            <w:r>
              <w:rPr>
                <w:rFonts w:hint="eastAsia" w:ascii="方正仿宋_GBK" w:eastAsia="方正仿宋_GBK" w:cs="方正仿宋_GBK"/>
                <w:color w:val="auto"/>
                <w:spacing w:val="0"/>
                <w:w w:val="100"/>
                <w:position w:val="0"/>
                <w:sz w:val="20"/>
                <w:szCs w:val="20"/>
                <w:lang w:eastAsia="zh-CN"/>
              </w:rPr>
              <w:t>县科技农畜水局</w:t>
            </w:r>
            <w:r>
              <w:rPr>
                <w:rFonts w:hint="eastAsia" w:ascii="方正仿宋_GBK" w:eastAsia="方正仿宋_GBK" w:cs="方正仿宋_GBK"/>
                <w:color w:val="auto"/>
                <w:spacing w:val="0"/>
                <w:w w:val="100"/>
                <w:position w:val="0"/>
                <w:sz w:val="20"/>
                <w:szCs w:val="20"/>
              </w:rPr>
              <w:t>承办）</w:t>
            </w:r>
          </w:p>
        </w:tc>
        <w:tc>
          <w:tcPr>
            <w:tcW w:w="3374"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《中华人民共和国渔业法》</w:t>
            </w:r>
          </w:p>
        </w:tc>
        <w:tc>
          <w:tcPr>
            <w:tcW w:w="4551"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《中华人民共和国渔业法》</w:t>
            </w:r>
          </w:p>
        </w:tc>
        <w:tc>
          <w:tcPr>
            <w:tcW w:w="1701"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4" w:space="0"/>
            </w:tcBorders>
            <w:noWrap/>
            <w:vAlign w:val="center"/>
          </w:tcPr>
          <w:p/>
        </w:tc>
        <w:tc>
          <w:tcPr>
            <w:tcW w:w="637" w:type="dxa"/>
            <w:vMerge w:val="continue"/>
            <w:tcBorders>
              <w:top w:val="single" w:color="000000" w:sz="4" w:space="0"/>
              <w:left w:val="single" w:color="000000" w:sz="4" w:space="0"/>
              <w:bottom w:val="nil"/>
              <w:right w:val="single" w:color="000000" w:sz="2" w:space="0"/>
            </w:tcBorders>
            <w:noWrap/>
            <w:vAlign w:val="center"/>
          </w:tcPr>
          <w:p/>
        </w:tc>
        <w:tc>
          <w:tcPr>
            <w:tcW w:w="2372" w:type="dxa"/>
            <w:vMerge w:val="continue"/>
            <w:tcBorders>
              <w:top w:val="single" w:color="000000" w:sz="4" w:space="0"/>
              <w:left w:val="single" w:color="000000" w:sz="2" w:space="0"/>
              <w:bottom w:val="nil"/>
              <w:right w:val="single" w:color="000000" w:sz="2" w:space="0"/>
            </w:tcBorders>
            <w:noWrap/>
            <w:vAlign w:val="center"/>
          </w:tcPr>
          <w:p/>
        </w:tc>
        <w:tc>
          <w:tcPr>
            <w:tcW w:w="1463" w:type="dxa"/>
            <w:vMerge w:val="continue"/>
            <w:tcBorders>
              <w:top w:val="single" w:color="000000" w:sz="4" w:space="0"/>
              <w:left w:val="single" w:color="000000" w:sz="2" w:space="0"/>
              <w:bottom w:val="nil"/>
              <w:right w:val="single" w:color="000000" w:sz="2" w:space="0"/>
            </w:tcBorders>
            <w:noWrap/>
            <w:vAlign w:val="center"/>
          </w:tcPr>
          <w:p/>
        </w:tc>
        <w:tc>
          <w:tcPr>
            <w:tcW w:w="1584" w:type="dxa"/>
            <w:vMerge w:val="continue"/>
            <w:tcBorders>
              <w:top w:val="single" w:color="000000" w:sz="4" w:space="0"/>
              <w:left w:val="single" w:color="000000" w:sz="2" w:space="0"/>
              <w:bottom w:val="nil"/>
              <w:right w:val="single" w:color="000000" w:sz="2" w:space="0"/>
            </w:tcBorders>
            <w:noWrap/>
            <w:vAlign w:val="center"/>
          </w:tcPr>
          <w:p/>
        </w:tc>
        <w:tc>
          <w:tcPr>
            <w:tcW w:w="3374" w:type="dxa"/>
            <w:vMerge w:val="continue"/>
            <w:tcBorders>
              <w:top w:val="single" w:color="000000" w:sz="4" w:space="0"/>
              <w:left w:val="single" w:color="000000" w:sz="2" w:space="0"/>
              <w:bottom w:val="nil"/>
              <w:right w:val="single" w:color="000000" w:sz="2" w:space="0"/>
            </w:tcBorders>
            <w:noWrap/>
            <w:vAlign w:val="center"/>
          </w:tcPr>
          <w:p/>
        </w:tc>
        <w:tc>
          <w:tcPr>
            <w:tcW w:w="4551" w:type="dxa"/>
            <w:tcBorders>
              <w:top w:val="single" w:color="000000"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《水域滩涂养殖发证登记办法》</w:t>
            </w:r>
          </w:p>
        </w:tc>
        <w:tc>
          <w:tcPr>
            <w:tcW w:w="1701" w:type="dxa"/>
            <w:vMerge w:val="continue"/>
            <w:tcBorders>
              <w:top w:val="single" w:color="000000" w:sz="4" w:space="0"/>
              <w:left w:val="single" w:color="000000" w:sz="2" w:space="0"/>
              <w:bottom w:val="nil"/>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4" w:space="0"/>
            </w:tcBorders>
            <w:noWrap/>
            <w:vAlign w:val="center"/>
          </w:tcPr>
          <w:p/>
        </w:tc>
        <w:tc>
          <w:tcPr>
            <w:tcW w:w="637" w:type="dxa"/>
            <w:vMerge w:val="continue"/>
            <w:tcBorders>
              <w:top w:val="nil"/>
              <w:left w:val="single" w:color="000000" w:sz="4"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《四川省〈中华人民共和国渔业法〉实施办法》</w:t>
            </w:r>
          </w:p>
        </w:tc>
        <w:tc>
          <w:tcPr>
            <w:tcW w:w="1701" w:type="dxa"/>
            <w:vMerge w:val="continue"/>
            <w:tcBorders>
              <w:top w:val="nil"/>
              <w:left w:val="single" w:color="000000" w:sz="2" w:space="0"/>
              <w:bottom w:val="single" w:color="000000" w:sz="2"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137</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310</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渔业捕捞许可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《中华人民共和国渔业法》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《中华人民共和国渔业法》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《中华人民共和国渔业法实施细则》</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《渔业捕捞许可管理规定》</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《长江水生生物保护管理规定》</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138</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311</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渔业船舶国籍登记</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县科技农畜水局</w:t>
            </w:r>
          </w:p>
        </w:tc>
        <w:tc>
          <w:tcPr>
            <w:tcW w:w="3374" w:type="dxa"/>
            <w:vMerge w:val="restart"/>
            <w:tcBorders>
              <w:top w:val="single" w:color="auto" w:sz="4" w:space="0"/>
              <w:left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《中华人民共和国船舶登记条例》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《中华人民共和国渔港水域交通安全管理条例》</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nil"/>
              <w:right w:val="single" w:color="000000" w:sz="2" w:space="0"/>
            </w:tcBorders>
            <w:noWrap/>
            <w:vAlign w:val="center"/>
          </w:tcPr>
          <w:p/>
        </w:tc>
        <w:tc>
          <w:tcPr>
            <w:tcW w:w="2372" w:type="dxa"/>
            <w:vMerge w:val="continue"/>
            <w:tcBorders>
              <w:top w:val="single" w:color="auto" w:sz="4" w:space="0"/>
              <w:left w:val="single" w:color="000000" w:sz="2" w:space="0"/>
              <w:bottom w:val="nil"/>
              <w:right w:val="single" w:color="000000" w:sz="2" w:space="0"/>
            </w:tcBorders>
            <w:noWrap/>
            <w:vAlign w:val="center"/>
          </w:tcPr>
          <w:p/>
        </w:tc>
        <w:tc>
          <w:tcPr>
            <w:tcW w:w="1463" w:type="dxa"/>
            <w:vMerge w:val="continue"/>
            <w:tcBorders>
              <w:top w:val="single" w:color="auto" w:sz="4" w:space="0"/>
              <w:left w:val="single" w:color="000000" w:sz="2" w:space="0"/>
              <w:bottom w:val="nil"/>
              <w:right w:val="single" w:color="000000" w:sz="2" w:space="0"/>
            </w:tcBorders>
            <w:noWrap/>
            <w:vAlign w:val="center"/>
          </w:tcPr>
          <w:p/>
        </w:tc>
        <w:tc>
          <w:tcPr>
            <w:tcW w:w="1584" w:type="dxa"/>
            <w:vMerge w:val="continue"/>
            <w:tcBorders>
              <w:top w:val="single" w:color="auto" w:sz="4" w:space="0"/>
              <w:left w:val="single" w:color="000000" w:sz="2" w:space="0"/>
              <w:bottom w:val="nil"/>
              <w:right w:val="single" w:color="000000" w:sz="2" w:space="0"/>
            </w:tcBorders>
            <w:noWrap/>
            <w:vAlign w:val="center"/>
          </w:tcPr>
          <w:p/>
        </w:tc>
        <w:tc>
          <w:tcPr>
            <w:tcW w:w="3374" w:type="dxa"/>
            <w:vMerge w:val="continue"/>
            <w:tcBorders>
              <w:left w:val="single" w:color="auto" w:sz="4" w:space="0"/>
              <w:right w:val="single" w:color="auto" w:sz="4"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《中华人民共和国渔业船舶登记办法》</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60"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nil"/>
              <w:left w:val="single" w:color="auto" w:sz="4"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left w:val="single" w:color="auto" w:sz="4" w:space="0"/>
              <w:right w:val="single" w:color="auto" w:sz="4"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《中华人民共和国渔业港航监督行政处罚规定》</w:t>
            </w:r>
          </w:p>
        </w:tc>
        <w:tc>
          <w:tcPr>
            <w:tcW w:w="1701" w:type="dxa"/>
            <w:vMerge w:val="continue"/>
            <w:tcBorders>
              <w:top w:val="nil"/>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139</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319</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文艺表演团体设立审批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县文广体旅局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《营业性演出管理条例》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《营业性演出管理条例》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10"/>
                <w:sz w:val="20"/>
                <w:szCs w:val="20"/>
              </w:rPr>
              <w:t>内资文艺表演团体设立</w:t>
            </w:r>
            <w:r>
              <w:rPr>
                <w:rFonts w:hint="eastAsia" w:ascii="方正仿宋_GBK" w:eastAsia="方正仿宋_GBK" w:cs="方正仿宋_GBK"/>
                <w:color w:val="auto"/>
                <w:spacing w:val="11"/>
                <w:sz w:val="20"/>
                <w:szCs w:val="20"/>
              </w:rPr>
              <w:t>审批由县级文化和旅游行政部门或县级行政审批部</w:t>
            </w:r>
            <w:r>
              <w:rPr>
                <w:rFonts w:hint="eastAsia" w:ascii="方正仿宋_GBK" w:eastAsia="方正仿宋_GBK" w:cs="方正仿宋_GBK"/>
                <w:color w:val="auto"/>
                <w:spacing w:val="3"/>
                <w:sz w:val="20"/>
                <w:szCs w:val="20"/>
              </w:rPr>
              <w:t>门实施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《营业性演出管理条例实施细则》</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《文化和旅游部关于深化“放管服”改革促进演出市场繁荣发展的通知》（文旅市场发〔2020〕62号）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140</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322</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营业性演出审批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《营业性演出管理条例》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《营业性演出管理条例》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举办内地营业性演出审批由县级文化和旅游行政部门或县级行政审批部门实施。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《营业性演出管理条例实施细则》</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《国务院关于第三批取消和调整行政审批项目的决定》（国发〔2004〕16号）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141</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323</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娱乐场所经营活动审批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《娱乐场所管理条例》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《娱乐场所管理条例》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内资从事娱乐场所经营活动审批由县级文化和旅游行政部门或县级行政审批部门实施。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65"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《娱乐场所管理办法》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142</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324</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互联网上网服务营业场所筹建审批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《互联网上网服务营业场所管理条例》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《互联网上网服务营业场所管理条例》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内资互联网上网服务营业场所筹建审批由县级文化和旅游行政部门或县级行政审批部门实施。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《文化部关于印发〈公众聚集文化经营场所审核公示暂行办法〉的通知》（文市发〔2003〕31号）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《文化和旅游部关于进一步优化营商环境推动互联网上网服务行业规范发展的通知》（文旅市场发〔2020〕86号）</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143</w:t>
            </w:r>
          </w:p>
        </w:tc>
        <w:tc>
          <w:tcPr>
            <w:tcW w:w="637" w:type="dxa"/>
            <w:vMerge w:val="restart"/>
            <w:tcBorders>
              <w:top w:val="single" w:color="auto" w:sz="4" w:space="0"/>
              <w:left w:val="single" w:color="auto" w:sz="4"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325</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互联网上网服务经营活动审批</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《互联网上网服务营业场所管理条例》</w:t>
            </w:r>
          </w:p>
        </w:tc>
        <w:tc>
          <w:tcPr>
            <w:tcW w:w="4551" w:type="dxa"/>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《互联网上网服务营业场所管理条例》</w:t>
            </w:r>
          </w:p>
        </w:tc>
        <w:tc>
          <w:tcPr>
            <w:tcW w:w="1701"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内资从事互联网上网服务经营活动审批由县级文化和旅游行政部门或县级行政审批部门实施。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000000" w:sz="2" w:space="0"/>
              <w:right w:val="single" w:color="000000" w:sz="2" w:space="0"/>
            </w:tcBorders>
            <w:noWrap/>
            <w:vAlign w:val="center"/>
          </w:tcPr>
          <w:p/>
        </w:tc>
        <w:tc>
          <w:tcPr>
            <w:tcW w:w="2372"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1463"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1584"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3374"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《文化和旅游部关于进一步优化营商环境推动互联网上网服务行业规范发展的通知》（文旅市场发〔2020〕86号）</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144</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334</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饮用水供水单位卫生许可</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《中华人民共和国传染病防治法》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《生活饮用水卫生监督管理办法》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145</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335</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公共场所卫生许可</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《公共场所卫生管理条例》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《公共场所卫生管理条例》</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146</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340</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医疗机构建设项目放射性职业病危害预评价报告审核</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《中华人民共和国职业病防治法》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《中华人民共和国职业病防治法》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《放射诊疗管理规定》</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147</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341</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医疗机构建设项目放射性职业病防护设施竣工验收</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《中华人民共和国职业病防治法》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《中华人民共和国职业病防治法》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4" w:space="0"/>
              <w:right w:val="single" w:color="000000" w:sz="2" w:space="0"/>
            </w:tcBorders>
            <w:noWrap/>
            <w:vAlign w:val="center"/>
          </w:tcPr>
          <w:p/>
        </w:tc>
        <w:tc>
          <w:tcPr>
            <w:tcW w:w="2372" w:type="dxa"/>
            <w:vMerge w:val="continue"/>
            <w:tcBorders>
              <w:top w:val="nil"/>
              <w:left w:val="single" w:color="000000" w:sz="2" w:space="0"/>
              <w:bottom w:val="single" w:color="000000" w:sz="4" w:space="0"/>
              <w:right w:val="single" w:color="000000" w:sz="2" w:space="0"/>
            </w:tcBorders>
            <w:noWrap/>
            <w:vAlign w:val="center"/>
          </w:tcPr>
          <w:p/>
        </w:tc>
        <w:tc>
          <w:tcPr>
            <w:tcW w:w="1463" w:type="dxa"/>
            <w:vMerge w:val="continue"/>
            <w:tcBorders>
              <w:top w:val="nil"/>
              <w:left w:val="single" w:color="000000" w:sz="2" w:space="0"/>
              <w:bottom w:val="single" w:color="000000" w:sz="4" w:space="0"/>
              <w:right w:val="single" w:color="000000" w:sz="2" w:space="0"/>
            </w:tcBorders>
            <w:noWrap/>
            <w:vAlign w:val="center"/>
          </w:tcPr>
          <w:p/>
        </w:tc>
        <w:tc>
          <w:tcPr>
            <w:tcW w:w="1584" w:type="dxa"/>
            <w:vMerge w:val="continue"/>
            <w:tcBorders>
              <w:top w:val="nil"/>
              <w:left w:val="single" w:color="000000" w:sz="2" w:space="0"/>
              <w:bottom w:val="single" w:color="000000" w:sz="4" w:space="0"/>
              <w:right w:val="single" w:color="000000" w:sz="2" w:space="0"/>
            </w:tcBorders>
            <w:noWrap/>
            <w:vAlign w:val="center"/>
          </w:tcPr>
          <w:p/>
        </w:tc>
        <w:tc>
          <w:tcPr>
            <w:tcW w:w="3374" w:type="dxa"/>
            <w:vMerge w:val="continue"/>
            <w:tcBorders>
              <w:top w:val="nil"/>
              <w:left w:val="single" w:color="000000" w:sz="2" w:space="0"/>
              <w:bottom w:val="single" w:color="000000" w:sz="4" w:space="0"/>
              <w:right w:val="single" w:color="000000" w:sz="2" w:space="0"/>
            </w:tcBorders>
            <w:noWrap/>
            <w:vAlign w:val="center"/>
          </w:tcPr>
          <w:p/>
        </w:tc>
        <w:tc>
          <w:tcPr>
            <w:tcW w:w="4551" w:type="dxa"/>
            <w:tcBorders>
              <w:top w:val="single" w:color="000000" w:sz="2" w:space="0"/>
              <w:left w:val="single" w:color="000000" w:sz="2" w:space="0"/>
              <w:bottom w:val="single" w:color="000000"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《放射诊疗管理规定》</w:t>
            </w:r>
          </w:p>
        </w:tc>
        <w:tc>
          <w:tcPr>
            <w:tcW w:w="1701" w:type="dxa"/>
            <w:vMerge w:val="continue"/>
            <w:tcBorders>
              <w:top w:val="nil"/>
              <w:left w:val="single" w:color="000000" w:sz="2" w:space="0"/>
              <w:bottom w:val="single" w:color="000000"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148</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342</w:t>
            </w:r>
          </w:p>
        </w:tc>
        <w:tc>
          <w:tcPr>
            <w:tcW w:w="2372"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医疗机构设置审批</w:t>
            </w:r>
          </w:p>
        </w:tc>
        <w:tc>
          <w:tcPr>
            <w:tcW w:w="1463"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3374"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《医疗机构管理条例》</w:t>
            </w:r>
          </w:p>
        </w:tc>
        <w:tc>
          <w:tcPr>
            <w:tcW w:w="4551"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《医疗机构管理条例》</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149</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343</w:t>
            </w:r>
          </w:p>
        </w:tc>
        <w:tc>
          <w:tcPr>
            <w:tcW w:w="2372"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医疗机构执业登记</w:t>
            </w:r>
          </w:p>
        </w:tc>
        <w:tc>
          <w:tcPr>
            <w:tcW w:w="1463"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3374"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《医疗机构管理条例》</w:t>
            </w:r>
          </w:p>
        </w:tc>
        <w:tc>
          <w:tcPr>
            <w:tcW w:w="4551"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《医疗机构管理条例》</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150</w:t>
            </w:r>
          </w:p>
        </w:tc>
        <w:tc>
          <w:tcPr>
            <w:tcW w:w="6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345</w:t>
            </w:r>
          </w:p>
        </w:tc>
        <w:tc>
          <w:tcPr>
            <w:tcW w:w="2372"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母婴保健技术服务机构执业许可</w:t>
            </w:r>
          </w:p>
        </w:tc>
        <w:tc>
          <w:tcPr>
            <w:tcW w:w="1463"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3374"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《中华人民共和国母婴保健法》</w:t>
            </w:r>
          </w:p>
        </w:tc>
        <w:tc>
          <w:tcPr>
            <w:tcW w:w="4551"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《中华人民共和国母婴保健法实施办法》</w:t>
            </w:r>
          </w:p>
        </w:tc>
        <w:tc>
          <w:tcPr>
            <w:tcW w:w="1701"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4" w:space="0"/>
            </w:tcBorders>
            <w:noWrap/>
            <w:vAlign w:val="center"/>
          </w:tcPr>
          <w:p/>
        </w:tc>
        <w:tc>
          <w:tcPr>
            <w:tcW w:w="637" w:type="dxa"/>
            <w:vMerge w:val="continue"/>
            <w:tcBorders>
              <w:top w:val="single" w:color="000000" w:sz="4" w:space="0"/>
              <w:left w:val="single" w:color="000000" w:sz="4" w:space="0"/>
              <w:bottom w:val="nil"/>
              <w:right w:val="single" w:color="000000" w:sz="2" w:space="0"/>
            </w:tcBorders>
            <w:noWrap/>
            <w:vAlign w:val="center"/>
          </w:tcPr>
          <w:p/>
        </w:tc>
        <w:tc>
          <w:tcPr>
            <w:tcW w:w="2372" w:type="dxa"/>
            <w:vMerge w:val="continue"/>
            <w:tcBorders>
              <w:top w:val="single" w:color="000000" w:sz="4" w:space="0"/>
              <w:left w:val="single" w:color="000000" w:sz="2" w:space="0"/>
              <w:bottom w:val="nil"/>
              <w:right w:val="single" w:color="000000" w:sz="2" w:space="0"/>
            </w:tcBorders>
            <w:noWrap/>
            <w:vAlign w:val="center"/>
          </w:tcPr>
          <w:p/>
        </w:tc>
        <w:tc>
          <w:tcPr>
            <w:tcW w:w="1463" w:type="dxa"/>
            <w:vMerge w:val="continue"/>
            <w:tcBorders>
              <w:top w:val="single" w:color="000000" w:sz="4" w:space="0"/>
              <w:left w:val="single" w:color="000000" w:sz="2" w:space="0"/>
              <w:bottom w:val="nil"/>
              <w:right w:val="single" w:color="000000" w:sz="2" w:space="0"/>
            </w:tcBorders>
            <w:noWrap/>
            <w:vAlign w:val="center"/>
          </w:tcPr>
          <w:p/>
        </w:tc>
        <w:tc>
          <w:tcPr>
            <w:tcW w:w="1584" w:type="dxa"/>
            <w:vMerge w:val="continue"/>
            <w:tcBorders>
              <w:top w:val="single" w:color="000000" w:sz="4" w:space="0"/>
              <w:left w:val="single" w:color="000000" w:sz="2" w:space="0"/>
              <w:bottom w:val="nil"/>
              <w:right w:val="single" w:color="000000" w:sz="2" w:space="0"/>
            </w:tcBorders>
            <w:noWrap/>
            <w:vAlign w:val="center"/>
          </w:tcPr>
          <w:p/>
        </w:tc>
        <w:tc>
          <w:tcPr>
            <w:tcW w:w="3374" w:type="dxa"/>
            <w:vMerge w:val="continue"/>
            <w:tcBorders>
              <w:top w:val="single" w:color="000000" w:sz="4" w:space="0"/>
              <w:left w:val="single" w:color="000000" w:sz="2" w:space="0"/>
              <w:bottom w:val="nil"/>
              <w:right w:val="single" w:color="000000" w:sz="2" w:space="0"/>
            </w:tcBorders>
            <w:noWrap/>
            <w:vAlign w:val="center"/>
          </w:tcPr>
          <w:p/>
        </w:tc>
        <w:tc>
          <w:tcPr>
            <w:tcW w:w="4551" w:type="dxa"/>
            <w:tcBorders>
              <w:top w:val="single" w:color="000000"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《母婴保健专项技术服务许可及人员资格管理办法》</w:t>
            </w:r>
          </w:p>
        </w:tc>
        <w:tc>
          <w:tcPr>
            <w:tcW w:w="1701" w:type="dxa"/>
            <w:vMerge w:val="continue"/>
            <w:tcBorders>
              <w:top w:val="single" w:color="000000" w:sz="4" w:space="0"/>
              <w:left w:val="single" w:color="000000" w:sz="2" w:space="0"/>
              <w:bottom w:val="nil"/>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4" w:space="0"/>
            </w:tcBorders>
            <w:noWrap/>
            <w:vAlign w:val="center"/>
          </w:tcPr>
          <w:p/>
        </w:tc>
        <w:tc>
          <w:tcPr>
            <w:tcW w:w="637" w:type="dxa"/>
            <w:vMerge w:val="continue"/>
            <w:tcBorders>
              <w:top w:val="nil"/>
              <w:left w:val="single" w:color="000000" w:sz="4"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《国务院关于深化“证照分离”改革进一步激发市场主体发展活力的通知》（国发〔2021〕7号）</w:t>
            </w:r>
          </w:p>
        </w:tc>
        <w:tc>
          <w:tcPr>
            <w:tcW w:w="1701" w:type="dxa"/>
            <w:vMerge w:val="continue"/>
            <w:tcBorders>
              <w:top w:val="nil"/>
              <w:left w:val="single" w:color="000000" w:sz="2" w:space="0"/>
              <w:bottom w:val="nil"/>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4" w:space="0"/>
            </w:tcBorders>
            <w:noWrap/>
            <w:vAlign w:val="center"/>
          </w:tcPr>
          <w:p/>
        </w:tc>
        <w:tc>
          <w:tcPr>
            <w:tcW w:w="637" w:type="dxa"/>
            <w:vMerge w:val="continue"/>
            <w:tcBorders>
              <w:top w:val="nil"/>
              <w:left w:val="single" w:color="000000" w:sz="4"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《国家卫生健康委办公厅关于做好妇幼健康领域“证照分离”改革工作的通知》（国卫办妇幼发〔2021〕14号）</w:t>
            </w:r>
          </w:p>
        </w:tc>
        <w:tc>
          <w:tcPr>
            <w:tcW w:w="1701" w:type="dxa"/>
            <w:vMerge w:val="continue"/>
            <w:tcBorders>
              <w:top w:val="nil"/>
              <w:left w:val="single" w:color="000000" w:sz="2" w:space="0"/>
              <w:bottom w:val="single" w:color="000000" w:sz="2"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151</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347</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放射源诊疗技术和医用辐射机构许可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《放射性同位素与射线装置安全和防护条例》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《放射性同位素与射线装置安全和防护条例》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10"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《放射诊疗管理规定》</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65"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152</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352</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单采血浆站设置审批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r>
              <w:rPr>
                <w:rFonts w:hint="eastAsia" w:ascii="方正仿宋_GBK" w:eastAsia="方正仿宋_GBK" w:cs="方正仿宋_GBK"/>
                <w:color w:val="auto"/>
                <w:spacing w:val="0"/>
                <w:w w:val="100"/>
                <w:position w:val="0"/>
                <w:sz w:val="20"/>
                <w:szCs w:val="20"/>
              </w:rPr>
              <w:t>初审</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《血液制品管理条例》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《血液制品管理条例》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60"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《单采血浆站管理办法》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55"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153</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355</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医师执业注册</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《中华人民共和国医师法》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《医师执业注册管理办法》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20"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154</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356</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乡村医生执业注册</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《乡村医生从业管理条例》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《乡村医生从业管理条例》</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155</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359</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母婴保健服务人员资格认定</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《中华人民共和国母婴保健法》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《中华人民共和国母婴保健法实施办法》</w:t>
            </w:r>
          </w:p>
        </w:tc>
        <w:tc>
          <w:tcPr>
            <w:tcW w:w="170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从事遗传病诊断、产前诊断的医疗、保健机构和人员的审批，由省级卫生健康主管部门负责；从事产前诊断中产前筛查的医疗、保健机构，从事婚前医学检查、助产技术、结扎手术、终止妊娠手术的医疗、保健机构和人员的审批由县级卫生健康主管部门负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705"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《国家职业资格目录（2021年版）》</w:t>
            </w: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《母婴保健专项技术服务许可及人员资格管理办法》</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156</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361</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护士执业注册</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《护士条例》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《护士条例》</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000000" w:sz="2" w:space="0"/>
              <w:right w:val="single" w:color="000000" w:sz="2" w:space="0"/>
            </w:tcBorders>
            <w:noWrap/>
            <w:vAlign w:val="center"/>
          </w:tcPr>
          <w:p/>
        </w:tc>
        <w:tc>
          <w:tcPr>
            <w:tcW w:w="2372"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1463"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1584"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《国家职业资格目录（2021年版）》</w:t>
            </w: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《国务院关于取消和下放一批行政许可事项的决定》（国发〔2019〕6号）</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95"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157</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363</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石油天然气建设项目安全设施设计审查</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应急</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应急</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《中华人民共和国安全生产法》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《建设项目安全设施“三同时”监督管理办法》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pPr>
              <w:rPr>
                <w:color w:val="auto"/>
              </w:rPr>
            </w:p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《四川省应急管理厅关于进一步明确安全生产政务服务事项分类分级审查的通知》（川应急规〔2024〕3号）</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158</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365</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金属冶炼建设项目安全设施设计审查</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应急</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应急</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《中华人民共和国安全生产法》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《建设项目安全设施“三同时”监督管理办法》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nil"/>
              <w:right w:val="single" w:color="000000" w:sz="2" w:space="0"/>
            </w:tcBorders>
            <w:noWrap/>
            <w:vAlign w:val="center"/>
          </w:tcPr>
          <w:p/>
        </w:tc>
        <w:tc>
          <w:tcPr>
            <w:tcW w:w="2372" w:type="dxa"/>
            <w:vMerge w:val="continue"/>
            <w:tcBorders>
              <w:top w:val="single" w:color="auto" w:sz="4" w:space="0"/>
              <w:left w:val="single" w:color="000000" w:sz="2" w:space="0"/>
              <w:bottom w:val="nil"/>
              <w:right w:val="single" w:color="000000" w:sz="2" w:space="0"/>
            </w:tcBorders>
            <w:noWrap/>
            <w:vAlign w:val="center"/>
          </w:tcPr>
          <w:p/>
        </w:tc>
        <w:tc>
          <w:tcPr>
            <w:tcW w:w="1463" w:type="dxa"/>
            <w:vMerge w:val="continue"/>
            <w:tcBorders>
              <w:top w:val="single" w:color="auto" w:sz="4" w:space="0"/>
              <w:left w:val="single" w:color="000000" w:sz="2" w:space="0"/>
              <w:bottom w:val="nil"/>
              <w:right w:val="single" w:color="000000" w:sz="2" w:space="0"/>
            </w:tcBorders>
            <w:noWrap/>
            <w:vAlign w:val="center"/>
          </w:tcPr>
          <w:p/>
        </w:tc>
        <w:tc>
          <w:tcPr>
            <w:tcW w:w="1584" w:type="dxa"/>
            <w:vMerge w:val="continue"/>
            <w:tcBorders>
              <w:top w:val="single" w:color="auto" w:sz="4" w:space="0"/>
              <w:left w:val="single" w:color="000000" w:sz="2" w:space="0"/>
              <w:bottom w:val="nil"/>
              <w:right w:val="single" w:color="000000" w:sz="2" w:space="0"/>
            </w:tcBorders>
            <w:noWrap/>
            <w:vAlign w:val="center"/>
          </w:tcPr>
          <w:p/>
        </w:tc>
        <w:tc>
          <w:tcPr>
            <w:tcW w:w="3374" w:type="dxa"/>
            <w:vMerge w:val="continue"/>
            <w:tcBorders>
              <w:top w:val="single" w:color="auto" w:sz="4" w:space="0"/>
              <w:left w:val="single" w:color="000000" w:sz="2" w:space="0"/>
              <w:bottom w:val="nil"/>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《冶金企业和有色金属企业安全生产规定》</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nil"/>
              <w:left w:val="single" w:color="auto" w:sz="4"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《四川省应急管理厅关于进一步明确安全生产政务服务事项分类分级审查的通知》（川应急规〔2024〕3号）</w:t>
            </w:r>
          </w:p>
        </w:tc>
        <w:tc>
          <w:tcPr>
            <w:tcW w:w="1701" w:type="dxa"/>
            <w:vMerge w:val="continue"/>
            <w:tcBorders>
              <w:top w:val="nil"/>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159</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370</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危险化学品经营许可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应急</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应急</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《危险化学品安全管理条例》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《危险化学品安全管理条例》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72"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《危险化学品经营许可证管理办法》</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160</w:t>
            </w:r>
          </w:p>
        </w:tc>
        <w:tc>
          <w:tcPr>
            <w:tcW w:w="637" w:type="dxa"/>
            <w:vMerge w:val="restart"/>
            <w:tcBorders>
              <w:top w:val="single" w:color="auto" w:sz="4" w:space="0"/>
              <w:left w:val="single" w:color="auto" w:sz="4"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371</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生产、储存烟花爆竹建设项目安全设施设计审查</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应急</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应急</w:t>
            </w:r>
            <w:r>
              <w:rPr>
                <w:rFonts w:hint="eastAsia" w:ascii="方正仿宋_GBK" w:eastAsia="方正仿宋_GBK" w:cs="方正仿宋_GBK"/>
                <w:color w:val="auto"/>
                <w:spacing w:val="0"/>
                <w:w w:val="100"/>
                <w:position w:val="0"/>
                <w:sz w:val="20"/>
                <w:szCs w:val="20"/>
                <w:lang w:eastAsia="zh-CN"/>
              </w:rPr>
              <w:t>局</w:t>
            </w:r>
          </w:p>
        </w:tc>
        <w:tc>
          <w:tcPr>
            <w:tcW w:w="3374"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《中华人民共和国安全生产法》</w:t>
            </w:r>
          </w:p>
        </w:tc>
        <w:tc>
          <w:tcPr>
            <w:tcW w:w="4551" w:type="dxa"/>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《烟花爆竹生产企业安全生产许可证实施办法》</w:t>
            </w:r>
          </w:p>
        </w:tc>
        <w:tc>
          <w:tcPr>
            <w:tcW w:w="1701" w:type="dxa"/>
            <w:vMerge w:val="restart"/>
            <w:tcBorders>
              <w:top w:val="single" w:color="auto" w:sz="4" w:space="0"/>
              <w:left w:val="single" w:color="000000" w:sz="2"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44"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《建设项目安全设施“三同时”监督管理办法》</w:t>
            </w:r>
          </w:p>
        </w:tc>
        <w:tc>
          <w:tcPr>
            <w:tcW w:w="1701" w:type="dxa"/>
            <w:vMerge w:val="continue"/>
            <w:tcBorders>
              <w:top w:val="single" w:color="auto" w:sz="4" w:space="0"/>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《四川省应急管理厅关于进一步明确安全生产政务服务事项分类分级审查的通知》（川应急规〔2024〕3号）</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161</w:t>
            </w:r>
          </w:p>
        </w:tc>
        <w:tc>
          <w:tcPr>
            <w:tcW w:w="637"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373</w:t>
            </w:r>
          </w:p>
        </w:tc>
        <w:tc>
          <w:tcPr>
            <w:tcW w:w="2372"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烟花爆竹经营许可</w:t>
            </w:r>
          </w:p>
        </w:tc>
        <w:tc>
          <w:tcPr>
            <w:tcW w:w="1463"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应急</w:t>
            </w:r>
            <w:r>
              <w:rPr>
                <w:rFonts w:hint="eastAsia" w:ascii="方正仿宋_GBK" w:eastAsia="方正仿宋_GBK" w:cs="方正仿宋_GBK"/>
                <w:color w:val="auto"/>
                <w:spacing w:val="0"/>
                <w:w w:val="100"/>
                <w:position w:val="0"/>
                <w:sz w:val="20"/>
                <w:szCs w:val="20"/>
                <w:lang w:eastAsia="zh-CN"/>
              </w:rPr>
              <w:t>局</w:t>
            </w:r>
          </w:p>
        </w:tc>
        <w:tc>
          <w:tcPr>
            <w:tcW w:w="158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应急</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《烟花爆竹安全管理条例》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《烟花爆竹经营许可实施办法》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162</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377</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公众聚集场所投入使用、营业前消防安全检查</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消防救援</w:t>
            </w:r>
            <w:r>
              <w:rPr>
                <w:rFonts w:hint="eastAsia" w:ascii="方正仿宋_GBK" w:eastAsia="方正仿宋_GBK" w:cs="方正仿宋_GBK"/>
                <w:color w:val="auto"/>
                <w:spacing w:val="0"/>
                <w:w w:val="100"/>
                <w:position w:val="0"/>
                <w:sz w:val="20"/>
                <w:szCs w:val="20"/>
                <w:lang w:eastAsia="zh-CN"/>
              </w:rPr>
              <w:t>大</w:t>
            </w:r>
            <w:r>
              <w:rPr>
                <w:rFonts w:hint="eastAsia" w:ascii="方正仿宋_GBK" w:eastAsia="方正仿宋_GBK" w:cs="方正仿宋_GBK"/>
                <w:color w:val="auto"/>
                <w:spacing w:val="0"/>
                <w:w w:val="100"/>
                <w:position w:val="0"/>
                <w:sz w:val="20"/>
                <w:szCs w:val="20"/>
              </w:rPr>
              <w:t>队</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消防救援</w:t>
            </w:r>
            <w:r>
              <w:rPr>
                <w:rFonts w:hint="eastAsia" w:ascii="方正仿宋_GBK" w:eastAsia="方正仿宋_GBK" w:cs="方正仿宋_GBK"/>
                <w:color w:val="auto"/>
                <w:spacing w:val="0"/>
                <w:w w:val="100"/>
                <w:position w:val="0"/>
                <w:sz w:val="20"/>
                <w:szCs w:val="20"/>
                <w:lang w:eastAsia="zh-CN"/>
              </w:rPr>
              <w:t>大</w:t>
            </w:r>
            <w:r>
              <w:rPr>
                <w:rFonts w:hint="eastAsia" w:ascii="方正仿宋_GBK" w:eastAsia="方正仿宋_GBK" w:cs="方正仿宋_GBK"/>
                <w:color w:val="auto"/>
                <w:spacing w:val="0"/>
                <w:w w:val="100"/>
                <w:position w:val="0"/>
                <w:sz w:val="20"/>
                <w:szCs w:val="20"/>
              </w:rPr>
              <w:t>队</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《中华人民共和国消防法》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消防监督检查规定</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《应急管理部关于贯彻实施新修改〈中华人民共和国消防法〉全面实行公众聚集场所投入使用营业前消防安全检查告知承诺管理的通知》（应急〔2021〕34号）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163</w:t>
            </w:r>
          </w:p>
        </w:tc>
        <w:tc>
          <w:tcPr>
            <w:tcW w:w="637"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398</w:t>
            </w:r>
          </w:p>
        </w:tc>
        <w:tc>
          <w:tcPr>
            <w:tcW w:w="2372"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增值税防伪税控系统最高开票限额审批</w:t>
            </w:r>
          </w:p>
        </w:tc>
        <w:tc>
          <w:tcPr>
            <w:tcW w:w="1463"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税务局</w:t>
            </w:r>
          </w:p>
        </w:tc>
        <w:tc>
          <w:tcPr>
            <w:tcW w:w="158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税务局</w:t>
            </w:r>
          </w:p>
        </w:tc>
        <w:tc>
          <w:tcPr>
            <w:tcW w:w="337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《国家税务总局关于全面实行税务行政许可事项清单管理的公告》（国家税务总局公告2022年第19号）</w:t>
            </w:r>
          </w:p>
        </w:tc>
        <w:tc>
          <w:tcPr>
            <w:tcW w:w="1701"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164</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400</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食品生产许可</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《中华人民共和国食品安全法》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《国务院关于深化“证照分离”改革进一步激发市场主体发展活力的通知》（国发〔2021〕7号）</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《食品生产许可管理办法》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《食品生产许可审查通则（2022版）》</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《婴幼儿配方乳粉生产许可审查细则（2022版）》</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000000" w:sz="2" w:space="0"/>
              <w:right w:val="single" w:color="000000" w:sz="2" w:space="0"/>
            </w:tcBorders>
            <w:noWrap/>
            <w:vAlign w:val="center"/>
          </w:tcPr>
          <w:p/>
        </w:tc>
        <w:tc>
          <w:tcPr>
            <w:tcW w:w="2372"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1463"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1584"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3374"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《国家食品药品监督管理总局关于印发保健食品生产许可审查细则的通知》（食药监食监三〔2016〕151号）</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165</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402</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食品经营许可（仅销售预包装食品除外）</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《中华人民共和国食品安全法》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《中华人民共和国食品安全法》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auto" w:sz="4"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《食品经营许可和备案管理办法》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166</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405</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特种设备使用登记</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1584"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3374" w:type="dxa"/>
            <w:vMerge w:val="restart"/>
            <w:tcBorders>
              <w:top w:val="single" w:color="000000" w:sz="2" w:space="0"/>
              <w:left w:val="single" w:color="auto" w:sz="4"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《中华人民共和国特种设备安全法》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《中华人民共和国特种设备安全法》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pPr>
              <w:rPr>
                <w:color w:val="auto"/>
              </w:rPr>
            </w:p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pPr>
              <w:rPr>
                <w:color w:val="auto"/>
              </w:rPr>
            </w:p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pPr>
              <w:rPr>
                <w:color w:val="auto"/>
              </w:rPr>
            </w:p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pPr>
              <w:rPr>
                <w:color w:val="auto"/>
              </w:rPr>
            </w:pPr>
          </w:p>
        </w:tc>
        <w:tc>
          <w:tcPr>
            <w:tcW w:w="1584" w:type="dxa"/>
            <w:vMerge w:val="continue"/>
            <w:tcBorders>
              <w:top w:val="single" w:color="auto" w:sz="4" w:space="0"/>
              <w:left w:val="single" w:color="000000" w:sz="2" w:space="0"/>
              <w:bottom w:val="single" w:color="auto" w:sz="4" w:space="0"/>
              <w:right w:val="single" w:color="auto" w:sz="4" w:space="0"/>
            </w:tcBorders>
            <w:noWrap/>
            <w:vAlign w:val="center"/>
          </w:tcPr>
          <w:p>
            <w:pPr>
              <w:rPr>
                <w:color w:val="auto"/>
              </w:rPr>
            </w:pPr>
          </w:p>
        </w:tc>
        <w:tc>
          <w:tcPr>
            <w:tcW w:w="3374" w:type="dxa"/>
            <w:vMerge w:val="continue"/>
            <w:tcBorders>
              <w:top w:val="nil"/>
              <w:left w:val="single" w:color="auto" w:sz="4" w:space="0"/>
              <w:bottom w:val="single" w:color="000000" w:sz="2" w:space="0"/>
              <w:right w:val="single" w:color="000000" w:sz="2" w:space="0"/>
            </w:tcBorders>
            <w:noWrap/>
            <w:vAlign w:val="center"/>
          </w:tcPr>
          <w:p>
            <w:pPr>
              <w:rPr>
                <w:color w:val="auto"/>
              </w:rPr>
            </w:p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《特种设备使用管理规则》（TSG08－2017）</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pPr>
              <w:rPr>
                <w:color w:val="auto"/>
              </w:rPr>
            </w:p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pPr>
              <w:rPr>
                <w:color w:val="auto"/>
              </w:rPr>
            </w:p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pPr>
              <w:rPr>
                <w:color w:val="auto"/>
              </w:rPr>
            </w:p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pPr>
              <w:rPr>
                <w:color w:val="auto"/>
              </w:rPr>
            </w:pPr>
          </w:p>
        </w:tc>
        <w:tc>
          <w:tcPr>
            <w:tcW w:w="1584" w:type="dxa"/>
            <w:vMerge w:val="continue"/>
            <w:tcBorders>
              <w:top w:val="single" w:color="auto" w:sz="4" w:space="0"/>
              <w:left w:val="single" w:color="000000" w:sz="2" w:space="0"/>
              <w:bottom w:val="single" w:color="auto" w:sz="4" w:space="0"/>
              <w:right w:val="single" w:color="auto" w:sz="4" w:space="0"/>
            </w:tcBorders>
            <w:noWrap/>
            <w:vAlign w:val="center"/>
          </w:tcPr>
          <w:p>
            <w:pPr>
              <w:rPr>
                <w:color w:val="auto"/>
              </w:rPr>
            </w:pPr>
          </w:p>
        </w:tc>
        <w:tc>
          <w:tcPr>
            <w:tcW w:w="3374" w:type="dxa"/>
            <w:vMerge w:val="restart"/>
            <w:tcBorders>
              <w:top w:val="single" w:color="000000" w:sz="2" w:space="0"/>
              <w:left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《特种设备安全监察条例》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《质检总局办公厅关于实施〈特种设备使用管理规则〉中若干问题的通知》（质检办特函〔2017〕1015号）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eastAsia" w:ascii="方正仿宋_GBK" w:eastAsia="方正仿宋_GBK" w:cs="方正仿宋_GBK"/>
                <w:color w:val="auto"/>
                <w:spacing w:val="0"/>
                <w:w w:val="100"/>
                <w:position w:val="0"/>
                <w:sz w:val="20"/>
                <w:szCs w:val="20"/>
                <w:lang w:val="en-US" w:eastAsia="zh-CN"/>
              </w:rPr>
            </w:p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p>
        </w:tc>
        <w:tc>
          <w:tcPr>
            <w:tcW w:w="1584" w:type="dxa"/>
            <w:vMerge w:val="continue"/>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p>
        </w:tc>
        <w:tc>
          <w:tcPr>
            <w:tcW w:w="3374" w:type="dxa"/>
            <w:vMerge w:val="continue"/>
            <w:tcBorders>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tabs>
                <w:tab w:val="left" w:pos="925"/>
              </w:tabs>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Times New Roman" w:hAnsi="Times New Roman" w:eastAsia="方正仿宋_GBK"/>
                <w:color w:val="auto"/>
                <w:spacing w:val="0"/>
                <w:w w:val="100"/>
                <w:position w:val="0"/>
                <w:lang w:eastAsia="zh-CN"/>
              </w:rPr>
              <w:t>《</w:t>
            </w:r>
            <w:r>
              <w:rPr>
                <w:rFonts w:hint="eastAsia" w:ascii="Times New Roman" w:hAnsi="Times New Roman" w:eastAsia="方正仿宋_GBK"/>
                <w:color w:val="auto"/>
                <w:spacing w:val="0"/>
                <w:w w:val="100"/>
                <w:position w:val="0"/>
              </w:rPr>
              <w:t>阿坝州人民政府办公室关于取消和下放一批行政许可事项的通知</w:t>
            </w:r>
            <w:r>
              <w:rPr>
                <w:rFonts w:hint="eastAsia" w:ascii="Times New Roman" w:hAnsi="Times New Roman" w:eastAsia="方正仿宋_GBK"/>
                <w:color w:val="auto"/>
                <w:spacing w:val="0"/>
                <w:w w:val="100"/>
                <w:position w:val="0"/>
                <w:lang w:eastAsia="zh-CN"/>
              </w:rPr>
              <w:t>》（</w:t>
            </w:r>
            <w:r>
              <w:rPr>
                <w:rFonts w:hint="eastAsia" w:ascii="Times New Roman" w:hAnsi="Times New Roman" w:eastAsia="方正仿宋_GBK"/>
                <w:color w:val="auto"/>
                <w:spacing w:val="0"/>
                <w:w w:val="100"/>
                <w:position w:val="0"/>
              </w:rPr>
              <w:t>阿府办函〔2020〕72号）</w:t>
            </w:r>
          </w:p>
        </w:tc>
        <w:tc>
          <w:tcPr>
            <w:tcW w:w="1701"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167</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408</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特种设备安全管理和作业人员资格认定</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3374" w:type="dxa"/>
            <w:tcBorders>
              <w:top w:val="single" w:color="000000" w:sz="2"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《中华人民共和国特种设备安全法》</w:t>
            </w: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《特种设备作业人员监督管理办法》</w:t>
            </w:r>
          </w:p>
        </w:tc>
        <w:tc>
          <w:tcPr>
            <w:tcW w:w="1701" w:type="dxa"/>
            <w:vMerge w:val="restart"/>
            <w:tcBorders>
              <w:top w:val="single" w:color="auto" w:sz="4" w:space="0"/>
              <w:left w:val="single" w:color="000000" w:sz="2" w:space="0"/>
              <w:bottom w:val="nil"/>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restart"/>
            <w:tcBorders>
              <w:top w:val="single" w:color="000000" w:sz="2" w:space="0"/>
              <w:left w:val="single" w:color="000000" w:sz="2" w:space="0"/>
              <w:bottom w:val="nil"/>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《特种设备安全监察条例》</w:t>
            </w:r>
          </w:p>
        </w:tc>
        <w:tc>
          <w:tcPr>
            <w:tcW w:w="4551" w:type="dxa"/>
            <w:tcBorders>
              <w:top w:val="single" w:color="000000" w:sz="2"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《特种设备作业人员考核规则》（TSGZ6001-2019）</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nil"/>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《市场监管总局关于特种设备行政许可有关事项的公告》（2021年第41号）</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auto" w:sz="4" w:space="0"/>
            </w:tcBorders>
            <w:noWrap/>
            <w:vAlign w:val="center"/>
          </w:tcPr>
          <w:p/>
        </w:tc>
        <w:tc>
          <w:tcPr>
            <w:tcW w:w="4551" w:type="dxa"/>
            <w:tcBorders>
              <w:top w:val="single" w:color="000000" w:sz="2"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《特种设备焊接操作人员考核细则》（TSGZ6002-2010）</w:t>
            </w:r>
          </w:p>
        </w:tc>
        <w:tc>
          <w:tcPr>
            <w:tcW w:w="1701" w:type="dxa"/>
            <w:vMerge w:val="continue"/>
            <w:tcBorders>
              <w:top w:val="nil"/>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《国家职业资格目录（2021年版）》</w:t>
            </w: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《四川省市场监督管理局关于特种设备作业人员资格认定项目及发证机关的通知》（川市监规发〔2023〕7号）</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168</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409</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计量标准器具核准</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《中华人民共和国计量法》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《中华人民共和国计量法实施细则》</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《计量标准考核办法》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《中华人民共和国计量法实施细则》</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《计量标准考核规范》（JJF1033-2023）</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169</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411</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承担国家法定计量检定机构任务授权</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《中华人民共和国计量法》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《中华人民共和国计量法实施细则》</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《计量授权管理办法》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《法定计量检定机构考核规范》（JJF1069-2012）</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auto" w:sz="4"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170</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418</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企业登记注册</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《中华人民共和国公司法》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《中华人民共和国市场主体登记管理条例》</w:t>
            </w:r>
          </w:p>
        </w:tc>
        <w:tc>
          <w:tcPr>
            <w:tcW w:w="1701" w:type="dxa"/>
            <w:vMerge w:val="restart"/>
            <w:tcBorders>
              <w:top w:val="single" w:color="000000" w:sz="2" w:space="0"/>
              <w:left w:val="single" w:color="000000" w:sz="2" w:space="0"/>
              <w:bottom w:val="nil"/>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《中华人民共和国外商投资法实施条例》</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《中华人民共和国市场主体登记管理条例实施细则》</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《市场监督管理行政许可程序暂行规定》</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《市场监管总局关于印发〈市场主体登记文书规范〉〈市场主体登记提交材料规范〉的通知》（国市监注发〔2022〕24号）</w:t>
            </w:r>
          </w:p>
        </w:tc>
        <w:tc>
          <w:tcPr>
            <w:tcW w:w="1701" w:type="dxa"/>
            <w:vMerge w:val="continue"/>
            <w:tcBorders>
              <w:top w:val="nil"/>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《中华人民共和国合伙企业法》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《外商投资企业授权登记管理办法》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nil"/>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《中华人民共和国市场主体登记管理条例实施细则》</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《防范和查处假冒企业登记违法行为规定》</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《中华人民共和国个人独资企业法》</w:t>
            </w:r>
          </w:p>
        </w:tc>
        <w:tc>
          <w:tcPr>
            <w:tcW w:w="4551" w:type="dxa"/>
            <w:vMerge w:val="restart"/>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工商行政管理总局关于授予四川省南充市、达州市、遂宁市、凉山州、自贡市、泸州市、雅安市、宜宾市、广元市、巴中市、攀枝花市、甘孜州、阿坝州、广安市工商行政管理局的外商投资企业核准登记权的通知》（工商外企字〔2007〕282号）</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《中华人民共和国外商投资法》</w:t>
            </w:r>
          </w:p>
        </w:tc>
        <w:tc>
          <w:tcPr>
            <w:tcW w:w="455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《中华人民共和国外商投资法实施条例》</w:t>
            </w:r>
          </w:p>
        </w:tc>
        <w:tc>
          <w:tcPr>
            <w:tcW w:w="455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《中华人民共和国市场主体登记管理条例》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《四川省市场监督管理局关于下放市场主体登记注册管辖权的通知》（川市监发〔2021〕16号）</w:t>
            </w:r>
          </w:p>
        </w:tc>
        <w:tc>
          <w:tcPr>
            <w:tcW w:w="1701" w:type="dxa"/>
            <w:vMerge w:val="continue"/>
            <w:tcBorders>
              <w:top w:val="nil"/>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171</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419</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个体工商户登记注册</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《中华人民共和国市场主体登记管理条例》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《中华人民共和国市场主体登记管理条例》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《促进个体工商户发展条例》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《中华人民共和国市场主体登记管理条例实施细则》</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《市场监管总局关于印发〈市场主体登记文书规范〉〈市场主体登记提交材料规范〉的通知》（国市监注发〔2022〕24号）</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172</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420</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农民专业合作社登记注册</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1584"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市场监管局</w:t>
            </w:r>
          </w:p>
        </w:tc>
        <w:tc>
          <w:tcPr>
            <w:tcW w:w="3374" w:type="dxa"/>
            <w:tcBorders>
              <w:top w:val="single" w:color="auto" w:sz="4" w:space="0"/>
              <w:left w:val="single" w:color="auto" w:sz="4"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《中华人民共和国农民专业合作社法》</w:t>
            </w: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《中华人民共和国市场主体登记管理条例》</w:t>
            </w:r>
          </w:p>
        </w:tc>
        <w:tc>
          <w:tcPr>
            <w:tcW w:w="1701" w:type="dxa"/>
            <w:vMerge w:val="restart"/>
            <w:tcBorders>
              <w:top w:val="single" w:color="auto" w:sz="4" w:space="0"/>
              <w:left w:val="single" w:color="000000" w:sz="2" w:space="0"/>
              <w:bottom w:val="nil"/>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auto" w:sz="4" w:space="0"/>
            </w:tcBorders>
            <w:noWrap/>
            <w:vAlign w:val="center"/>
          </w:tcPr>
          <w:p/>
        </w:tc>
        <w:tc>
          <w:tcPr>
            <w:tcW w:w="3374" w:type="dxa"/>
            <w:vMerge w:val="restart"/>
            <w:tcBorders>
              <w:top w:val="single" w:color="000000" w:sz="2"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《中华人民共和国市场主体登记管理条例》</w:t>
            </w:r>
          </w:p>
        </w:tc>
        <w:tc>
          <w:tcPr>
            <w:tcW w:w="4551" w:type="dxa"/>
            <w:tcBorders>
              <w:top w:val="single" w:color="000000" w:sz="2"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《中华人民共和国市场主体登记管理条例实施细则》</w:t>
            </w:r>
          </w:p>
        </w:tc>
        <w:tc>
          <w:tcPr>
            <w:tcW w:w="1701" w:type="dxa"/>
            <w:vMerge w:val="continue"/>
            <w:tcBorders>
              <w:top w:val="nil"/>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《市场监管总局关于印发〈市场主体登记文书规范〉〈市场主体登记提交材料规范〉的通知》（国市监注发〔2022〕24号）</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173</w:t>
            </w:r>
          </w:p>
        </w:tc>
        <w:tc>
          <w:tcPr>
            <w:tcW w:w="637"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429</w:t>
            </w:r>
          </w:p>
        </w:tc>
        <w:tc>
          <w:tcPr>
            <w:tcW w:w="2372"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广播电视专用频段频率使用许可</w:t>
            </w:r>
          </w:p>
        </w:tc>
        <w:tc>
          <w:tcPr>
            <w:tcW w:w="1463"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lang w:eastAsia="zh-CN"/>
              </w:rPr>
              <w:t>县文广体旅局</w:t>
            </w:r>
          </w:p>
        </w:tc>
        <w:tc>
          <w:tcPr>
            <w:tcW w:w="158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r>
              <w:rPr>
                <w:rFonts w:hint="eastAsia" w:ascii="方正仿宋_GBK" w:eastAsia="方正仿宋_GBK" w:cs="方正仿宋_GBK"/>
                <w:color w:val="auto"/>
                <w:spacing w:val="0"/>
                <w:w w:val="100"/>
                <w:position w:val="0"/>
                <w:sz w:val="20"/>
                <w:szCs w:val="20"/>
              </w:rPr>
              <w:t>（本级广电部门受理并逐级上报）</w:t>
            </w: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《广播电视管理条例》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《广播电视无线传输覆盖网管理办法》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174</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431</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广播电台、电视台设立、终止审批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lang w:eastAsia="zh-CN"/>
              </w:rPr>
              <w:t>县文广体旅局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r>
              <w:rPr>
                <w:rFonts w:hint="eastAsia" w:ascii="方正仿宋_GBK" w:eastAsia="方正仿宋_GBK" w:cs="方正仿宋_GBK"/>
                <w:color w:val="auto"/>
                <w:spacing w:val="0"/>
                <w:w w:val="100"/>
                <w:position w:val="0"/>
                <w:sz w:val="20"/>
                <w:szCs w:val="20"/>
              </w:rPr>
              <w:t>（地方广播电台、电视台设立、终止由本级广电部门受理并逐级上报）</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《广播电视管理条例》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《广播电台电视台审批管理办法》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175</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432</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广播电台、电视台变更台名、台标、节目设置范围或节目套数审批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lang w:eastAsia="zh-CN"/>
              </w:rPr>
              <w:t>县文广体旅局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r>
              <w:rPr>
                <w:rFonts w:hint="eastAsia" w:ascii="方正仿宋_GBK" w:eastAsia="方正仿宋_GBK" w:cs="方正仿宋_GBK"/>
                <w:color w:val="auto"/>
                <w:spacing w:val="0"/>
                <w:w w:val="100"/>
                <w:position w:val="0"/>
                <w:sz w:val="20"/>
                <w:szCs w:val="20"/>
              </w:rPr>
              <w:t>（由本级广电部门受理并逐级上报）</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《广播电视管理条例》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《广播电台电视台审批管理办法》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《国务院关于取消和下放一批行政许可事项的决定》</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190"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176</w:t>
            </w:r>
          </w:p>
        </w:tc>
        <w:tc>
          <w:tcPr>
            <w:tcW w:w="637" w:type="dxa"/>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433</w:t>
            </w:r>
          </w:p>
        </w:tc>
        <w:tc>
          <w:tcPr>
            <w:tcW w:w="2372" w:type="dxa"/>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乡镇设立广播电视站和机关、部队、团体、企业事业单位设立有线广播电视站审批</w:t>
            </w:r>
          </w:p>
        </w:tc>
        <w:tc>
          <w:tcPr>
            <w:tcW w:w="1463" w:type="dxa"/>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lang w:eastAsia="zh-CN"/>
              </w:rPr>
              <w:t>县文广体旅局</w:t>
            </w:r>
          </w:p>
        </w:tc>
        <w:tc>
          <w:tcPr>
            <w:tcW w:w="1584" w:type="dxa"/>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r>
              <w:rPr>
                <w:rFonts w:hint="eastAsia" w:ascii="方正仿宋_GBK" w:eastAsia="方正仿宋_GBK" w:cs="方正仿宋_GBK"/>
                <w:color w:val="auto"/>
                <w:spacing w:val="0"/>
                <w:w w:val="100"/>
                <w:position w:val="0"/>
                <w:sz w:val="20"/>
                <w:szCs w:val="20"/>
              </w:rPr>
              <w:t>负责初审</w:t>
            </w:r>
          </w:p>
        </w:tc>
        <w:tc>
          <w:tcPr>
            <w:tcW w:w="3374" w:type="dxa"/>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《广播电视管理条例》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《广播电视站审批管理暂行规定》</w:t>
            </w:r>
          </w:p>
        </w:tc>
        <w:tc>
          <w:tcPr>
            <w:tcW w:w="1701" w:type="dxa"/>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177</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434</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有线广播电视传输覆盖网工程验收审核</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lang w:eastAsia="zh-CN"/>
              </w:rPr>
              <w:t>县文广体旅局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《广播电视管理条例》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《广播电视管理条例》</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178</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436</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广播电视视频点播业务审批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lang w:eastAsia="zh-CN"/>
              </w:rPr>
              <w:t>县文广体旅局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r>
              <w:rPr>
                <w:rFonts w:hint="eastAsia" w:ascii="方正仿宋_GBK" w:eastAsia="方正仿宋_GBK" w:cs="方正仿宋_GBK"/>
                <w:color w:val="auto"/>
                <w:spacing w:val="0"/>
                <w:w w:val="100"/>
                <w:position w:val="0"/>
                <w:sz w:val="20"/>
                <w:szCs w:val="20"/>
              </w:rPr>
              <w:t>（由本级广电部门受理并逐级上报）</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《广播电视视频点播业务管理办法》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179</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439</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卫星电视广播地面接收设施安装服务许可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lang w:eastAsia="zh-CN"/>
              </w:rPr>
              <w:t>县文广体旅局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r>
              <w:rPr>
                <w:rFonts w:hint="eastAsia" w:ascii="方正仿宋_GBK" w:eastAsia="方正仿宋_GBK" w:cs="方正仿宋_GBK"/>
                <w:color w:val="auto"/>
                <w:spacing w:val="0"/>
                <w:w w:val="100"/>
                <w:position w:val="0"/>
                <w:sz w:val="20"/>
                <w:szCs w:val="20"/>
              </w:rPr>
              <w:t>初审</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《卫星电视广播地面接收设施管理规定》</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《卫星电视广播地面接收设施安装服务暂行办法》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《广电总局关于设立卫星地面接收设施安装服务机构审批事项的通知》（广发〔2010〕24号）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180</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440</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设置卫星电视广播地面接收设施审批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lang w:eastAsia="zh-CN"/>
              </w:rPr>
              <w:t>县文广体旅局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r>
              <w:rPr>
                <w:rFonts w:hint="eastAsia" w:ascii="方正仿宋_GBK" w:eastAsia="方正仿宋_GBK" w:cs="方正仿宋_GBK"/>
                <w:color w:val="auto"/>
                <w:spacing w:val="0"/>
                <w:w w:val="100"/>
                <w:position w:val="0"/>
                <w:sz w:val="20"/>
                <w:szCs w:val="20"/>
              </w:rPr>
              <w:t>初审</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《广播电视管理条例》</w:t>
            </w:r>
          </w:p>
        </w:tc>
        <w:tc>
          <w:tcPr>
            <w:tcW w:w="455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《〈卫星电视广播地面接收设施管理规定〉实施细则》</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《卫星电视广播地面接收设施管理规定》</w:t>
            </w:r>
          </w:p>
        </w:tc>
        <w:tc>
          <w:tcPr>
            <w:tcW w:w="4551" w:type="dxa"/>
            <w:vMerge w:val="continue"/>
            <w:tcBorders>
              <w:top w:val="nil"/>
              <w:left w:val="single" w:color="000000" w:sz="2" w:space="0"/>
              <w:bottom w:val="single" w:color="000000" w:sz="2" w:space="0"/>
              <w:right w:val="single" w:color="000000" w:sz="2" w:space="0"/>
            </w:tcBorders>
            <w:noWrap/>
            <w:vAlign w:val="center"/>
          </w:tcP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181</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443</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举办健身气功活动及设立站点审批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lang w:eastAsia="zh-CN"/>
              </w:rPr>
            </w:pPr>
            <w:r>
              <w:rPr>
                <w:rFonts w:hint="eastAsia" w:ascii="方正仿宋_GBK" w:eastAsia="方正仿宋_GBK" w:cs="方正仿宋_GBK"/>
                <w:color w:val="auto"/>
                <w:spacing w:val="0"/>
                <w:w w:val="100"/>
                <w:position w:val="0"/>
                <w:sz w:val="20"/>
                <w:szCs w:val="20"/>
                <w:highlight w:val="none"/>
                <w:lang w:eastAsia="zh-CN"/>
              </w:rPr>
              <w:t>县文广体旅局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《健身气功管理办法》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182</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446</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高危险性体育项目经营许可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lang w:eastAsia="zh-CN"/>
              </w:rPr>
              <w:t>县文广体旅局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《中华人民共和国体育法》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《全民健身条例》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《经营高危险性体育项目许可管理办法》</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183</w:t>
            </w:r>
          </w:p>
        </w:tc>
        <w:tc>
          <w:tcPr>
            <w:tcW w:w="637" w:type="dxa"/>
            <w:vMerge w:val="restart"/>
            <w:tcBorders>
              <w:top w:val="single" w:color="auto" w:sz="4" w:space="0"/>
              <w:left w:val="single" w:color="auto" w:sz="4"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447</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临时占用公共体育场地设施审批</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lang w:eastAsia="zh-CN"/>
              </w:rPr>
              <w:t>县文广体旅局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《中华人民共和国体育法》</w:t>
            </w:r>
          </w:p>
        </w:tc>
        <w:tc>
          <w:tcPr>
            <w:tcW w:w="4551" w:type="dxa"/>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《公共文化体育设施条例》</w:t>
            </w:r>
          </w:p>
        </w:tc>
        <w:tc>
          <w:tcPr>
            <w:tcW w:w="1701" w:type="dxa"/>
            <w:vMerge w:val="restart"/>
            <w:tcBorders>
              <w:top w:val="single" w:color="auto" w:sz="4" w:space="0"/>
              <w:left w:val="single" w:color="000000" w:sz="2"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《四川省体育条例》</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184</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448</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举办高危险性体育赛事活动许可</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《中华人民共和国体育法》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《体育赛事活动管理办法》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《高危险性体育赛事活动目录（第一批）》（体育总局、工业和信息化部、公安部、人力资源社会保障部、卫生健康委、应急部、市场监管总局公告第63号）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75"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《体育总局关于做好高危险性体育赛事活动管理工作的通知》（体政规字〔2023〕2号）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30"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185</w:t>
            </w:r>
          </w:p>
        </w:tc>
        <w:tc>
          <w:tcPr>
            <w:tcW w:w="637"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458</w:t>
            </w:r>
          </w:p>
        </w:tc>
        <w:tc>
          <w:tcPr>
            <w:tcW w:w="2372"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出版物零售业务经营许可</w:t>
            </w:r>
          </w:p>
        </w:tc>
        <w:tc>
          <w:tcPr>
            <w:tcW w:w="1463"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县委宣传部</w:t>
            </w:r>
          </w:p>
        </w:tc>
        <w:tc>
          <w:tcPr>
            <w:tcW w:w="158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县委宣传部</w:t>
            </w: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《出版管理条例》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《出版物市场管理规定》</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186</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475</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宗教活动场所筹备设立审批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县民宗局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县民宗局</w:t>
            </w:r>
            <w:r>
              <w:rPr>
                <w:rFonts w:hint="eastAsia" w:ascii="方正仿宋_GBK" w:eastAsia="方正仿宋_GBK" w:cs="方正仿宋_GBK"/>
                <w:color w:val="auto"/>
                <w:spacing w:val="0"/>
                <w:w w:val="100"/>
                <w:position w:val="0"/>
                <w:sz w:val="20"/>
                <w:szCs w:val="20"/>
              </w:rPr>
              <w:t>初审</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《宗教事务条例》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《宗教事务条例》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《宗教活动场所管理办法》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《四川省宗教事务条例》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187</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476</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宗教活动场所设立、变更、注销登记</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县民宗局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县民宗局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《宗教事务条例》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《宗教事务条例》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《宗教活动场所管理办法》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188</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478</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宗教活动场所内改建或者新建建筑物许可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县民宗局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县民宗局</w:t>
            </w:r>
            <w:r>
              <w:rPr>
                <w:rFonts w:hint="eastAsia" w:ascii="方正仿宋_GBK" w:eastAsia="方正仿宋_GBK" w:cs="方正仿宋_GBK"/>
                <w:color w:val="auto"/>
                <w:spacing w:val="0"/>
                <w:w w:val="100"/>
                <w:position w:val="0"/>
                <w:sz w:val="20"/>
                <w:szCs w:val="20"/>
              </w:rPr>
              <w:t>初审</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《宗教事务条例》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《四川省宗教事务条例》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《宗教事务部分行政许可项目实施办法》（国宗发〔2018〕11号）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189</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479</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宗教临时活动地点审批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县民宗局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县民宗局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《宗教事务条例》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《宗教事务条例》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《宗教临时活动地点审批管理办法》（国宗发〔2018〕15号）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190</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485</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宗教团体、宗教院校、宗教活动场所接受境外捐赠审批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县民宗局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县民宗局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《宗教事务条例》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《宗教事务条例》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《宗教事务部分行政许可项目实施办法》（国宗发〔2018〕11号）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191</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488</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华侨回国定居审批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县委统战部</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县委统战部</w:t>
            </w:r>
            <w:r>
              <w:rPr>
                <w:rFonts w:hint="eastAsia" w:ascii="方正仿宋_GBK" w:eastAsia="方正仿宋_GBK" w:cs="方正仿宋_GBK"/>
                <w:color w:val="auto"/>
                <w:spacing w:val="0"/>
                <w:w w:val="100"/>
                <w:position w:val="0"/>
                <w:sz w:val="20"/>
                <w:szCs w:val="20"/>
              </w:rPr>
              <w:t>初审</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《中华人民共和国出境入境管理法》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《华侨回国定居办理工作规定》（国侨发〔2013〕18号）</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《国务院侨务办公室公安部外交部关于简化和规范华侨回国定居办理工作的通知》（国侨发〔2019〕2号）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5"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《四川省华侨权益保护条例》</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192</w:t>
            </w:r>
          </w:p>
        </w:tc>
        <w:tc>
          <w:tcPr>
            <w:tcW w:w="637" w:type="dxa"/>
            <w:vMerge w:val="restart"/>
            <w:tcBorders>
              <w:top w:val="single" w:color="auto" w:sz="4" w:space="0"/>
              <w:left w:val="single" w:color="auto" w:sz="4"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491</w:t>
            </w:r>
          </w:p>
        </w:tc>
        <w:tc>
          <w:tcPr>
            <w:tcW w:w="2372"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雷电防护装置设计审核</w:t>
            </w:r>
          </w:p>
        </w:tc>
        <w:tc>
          <w:tcPr>
            <w:tcW w:w="1463"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气象局</w:t>
            </w:r>
          </w:p>
        </w:tc>
        <w:tc>
          <w:tcPr>
            <w:tcW w:w="158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县气象局</w:t>
            </w:r>
          </w:p>
        </w:tc>
        <w:tc>
          <w:tcPr>
            <w:tcW w:w="3374" w:type="dxa"/>
            <w:tcBorders>
              <w:top w:val="single" w:color="auto" w:sz="4"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《中华人民共和国气象法》</w:t>
            </w: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《气象灾害防御条例》</w:t>
            </w:r>
          </w:p>
        </w:tc>
        <w:tc>
          <w:tcPr>
            <w:tcW w:w="1701" w:type="dxa"/>
            <w:vMerge w:val="restart"/>
            <w:tcBorders>
              <w:top w:val="single" w:color="auto" w:sz="4" w:space="0"/>
              <w:left w:val="single" w:color="000000" w:sz="2" w:space="0"/>
              <w:bottom w:val="nil"/>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nil"/>
              <w:left w:val="single" w:color="auto" w:sz="4"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restart"/>
            <w:tcBorders>
              <w:top w:val="single" w:color="000000" w:sz="2"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《气象灾害防御条例》</w:t>
            </w:r>
          </w:p>
        </w:tc>
        <w:tc>
          <w:tcPr>
            <w:tcW w:w="4551" w:type="dxa"/>
            <w:tcBorders>
              <w:top w:val="single" w:color="000000" w:sz="2"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1701" w:type="dxa"/>
            <w:vMerge w:val="continue"/>
            <w:tcBorders>
              <w:top w:val="nil"/>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《气象行政许可实施办法》</w:t>
            </w:r>
          </w:p>
        </w:tc>
        <w:tc>
          <w:tcPr>
            <w:tcW w:w="1701" w:type="dxa"/>
            <w:vMerge w:val="continue"/>
            <w:tcBorders>
              <w:top w:val="single" w:color="auto" w:sz="4" w:space="0"/>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《雷电防护装置设计审核和竣工验收规定》</w:t>
            </w:r>
          </w:p>
        </w:tc>
        <w:tc>
          <w:tcPr>
            <w:tcW w:w="1701" w:type="dxa"/>
            <w:vMerge w:val="continue"/>
            <w:tcBorders>
              <w:top w:val="single" w:color="auto" w:sz="4" w:space="0"/>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193</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492</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雷电防护装置竣工验收</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县气象局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县气象局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《中华人民共和国气象法》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《气象灾害防御条例》</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《气象灾害防御条例》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《气象行政许可实施办法》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《雷电防护装置设计审核和竣工验收规定》</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194</w:t>
            </w:r>
          </w:p>
        </w:tc>
        <w:tc>
          <w:tcPr>
            <w:tcW w:w="637" w:type="dxa"/>
            <w:vMerge w:val="restart"/>
            <w:tcBorders>
              <w:top w:val="single" w:color="auto" w:sz="4"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494</w:t>
            </w:r>
          </w:p>
        </w:tc>
        <w:tc>
          <w:tcPr>
            <w:tcW w:w="2372"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升放无人驾驶自由气球或者系留气球活动审批</w:t>
            </w:r>
          </w:p>
        </w:tc>
        <w:tc>
          <w:tcPr>
            <w:tcW w:w="1463"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县气象局</w:t>
            </w:r>
          </w:p>
        </w:tc>
        <w:tc>
          <w:tcPr>
            <w:tcW w:w="158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县气象局</w:t>
            </w: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《通用航空飞行管制条例》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《气象行政许可实施办法》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《国务院关于第六批取消和调整行政审批项目的决定》</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《升放气球管理办法》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195</w:t>
            </w:r>
          </w:p>
        </w:tc>
        <w:tc>
          <w:tcPr>
            <w:tcW w:w="637" w:type="dxa"/>
            <w:vMerge w:val="restart"/>
            <w:tcBorders>
              <w:top w:val="single" w:color="000000" w:sz="2" w:space="0"/>
              <w:left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520</w:t>
            </w:r>
          </w:p>
        </w:tc>
        <w:tc>
          <w:tcPr>
            <w:tcW w:w="2372" w:type="dxa"/>
            <w:vMerge w:val="restart"/>
            <w:tcBorders>
              <w:top w:val="single" w:color="000000" w:sz="2" w:space="0"/>
              <w:left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在电力设施周围或电力设施保护区内进行可能危及电力设施安全作业的审批</w:t>
            </w:r>
          </w:p>
        </w:tc>
        <w:tc>
          <w:tcPr>
            <w:tcW w:w="1463" w:type="dxa"/>
            <w:vMerge w:val="restart"/>
            <w:tcBorders>
              <w:top w:val="single" w:color="000000" w:sz="2" w:space="0"/>
              <w:left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县经信局</w:t>
            </w:r>
          </w:p>
        </w:tc>
        <w:tc>
          <w:tcPr>
            <w:tcW w:w="1584" w:type="dxa"/>
            <w:vMerge w:val="restart"/>
            <w:tcBorders>
              <w:top w:val="single" w:color="000000" w:sz="2" w:space="0"/>
              <w:left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县经信局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《中华人民共和国电力法》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《中华人民共和国电力法》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left w:val="single" w:color="000000" w:sz="2" w:space="0"/>
              <w:right w:val="single" w:color="000000" w:sz="2" w:space="0"/>
            </w:tcBorders>
            <w:noWrap/>
            <w:vAlign w:val="center"/>
          </w:tcPr>
          <w:p/>
        </w:tc>
        <w:tc>
          <w:tcPr>
            <w:tcW w:w="637" w:type="dxa"/>
            <w:vMerge w:val="continue"/>
            <w:tcBorders>
              <w:left w:val="single" w:color="000000" w:sz="2" w:space="0"/>
              <w:right w:val="single" w:color="000000" w:sz="2" w:space="0"/>
            </w:tcBorders>
            <w:noWrap/>
            <w:vAlign w:val="center"/>
          </w:tcPr>
          <w:p/>
        </w:tc>
        <w:tc>
          <w:tcPr>
            <w:tcW w:w="2372" w:type="dxa"/>
            <w:vMerge w:val="continue"/>
            <w:tcBorders>
              <w:left w:val="single" w:color="000000" w:sz="2" w:space="0"/>
              <w:right w:val="single" w:color="000000" w:sz="2" w:space="0"/>
            </w:tcBorders>
            <w:noWrap/>
            <w:vAlign w:val="center"/>
          </w:tcPr>
          <w:p/>
        </w:tc>
        <w:tc>
          <w:tcPr>
            <w:tcW w:w="1463" w:type="dxa"/>
            <w:vMerge w:val="continue"/>
            <w:tcBorders>
              <w:left w:val="single" w:color="000000" w:sz="2" w:space="0"/>
              <w:right w:val="single" w:color="000000" w:sz="2" w:space="0"/>
            </w:tcBorders>
            <w:noWrap/>
            <w:vAlign w:val="center"/>
          </w:tcPr>
          <w:p/>
        </w:tc>
        <w:tc>
          <w:tcPr>
            <w:tcW w:w="1584" w:type="dxa"/>
            <w:vMerge w:val="continue"/>
            <w:tcBorders>
              <w:left w:val="single" w:color="000000" w:sz="2" w:space="0"/>
              <w:right w:val="single" w:color="000000" w:sz="2" w:space="0"/>
            </w:tcBorders>
            <w:noWrap/>
            <w:vAlign w:val="center"/>
          </w:tcPr>
          <w:p/>
        </w:tc>
        <w:tc>
          <w:tcPr>
            <w:tcW w:w="3374" w:type="dxa"/>
            <w:vMerge w:val="restart"/>
            <w:tcBorders>
              <w:top w:val="single" w:color="000000" w:sz="2" w:space="0"/>
              <w:left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《电力设施保护条例》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《电力设施保护条例》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eastAsia" w:ascii="方正仿宋_GBK" w:eastAsia="方正仿宋_GBK" w:cs="方正仿宋_GBK"/>
                <w:color w:val="auto"/>
                <w:spacing w:val="0"/>
                <w:w w:val="100"/>
                <w:position w:val="0"/>
                <w:sz w:val="20"/>
                <w:szCs w:val="20"/>
                <w:lang w:val="en-US" w:eastAsia="zh-CN"/>
              </w:rPr>
            </w:pPr>
          </w:p>
        </w:tc>
        <w:tc>
          <w:tcPr>
            <w:tcW w:w="637" w:type="dxa"/>
            <w:vMerge w:val="continue"/>
            <w:tcBorders>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2372" w:type="dxa"/>
            <w:vMerge w:val="continue"/>
            <w:tcBorders>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p>
        </w:tc>
        <w:tc>
          <w:tcPr>
            <w:tcW w:w="1463" w:type="dxa"/>
            <w:vMerge w:val="continue"/>
            <w:tcBorders>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p>
        </w:tc>
        <w:tc>
          <w:tcPr>
            <w:tcW w:w="1584" w:type="dxa"/>
            <w:vMerge w:val="continue"/>
            <w:tcBorders>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p>
        </w:tc>
        <w:tc>
          <w:tcPr>
            <w:tcW w:w="3374" w:type="dxa"/>
            <w:vMerge w:val="continue"/>
            <w:tcBorders>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Times New Roman" w:hAnsi="Times New Roman" w:eastAsia="方正仿宋_GBK"/>
                <w:color w:val="auto"/>
                <w:spacing w:val="0"/>
                <w:w w:val="100"/>
                <w:position w:val="0"/>
                <w:sz w:val="19"/>
                <w:szCs w:val="19"/>
              </w:rPr>
              <w:t>《四川省电力设施保护和供用电秩序维护条例》</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196</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525</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新建不能满足管道保护要求的石油天然气管道防护方案审批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发展改革</w:t>
            </w:r>
            <w:r>
              <w:rPr>
                <w:rFonts w:hint="eastAsia" w:ascii="方正仿宋_GBK" w:eastAsia="方正仿宋_GBK" w:cs="方正仿宋_GBK"/>
                <w:color w:val="auto"/>
                <w:spacing w:val="0"/>
                <w:w w:val="100"/>
                <w:position w:val="0"/>
                <w:sz w:val="20"/>
                <w:szCs w:val="20"/>
                <w:lang w:eastAsia="zh-CN"/>
              </w:rPr>
              <w:t>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发展改革</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《中华人民共和国石油天然气管道保护法》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《中华人民共和国石油天然气管道保护法》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197</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526</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可能影响石油天然气管道保护的施工作业审批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发展改革</w:t>
            </w:r>
            <w:r>
              <w:rPr>
                <w:rFonts w:hint="eastAsia" w:ascii="方正仿宋_GBK" w:eastAsia="方正仿宋_GBK" w:cs="方正仿宋_GBK"/>
                <w:color w:val="auto"/>
                <w:spacing w:val="0"/>
                <w:w w:val="100"/>
                <w:position w:val="0"/>
                <w:sz w:val="20"/>
                <w:szCs w:val="20"/>
                <w:lang w:eastAsia="zh-CN"/>
              </w:rPr>
              <w:t>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发展改革</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《中华人民共和国石油天然气管道保护法》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《中华人民共和国石油天然气管道保护法》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198</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532</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烟草专卖零售许可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lang w:eastAsia="zh-CN"/>
              </w:rPr>
              <w:t>县</w:t>
            </w:r>
            <w:r>
              <w:rPr>
                <w:rFonts w:hint="eastAsia" w:ascii="方正仿宋_GBK" w:eastAsia="方正仿宋_GBK" w:cs="方正仿宋_GBK"/>
                <w:color w:val="auto"/>
                <w:spacing w:val="0"/>
                <w:w w:val="100"/>
                <w:position w:val="0"/>
                <w:sz w:val="20"/>
                <w:szCs w:val="20"/>
                <w:highlight w:val="none"/>
              </w:rPr>
              <w:t>烟草专卖局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lang w:eastAsia="zh-CN"/>
              </w:rPr>
              <w:t>县</w:t>
            </w:r>
            <w:r>
              <w:rPr>
                <w:rFonts w:hint="eastAsia" w:ascii="方正仿宋_GBK" w:eastAsia="方正仿宋_GBK" w:cs="方正仿宋_GBK"/>
                <w:color w:val="auto"/>
                <w:spacing w:val="0"/>
                <w:w w:val="100"/>
                <w:position w:val="0"/>
                <w:sz w:val="20"/>
                <w:szCs w:val="20"/>
                <w:highlight w:val="none"/>
              </w:rPr>
              <w:t>烟草专卖局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《中华人民共和国烟草专卖法》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《中华人民共和国烟草专卖法》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《中华人民共和国烟草专卖法实施条例》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《烟草专卖许可证管理办法》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《电子烟管理办法》（国家烟草专卖局公告2022年第1号）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199</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534</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普通护照签发</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val="en-US" w:eastAsia="zh-CN"/>
              </w:rPr>
              <w:t>县公安局</w:t>
            </w:r>
            <w:r>
              <w:rPr>
                <w:rFonts w:hint="eastAsia" w:ascii="方正仿宋_GBK" w:eastAsia="方正仿宋_GBK" w:cs="方正仿宋_GBK"/>
                <w:color w:val="auto"/>
                <w:spacing w:val="0"/>
                <w:w w:val="100"/>
                <w:position w:val="0"/>
                <w:sz w:val="20"/>
                <w:szCs w:val="20"/>
              </w:rPr>
              <w:t>出入境管理机构（受国家移民局委托实施）</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《中华人民共和国护照法》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《中华人民共和国护照法》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《中华人民共和国普通护照和出入境通行证签发管理办法》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rPr>
            </w:pPr>
            <w:r>
              <w:rPr>
                <w:rFonts w:hint="eastAsia" w:ascii="方正仿宋_GBK" w:eastAsia="方正仿宋_GBK" w:cs="方正仿宋_GBK"/>
                <w:color w:val="auto"/>
                <w:spacing w:val="0"/>
                <w:w w:val="100"/>
                <w:position w:val="0"/>
                <w:sz w:val="20"/>
                <w:szCs w:val="20"/>
                <w:lang w:val="en-US" w:eastAsia="zh-CN"/>
              </w:rPr>
              <w:t>200</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536</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边境管理区通行证核发</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公安局（含指定的派出所）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《中华人民共和国边境管理区通行证管理办法》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rPr>
            </w:pPr>
            <w:r>
              <w:rPr>
                <w:rFonts w:hint="eastAsia" w:ascii="方正仿宋_GBK" w:eastAsia="方正仿宋_GBK" w:cs="方正仿宋_GBK"/>
                <w:color w:val="auto"/>
                <w:spacing w:val="0"/>
                <w:w w:val="100"/>
                <w:position w:val="0"/>
                <w:sz w:val="20"/>
                <w:szCs w:val="20"/>
                <w:lang w:val="en-US" w:eastAsia="zh-CN"/>
              </w:rPr>
              <w:t>201</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537</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内地居民前往港澳通行证、往来港澳通行证及签注签发</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公安局出入境管理机构（受国家移民局委托实施）</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《中国公民因私事往来香港地区或者澳门地区的暂行管理办法》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《中国公民因私事往来香港地区或者澳门地区的暂行管理办法》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numPr>
                <w:ilvl w:val="0"/>
                <w:numId w:val="0"/>
              </w:numPr>
              <w:tabs>
                <w:tab w:val="left" w:pos="0"/>
              </w:tabs>
              <w:kinsoku/>
              <w:wordWrap/>
              <w:overflowPunct/>
              <w:topLinePunct w:val="0"/>
              <w:autoSpaceDE w:val="0"/>
              <w:autoSpaceDN w:val="0"/>
              <w:bidi w:val="0"/>
              <w:adjustRightInd w:val="0"/>
              <w:snapToGrid w:val="0"/>
              <w:spacing w:line="240" w:lineRule="exact"/>
              <w:ind w:left="0" w:leftChars="0" w:right="0" w:rightChars="0" w:firstLine="0" w:firstLineChars="0"/>
              <w:jc w:val="center"/>
              <w:textAlignment w:val="baseline"/>
              <w:rPr>
                <w:rFonts w:hint="default" w:ascii="方正仿宋_GBK" w:hAnsi="方正仿宋_GBK" w:eastAsia="方正仿宋_GBK" w:cs="方正仿宋_GBK"/>
                <w:color w:val="auto"/>
                <w:spacing w:val="0"/>
                <w:w w:val="100"/>
                <w:kern w:val="2"/>
                <w:position w:val="0"/>
                <w:sz w:val="20"/>
                <w:szCs w:val="20"/>
                <w:lang w:val="en-US" w:eastAsia="zh-CN" w:bidi="ar-SA"/>
              </w:rPr>
            </w:pPr>
            <w:r>
              <w:rPr>
                <w:rFonts w:hint="eastAsia" w:ascii="方正仿宋_GBK" w:hAnsi="方正仿宋_GBK" w:eastAsia="方正仿宋_GBK" w:cs="方正仿宋_GBK"/>
                <w:color w:val="auto"/>
                <w:spacing w:val="0"/>
                <w:w w:val="100"/>
                <w:position w:val="0"/>
                <w:sz w:val="20"/>
                <w:szCs w:val="20"/>
                <w:lang w:val="en-US" w:eastAsia="zh-CN"/>
              </w:rPr>
              <w:t>202</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leftChars="0" w:right="0" w:rightChars="0" w:firstLine="0" w:firstLineChars="0"/>
              <w:jc w:val="center"/>
              <w:textAlignment w:val="baseline"/>
              <w:rPr>
                <w:rFonts w:hint="eastAsia" w:ascii="方正仿宋_GBK" w:hAnsi="方正仿宋_GBK" w:eastAsia="方正仿宋_GBK" w:cs="方正仿宋_GBK"/>
                <w:color w:val="auto"/>
                <w:spacing w:val="0"/>
                <w:w w:val="100"/>
                <w:kern w:val="2"/>
                <w:position w:val="0"/>
                <w:sz w:val="20"/>
                <w:szCs w:val="20"/>
                <w:lang w:val="en-US" w:eastAsia="zh-CN" w:bidi="ar-SA"/>
              </w:rPr>
            </w:pPr>
            <w:r>
              <w:rPr>
                <w:rFonts w:hint="eastAsia" w:ascii="方正仿宋_GBK" w:hAnsi="方正仿宋_GBK" w:eastAsia="方正仿宋_GBK" w:cs="方正仿宋_GBK"/>
                <w:color w:val="auto"/>
                <w:spacing w:val="0"/>
                <w:w w:val="100"/>
                <w:position w:val="0"/>
                <w:sz w:val="20"/>
                <w:szCs w:val="20"/>
              </w:rPr>
              <w:t>538</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leftChars="0" w:right="0" w:rightChars="0" w:firstLine="0" w:firstLineChars="0"/>
              <w:jc w:val="both"/>
              <w:textAlignment w:val="baseline"/>
              <w:rPr>
                <w:rFonts w:hint="eastAsia" w:ascii="方正仿宋_GBK" w:hAnsi="方正仿宋_GBK" w:eastAsia="方正仿宋_GBK" w:cs="方正仿宋_GBK"/>
                <w:b w:val="0"/>
                <w:bCs w:val="0"/>
                <w:color w:val="auto"/>
                <w:spacing w:val="0"/>
                <w:w w:val="100"/>
                <w:kern w:val="2"/>
                <w:position w:val="0"/>
                <w:sz w:val="20"/>
                <w:szCs w:val="20"/>
                <w:lang w:val="en-US" w:eastAsia="zh-CN" w:bidi="ar-SA"/>
              </w:rPr>
            </w:pPr>
            <w:r>
              <w:rPr>
                <w:rFonts w:hint="eastAsia" w:ascii="方正仿宋_GBK" w:hAnsi="方正仿宋_GBK" w:eastAsia="方正仿宋_GBK" w:cs="方正仿宋_GBK"/>
                <w:b w:val="0"/>
                <w:bCs w:val="0"/>
                <w:color w:val="auto"/>
                <w:spacing w:val="0"/>
                <w:w w:val="100"/>
                <w:position w:val="0"/>
                <w:sz w:val="20"/>
                <w:szCs w:val="20"/>
              </w:rPr>
              <w:t>港澳居民来往内地通行证签发</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leftChars="0" w:right="0" w:rightChars="0" w:firstLine="0" w:firstLineChars="0"/>
              <w:jc w:val="both"/>
              <w:textAlignment w:val="baseline"/>
              <w:rPr>
                <w:rFonts w:hint="eastAsia" w:ascii="方正仿宋_GBK" w:hAnsi="方正仿宋_GBK" w:eastAsia="方正仿宋_GBK" w:cs="方正仿宋_GBK"/>
                <w:color w:val="auto"/>
                <w:spacing w:val="0"/>
                <w:w w:val="100"/>
                <w:kern w:val="2"/>
                <w:position w:val="0"/>
                <w:sz w:val="20"/>
                <w:szCs w:val="20"/>
                <w:lang w:val="en-US" w:eastAsia="zh-CN" w:bidi="ar-SA"/>
              </w:rPr>
            </w:pPr>
            <w:r>
              <w:rPr>
                <w:rFonts w:hint="eastAsia" w:ascii="方正仿宋_GBK" w:hAnsi="方正仿宋_GBK" w:eastAsia="方正仿宋_GBK" w:cs="方正仿宋_GBK"/>
                <w:color w:val="auto"/>
                <w:spacing w:val="0"/>
                <w:w w:val="100"/>
                <w:position w:val="0"/>
                <w:sz w:val="20"/>
                <w:szCs w:val="20"/>
                <w:lang w:eastAsia="zh-CN"/>
              </w:rPr>
              <w:t>县</w:t>
            </w:r>
            <w:r>
              <w:rPr>
                <w:rFonts w:hint="eastAsia" w:ascii="方正仿宋_GBK" w:hAnsi="方正仿宋_GBK" w:eastAsia="方正仿宋_GBK" w:cs="方正仿宋_GBK"/>
                <w:color w:val="auto"/>
                <w:spacing w:val="0"/>
                <w:w w:val="100"/>
                <w:position w:val="0"/>
                <w:sz w:val="20"/>
                <w:szCs w:val="20"/>
              </w:rPr>
              <w:t>公安局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leftChars="0" w:right="0" w:rightChars="0" w:firstLine="0" w:firstLineChars="0"/>
              <w:jc w:val="both"/>
              <w:textAlignment w:val="baseline"/>
              <w:rPr>
                <w:rFonts w:hint="eastAsia" w:ascii="方正仿宋_GBK" w:hAnsi="方正仿宋_GBK" w:eastAsia="方正仿宋_GBK" w:cs="方正仿宋_GBK"/>
                <w:color w:val="auto"/>
                <w:spacing w:val="0"/>
                <w:w w:val="100"/>
                <w:kern w:val="2"/>
                <w:position w:val="0"/>
                <w:sz w:val="20"/>
                <w:szCs w:val="20"/>
                <w:lang w:val="en-US" w:eastAsia="zh-CN" w:bidi="ar-SA"/>
              </w:rPr>
            </w:pPr>
            <w:r>
              <w:rPr>
                <w:rFonts w:hint="eastAsia" w:ascii="方正仿宋_GBK" w:hAnsi="方正仿宋_GBK" w:eastAsia="方正仿宋_GBK" w:cs="方正仿宋_GBK"/>
                <w:color w:val="auto"/>
                <w:spacing w:val="0"/>
                <w:w w:val="100"/>
                <w:position w:val="0"/>
                <w:sz w:val="20"/>
                <w:szCs w:val="20"/>
                <w:lang w:eastAsia="zh-CN"/>
              </w:rPr>
              <w:t>县公安局</w:t>
            </w:r>
            <w:r>
              <w:rPr>
                <w:rFonts w:hint="eastAsia" w:ascii="方正仿宋_GBK" w:hAnsi="方正仿宋_GBK" w:eastAsia="方正仿宋_GBK" w:cs="方正仿宋_GBK"/>
                <w:color w:val="auto"/>
                <w:spacing w:val="0"/>
                <w:w w:val="100"/>
                <w:position w:val="0"/>
                <w:sz w:val="20"/>
                <w:szCs w:val="20"/>
              </w:rPr>
              <w:t>出入境管理机构（受国家移民局委托实施）（换发、补发）</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leftChars="0" w:right="0" w:rightChars="0" w:firstLine="0" w:firstLineChars="0"/>
              <w:jc w:val="both"/>
              <w:textAlignment w:val="baseline"/>
              <w:rPr>
                <w:rFonts w:hint="eastAsia" w:ascii="方正仿宋_GBK" w:hAnsi="方正仿宋_GBK" w:eastAsia="方正仿宋_GBK" w:cs="方正仿宋_GBK"/>
                <w:color w:val="auto"/>
                <w:spacing w:val="0"/>
                <w:w w:val="100"/>
                <w:kern w:val="2"/>
                <w:position w:val="0"/>
                <w:sz w:val="20"/>
                <w:szCs w:val="20"/>
                <w:lang w:val="en-US" w:eastAsia="zh-CN" w:bidi="ar-SA"/>
              </w:rPr>
            </w:pPr>
            <w:r>
              <w:rPr>
                <w:rFonts w:hint="eastAsia" w:ascii="方正仿宋_GBK" w:hAnsi="方正仿宋_GBK" w:eastAsia="方正仿宋_GBK" w:cs="方正仿宋_GBK"/>
                <w:color w:val="auto"/>
                <w:spacing w:val="0"/>
                <w:w w:val="100"/>
                <w:position w:val="0"/>
                <w:sz w:val="20"/>
                <w:szCs w:val="20"/>
              </w:rPr>
              <w:t>《中国公民因私事往来香港地区或者澳门地区的暂行管理办法》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leftChars="0" w:right="0" w:rightChars="0" w:firstLine="0" w:firstLineChars="0"/>
              <w:jc w:val="both"/>
              <w:textAlignment w:val="baseline"/>
              <w:rPr>
                <w:rFonts w:hint="eastAsia" w:ascii="方正仿宋_GBK" w:hAnsi="方正仿宋_GBK" w:eastAsia="方正仿宋_GBK" w:cs="方正仿宋_GBK"/>
                <w:color w:val="auto"/>
                <w:spacing w:val="0"/>
                <w:w w:val="100"/>
                <w:kern w:val="2"/>
                <w:position w:val="0"/>
                <w:sz w:val="20"/>
                <w:szCs w:val="20"/>
                <w:lang w:val="en-US" w:eastAsia="zh-CN" w:bidi="ar-SA"/>
              </w:rPr>
            </w:pPr>
            <w:r>
              <w:rPr>
                <w:rFonts w:hint="eastAsia" w:ascii="方正仿宋_GBK" w:hAnsi="方正仿宋_GBK" w:eastAsia="方正仿宋_GBK" w:cs="方正仿宋_GBK"/>
                <w:color w:val="auto"/>
                <w:spacing w:val="0"/>
                <w:w w:val="100"/>
                <w:position w:val="0"/>
                <w:sz w:val="20"/>
                <w:szCs w:val="20"/>
              </w:rPr>
              <w:t>《中国公民因私事往来香港地区或者澳门地区的暂行管理办法》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203</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540</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大陆居民往来台湾通行证及签注签发</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公安局出入境管理机构（受国家移民局委托实施）</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《中国公民往来台湾地区管理办法》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《中国公民往来台湾地区管理办法》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204</w:t>
            </w:r>
          </w:p>
        </w:tc>
        <w:tc>
          <w:tcPr>
            <w:tcW w:w="637"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541</w:t>
            </w:r>
          </w:p>
        </w:tc>
        <w:tc>
          <w:tcPr>
            <w:tcW w:w="2372"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台湾居民来往大陆通行证签发</w:t>
            </w:r>
          </w:p>
        </w:tc>
        <w:tc>
          <w:tcPr>
            <w:tcW w:w="1463"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县公安局</w:t>
            </w:r>
          </w:p>
        </w:tc>
        <w:tc>
          <w:tcPr>
            <w:tcW w:w="158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公安</w:t>
            </w:r>
            <w:r>
              <w:rPr>
                <w:rFonts w:hint="eastAsia" w:ascii="方正仿宋_GBK" w:eastAsia="方正仿宋_GBK" w:cs="方正仿宋_GBK"/>
                <w:color w:val="auto"/>
                <w:spacing w:val="0"/>
                <w:w w:val="100"/>
                <w:position w:val="0"/>
                <w:sz w:val="20"/>
                <w:szCs w:val="20"/>
                <w:lang w:eastAsia="zh-CN"/>
              </w:rPr>
              <w:t>局</w:t>
            </w:r>
            <w:r>
              <w:rPr>
                <w:rFonts w:hint="eastAsia" w:ascii="方正仿宋_GBK" w:eastAsia="方正仿宋_GBK" w:cs="方正仿宋_GBK"/>
                <w:color w:val="auto"/>
                <w:spacing w:val="0"/>
                <w:w w:val="100"/>
                <w:position w:val="0"/>
                <w:sz w:val="20"/>
                <w:szCs w:val="20"/>
              </w:rPr>
              <w:t>出入境管理机构（受国家移民局委托实施）</w:t>
            </w:r>
          </w:p>
        </w:tc>
        <w:tc>
          <w:tcPr>
            <w:tcW w:w="337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《中国公民往来台湾地区管理办法》</w:t>
            </w: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《中国公民往来台湾地区管理办法》</w:t>
            </w:r>
          </w:p>
        </w:tc>
        <w:tc>
          <w:tcPr>
            <w:tcW w:w="1701"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205</w:t>
            </w:r>
          </w:p>
        </w:tc>
        <w:tc>
          <w:tcPr>
            <w:tcW w:w="637"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highlight w:val="none"/>
                <w:lang w:eastAsia="zh-CN"/>
              </w:rPr>
            </w:pPr>
            <w:r>
              <w:rPr>
                <w:rFonts w:hint="eastAsia" w:ascii="方正仿宋_GBK" w:eastAsia="方正仿宋_GBK" w:cs="方正仿宋_GBK"/>
                <w:color w:val="auto"/>
                <w:spacing w:val="0"/>
                <w:w w:val="100"/>
                <w:position w:val="0"/>
                <w:sz w:val="20"/>
                <w:szCs w:val="20"/>
                <w:highlight w:val="none"/>
                <w:lang w:eastAsia="zh-CN"/>
              </w:rPr>
              <w:t>新增</w:t>
            </w:r>
          </w:p>
        </w:tc>
        <w:tc>
          <w:tcPr>
            <w:tcW w:w="2372" w:type="dxa"/>
            <w:vMerge w:val="restart"/>
            <w:tcBorders>
              <w:top w:val="single" w:color="auto" w:sz="4" w:space="0"/>
              <w:left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highlight w:val="none"/>
              </w:rPr>
            </w:pPr>
            <w:r>
              <w:rPr>
                <w:rFonts w:hint="eastAsia" w:ascii="方正仿宋_GBK" w:eastAsia="方正仿宋_GBK" w:cs="方正仿宋_GBK"/>
                <w:b w:val="0"/>
                <w:bCs w:val="0"/>
                <w:color w:val="auto"/>
                <w:spacing w:val="0"/>
                <w:w w:val="100"/>
                <w:position w:val="0"/>
                <w:sz w:val="20"/>
                <w:szCs w:val="20"/>
                <w:highlight w:val="none"/>
              </w:rPr>
              <w:t>古树名木移植审批</w:t>
            </w:r>
          </w:p>
        </w:tc>
        <w:tc>
          <w:tcPr>
            <w:tcW w:w="1463" w:type="dxa"/>
            <w:vMerge w:val="restart"/>
            <w:tcBorders>
              <w:top w:val="single" w:color="auto" w:sz="4" w:space="0"/>
              <w:left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lang w:eastAsia="zh-CN"/>
              </w:rPr>
            </w:pPr>
            <w:r>
              <w:rPr>
                <w:rFonts w:hint="eastAsia" w:ascii="方正仿宋_GBK" w:eastAsia="方正仿宋_GBK" w:cs="方正仿宋_GBK"/>
                <w:color w:val="auto"/>
                <w:spacing w:val="0"/>
                <w:w w:val="100"/>
                <w:position w:val="0"/>
                <w:sz w:val="20"/>
                <w:szCs w:val="20"/>
                <w:highlight w:val="none"/>
                <w:lang w:eastAsia="zh-CN"/>
              </w:rPr>
              <w:t>县</w:t>
            </w:r>
            <w:r>
              <w:rPr>
                <w:rFonts w:hint="eastAsia" w:ascii="方正仿宋_GBK" w:eastAsia="方正仿宋_GBK" w:cs="方正仿宋_GBK"/>
                <w:color w:val="auto"/>
                <w:spacing w:val="0"/>
                <w:w w:val="100"/>
                <w:position w:val="0"/>
                <w:sz w:val="20"/>
                <w:szCs w:val="20"/>
                <w:highlight w:val="none"/>
              </w:rPr>
              <w:t>林草局</w:t>
            </w:r>
          </w:p>
        </w:tc>
        <w:tc>
          <w:tcPr>
            <w:tcW w:w="1584" w:type="dxa"/>
            <w:vMerge w:val="restart"/>
            <w:tcBorders>
              <w:top w:val="single" w:color="auto" w:sz="4" w:space="0"/>
              <w:left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lang w:eastAsia="zh-CN"/>
              </w:rPr>
            </w:pPr>
            <w:r>
              <w:rPr>
                <w:rFonts w:hint="eastAsia" w:ascii="方正仿宋_GBK" w:eastAsia="方正仿宋_GBK" w:cs="方正仿宋_GBK"/>
                <w:color w:val="auto"/>
                <w:spacing w:val="0"/>
                <w:w w:val="100"/>
                <w:position w:val="0"/>
                <w:sz w:val="20"/>
                <w:szCs w:val="20"/>
                <w:highlight w:val="none"/>
                <w:lang w:eastAsia="zh-CN"/>
              </w:rPr>
              <w:t>县政府（县林草局承办）</w:t>
            </w:r>
          </w:p>
        </w:tc>
        <w:tc>
          <w:tcPr>
            <w:tcW w:w="3374" w:type="dxa"/>
            <w:vMerge w:val="restart"/>
            <w:tcBorders>
              <w:top w:val="single" w:color="auto" w:sz="4" w:space="0"/>
              <w:left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rPr>
              <w:t>《古树名木保护条例》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0"/>
                <w:w w:val="100"/>
                <w:position w:val="0"/>
                <w:sz w:val="20"/>
                <w:szCs w:val="20"/>
                <w:highlight w:val="none"/>
              </w:rPr>
              <w:t>《古树名木保护条例》</w:t>
            </w:r>
          </w:p>
        </w:tc>
        <w:tc>
          <w:tcPr>
            <w:tcW w:w="1701" w:type="dxa"/>
            <w:vMerge w:val="restart"/>
            <w:tcBorders>
              <w:top w:val="single" w:color="auto" w:sz="4" w:space="0"/>
              <w:left w:val="single" w:color="auto" w:sz="4"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napToGri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none"/>
              </w:rPr>
            </w:pPr>
            <w:r>
              <w:rPr>
                <w:rFonts w:hint="eastAsia" w:ascii="方正仿宋_GBK" w:eastAsia="方正仿宋_GBK" w:cs="方正仿宋_GBK"/>
                <w:color w:val="auto"/>
                <w:spacing w:val="-6"/>
                <w:kern w:val="0"/>
                <w:sz w:val="20"/>
                <w:szCs w:val="20"/>
                <w:highlight w:val="none"/>
                <w:lang w:eastAsia="zh-CN" w:bidi="ar-SA"/>
              </w:rPr>
              <w:t>省级</w:t>
            </w:r>
            <w:r>
              <w:rPr>
                <w:rFonts w:hint="eastAsia" w:ascii="方正仿宋_GBK" w:eastAsia="方正仿宋_GBK" w:cs="方正仿宋_GBK"/>
                <w:color w:val="auto"/>
                <w:spacing w:val="-6"/>
                <w:kern w:val="0"/>
                <w:sz w:val="20"/>
                <w:szCs w:val="20"/>
                <w:highlight w:val="none"/>
                <w:lang w:val="en-US" w:eastAsia="zh-CN" w:bidi="ar-SA"/>
              </w:rPr>
              <w:t>2025年版</w:t>
            </w:r>
            <w:r>
              <w:rPr>
                <w:rFonts w:hint="eastAsia" w:ascii="方正仿宋_GBK" w:eastAsia="方正仿宋_GBK" w:cs="方正仿宋_GBK"/>
                <w:color w:val="auto"/>
                <w:spacing w:val="-6"/>
                <w:kern w:val="0"/>
                <w:sz w:val="20"/>
                <w:szCs w:val="20"/>
                <w:highlight w:val="none"/>
                <w:lang w:eastAsia="zh-CN" w:bidi="ar-SA"/>
              </w:rPr>
              <w:t>清单公布后新增事项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left w:val="single" w:color="000000" w:sz="2" w:space="0"/>
              <w:right w:val="single" w:color="auto" w:sz="4" w:space="0"/>
            </w:tcBorders>
            <w:noWrap/>
            <w:vAlign w:val="center"/>
          </w:tcPr>
          <w:p/>
        </w:tc>
        <w:tc>
          <w:tcPr>
            <w:tcW w:w="637" w:type="dxa"/>
            <w:vMerge w:val="continue"/>
            <w:tcBorders>
              <w:left w:val="single" w:color="auto" w:sz="4" w:space="0"/>
              <w:right w:val="single" w:color="auto" w:sz="4" w:space="0"/>
            </w:tcBorders>
            <w:noWrap/>
            <w:vAlign w:val="center"/>
          </w:tcPr>
          <w:p/>
        </w:tc>
        <w:tc>
          <w:tcPr>
            <w:tcW w:w="2372" w:type="dxa"/>
            <w:vMerge w:val="continue"/>
            <w:tcBorders>
              <w:left w:val="single" w:color="auto" w:sz="4" w:space="0"/>
              <w:right w:val="single" w:color="auto" w:sz="4" w:space="0"/>
            </w:tcBorders>
            <w:noWrap/>
            <w:vAlign w:val="center"/>
          </w:tcPr>
          <w:p/>
        </w:tc>
        <w:tc>
          <w:tcPr>
            <w:tcW w:w="1463" w:type="dxa"/>
            <w:vMerge w:val="continue"/>
            <w:tcBorders>
              <w:left w:val="single" w:color="auto" w:sz="4" w:space="0"/>
              <w:right w:val="single" w:color="auto" w:sz="4" w:space="0"/>
            </w:tcBorders>
            <w:noWrap/>
            <w:vAlign w:val="center"/>
          </w:tcPr>
          <w:p/>
        </w:tc>
        <w:tc>
          <w:tcPr>
            <w:tcW w:w="1584" w:type="dxa"/>
            <w:vMerge w:val="continue"/>
            <w:tcBorders>
              <w:left w:val="single" w:color="auto" w:sz="4" w:space="0"/>
              <w:right w:val="single" w:color="auto" w:sz="4" w:space="0"/>
            </w:tcBorders>
            <w:noWrap/>
            <w:vAlign w:val="center"/>
          </w:tcPr>
          <w:p/>
        </w:tc>
        <w:tc>
          <w:tcPr>
            <w:tcW w:w="3374" w:type="dxa"/>
            <w:vMerge w:val="continue"/>
            <w:tcBorders>
              <w:left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highlight w:val="green"/>
              </w:rPr>
            </w:pPr>
            <w:r>
              <w:rPr>
                <w:rFonts w:hint="eastAsia" w:ascii="方正仿宋_GBK" w:eastAsia="方正仿宋_GBK" w:cs="方正仿宋_GBK"/>
                <w:color w:val="auto"/>
                <w:spacing w:val="0"/>
                <w:w w:val="100"/>
                <w:position w:val="0"/>
                <w:sz w:val="20"/>
                <w:szCs w:val="20"/>
                <w:highlight w:val="none"/>
              </w:rPr>
              <w:t>《四川省古树名木保护条例》</w:t>
            </w:r>
          </w:p>
        </w:tc>
        <w:tc>
          <w:tcPr>
            <w:tcW w:w="1701" w:type="dxa"/>
            <w:vMerge w:val="continue"/>
            <w:tcBorders>
              <w:top w:val="single" w:color="000000" w:sz="2"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left w:val="single" w:color="000000" w:sz="2" w:space="0"/>
              <w:bottom w:val="single" w:color="auto" w:sz="4"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eastAsia" w:ascii="方正仿宋_GBK" w:eastAsia="方正仿宋_GBK" w:cs="方正仿宋_GBK"/>
                <w:color w:val="auto"/>
                <w:spacing w:val="0"/>
                <w:w w:val="100"/>
                <w:position w:val="0"/>
                <w:sz w:val="20"/>
                <w:szCs w:val="20"/>
                <w:lang w:val="en-US" w:eastAsia="zh-CN"/>
              </w:rPr>
            </w:pPr>
          </w:p>
        </w:tc>
        <w:tc>
          <w:tcPr>
            <w:tcW w:w="637" w:type="dxa"/>
            <w:vMerge w:val="continue"/>
            <w:tcBorders>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p>
        </w:tc>
        <w:tc>
          <w:tcPr>
            <w:tcW w:w="2372" w:type="dxa"/>
            <w:vMerge w:val="continue"/>
            <w:tcBorders>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p>
        </w:tc>
        <w:tc>
          <w:tcPr>
            <w:tcW w:w="1463" w:type="dxa"/>
            <w:vMerge w:val="continue"/>
            <w:tcBorders>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p>
        </w:tc>
        <w:tc>
          <w:tcPr>
            <w:tcW w:w="1584" w:type="dxa"/>
            <w:vMerge w:val="continue"/>
            <w:tcBorders>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p>
        </w:tc>
        <w:tc>
          <w:tcPr>
            <w:tcW w:w="3374" w:type="dxa"/>
            <w:vMerge w:val="continue"/>
            <w:tcBorders>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000000" w:themeColor="text1"/>
                <w:spacing w:val="0"/>
                <w:w w:val="100"/>
                <w:position w:val="0"/>
                <w:sz w:val="20"/>
                <w:szCs w:val="20"/>
                <w:lang w:eastAsia="zh-CN"/>
                <w14:textFill>
                  <w14:solidFill>
                    <w14:schemeClr w14:val="tx1"/>
                  </w14:solidFill>
                </w14:textFill>
              </w:rPr>
              <w:t>《</w:t>
            </w:r>
            <w:r>
              <w:rPr>
                <w:rFonts w:hint="eastAsia" w:ascii="方正仿宋_GBK" w:eastAsia="方正仿宋_GBK" w:cs="方正仿宋_GBK"/>
                <w:color w:val="000000" w:themeColor="text1"/>
                <w:spacing w:val="0"/>
                <w:w w:val="100"/>
                <w:position w:val="0"/>
                <w:sz w:val="20"/>
                <w:szCs w:val="20"/>
                <w:lang w:val="en-US" w:eastAsia="zh-CN"/>
                <w14:textFill>
                  <w14:solidFill>
                    <w14:schemeClr w14:val="tx1"/>
                  </w14:solidFill>
                </w14:textFill>
              </w:rPr>
              <w:t>国家林业和草原局公告</w:t>
            </w:r>
            <w:r>
              <w:rPr>
                <w:rFonts w:hint="eastAsia" w:ascii="方正仿宋_GBK" w:eastAsia="方正仿宋_GBK" w:cs="方正仿宋_GBK"/>
                <w:color w:val="000000" w:themeColor="text1"/>
                <w:spacing w:val="0"/>
                <w:w w:val="100"/>
                <w:position w:val="0"/>
                <w:sz w:val="20"/>
                <w:szCs w:val="20"/>
                <w:lang w:eastAsia="zh-CN"/>
                <w14:textFill>
                  <w14:solidFill>
                    <w14:schemeClr w14:val="tx1"/>
                  </w14:solidFill>
                </w14:textFill>
              </w:rPr>
              <w:t>》</w:t>
            </w: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（202</w:t>
            </w:r>
            <w:r>
              <w:rPr>
                <w:rFonts w:hint="eastAsia" w:ascii="方正仿宋_GBK" w:eastAsia="方正仿宋_GBK" w:cs="方正仿宋_GBK"/>
                <w:color w:val="000000" w:themeColor="text1"/>
                <w:spacing w:val="0"/>
                <w:w w:val="100"/>
                <w:position w:val="0"/>
                <w:sz w:val="20"/>
                <w:szCs w:val="20"/>
                <w:lang w:val="en-US" w:eastAsia="zh-CN"/>
                <w14:textFill>
                  <w14:solidFill>
                    <w14:schemeClr w14:val="tx1"/>
                  </w14:solidFill>
                </w14:textFill>
              </w:rPr>
              <w:t>5</w:t>
            </w: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年第</w:t>
            </w:r>
            <w:r>
              <w:rPr>
                <w:rFonts w:hint="eastAsia" w:ascii="方正仿宋_GBK" w:eastAsia="方正仿宋_GBK" w:cs="方正仿宋_GBK"/>
                <w:color w:val="000000" w:themeColor="text1"/>
                <w:spacing w:val="0"/>
                <w:w w:val="100"/>
                <w:position w:val="0"/>
                <w:sz w:val="20"/>
                <w:szCs w:val="20"/>
                <w:lang w:val="en-US" w:eastAsia="zh-CN"/>
                <w14:textFill>
                  <w14:solidFill>
                    <w14:schemeClr w14:val="tx1"/>
                  </w14:solidFill>
                </w14:textFill>
              </w:rPr>
              <w:t>5</w:t>
            </w:r>
            <w:r>
              <w:rPr>
                <w:rFonts w:hint="eastAsia" w:ascii="方正仿宋_GBK" w:eastAsia="方正仿宋_GBK" w:cs="方正仿宋_GBK"/>
                <w:color w:val="000000" w:themeColor="text1"/>
                <w:spacing w:val="0"/>
                <w:w w:val="100"/>
                <w:position w:val="0"/>
                <w:sz w:val="20"/>
                <w:szCs w:val="20"/>
                <w14:textFill>
                  <w14:solidFill>
                    <w14:schemeClr w14:val="tx1"/>
                  </w14:solidFill>
                </w14:textFill>
              </w:rPr>
              <w:t>号）</w:t>
            </w:r>
          </w:p>
        </w:tc>
        <w:tc>
          <w:tcPr>
            <w:tcW w:w="170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206</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544</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林草种子生产经营许可证核发</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《中华人民共和国种子法》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《中华人民共和国种子法》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《国务院关于深化“证照分离”改革进一步激发市场主体发展活力的通知》（国发〔2021〕7号）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《林木种子生产经营许可证管理办法》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《国家林业和草原局公告》（2024年第10号）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pPr>
              <w:rPr>
                <w:color w:val="auto"/>
              </w:rPr>
            </w:p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《四川省林木种子管理条例》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190" w:hRule="atLeast"/>
          <w:jc w:val="center"/>
        </w:trPr>
        <w:tc>
          <w:tcPr>
            <w:tcW w:w="571" w:type="dxa"/>
            <w:vMerge w:val="continue"/>
            <w:tcBorders>
              <w:top w:val="single" w:color="000000" w:sz="2"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pPr>
              <w:rPr>
                <w:color w:val="auto"/>
              </w:rPr>
            </w:pPr>
          </w:p>
        </w:tc>
        <w:tc>
          <w:tcPr>
            <w:tcW w:w="4551" w:type="dxa"/>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《四川省林业和草原局关于印发〈四川林草“证照分离”改革全覆盖实施方案〉的通知》（川林发〔2021〕33号）</w:t>
            </w:r>
          </w:p>
        </w:tc>
        <w:tc>
          <w:tcPr>
            <w:tcW w:w="1701" w:type="dxa"/>
            <w:vMerge w:val="continue"/>
            <w:tcBorders>
              <w:top w:val="single" w:color="auto" w:sz="4" w:space="0"/>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207</w:t>
            </w:r>
          </w:p>
        </w:tc>
        <w:tc>
          <w:tcPr>
            <w:tcW w:w="637" w:type="dxa"/>
            <w:vMerge w:val="restart"/>
            <w:tcBorders>
              <w:top w:val="single" w:color="auto" w:sz="4"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547</w:t>
            </w:r>
          </w:p>
        </w:tc>
        <w:tc>
          <w:tcPr>
            <w:tcW w:w="2372"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林草植物检疫证书核发</w:t>
            </w:r>
          </w:p>
        </w:tc>
        <w:tc>
          <w:tcPr>
            <w:tcW w:w="1463"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158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林草局（植物检疫机构）</w:t>
            </w:r>
          </w:p>
        </w:tc>
        <w:tc>
          <w:tcPr>
            <w:tcW w:w="337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《植物检疫条例》</w:t>
            </w: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《植物检疫条例实施细则（林业部分）》</w:t>
            </w:r>
          </w:p>
        </w:tc>
        <w:tc>
          <w:tcPr>
            <w:tcW w:w="1701"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州林草局、县级植物检疫机构承接省林草局委托的出省林业植物检疫证书签发权限。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《森林植物检疫技术规程》（林护通字〔1998〕43号）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《四川省植物检疫条例》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《财政部发展改革委关于取消和暂停征收一批行政事业性收费有关问题的通知》（财税〔2015〕102号）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《国家林业和草原局关于进一步改进人造板检疫管理的通知》（林生规〔2019〕4号）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auto" w:sz="4"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《四川省林业和草原有害生物防治检疫总站公告》（2024年第1号）</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208</w:t>
            </w:r>
          </w:p>
        </w:tc>
        <w:tc>
          <w:tcPr>
            <w:tcW w:w="637" w:type="dxa"/>
            <w:vMerge w:val="restart"/>
            <w:tcBorders>
              <w:top w:val="single" w:color="auto" w:sz="4" w:space="0"/>
              <w:left w:val="single" w:color="auto" w:sz="4"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548</w:t>
            </w:r>
          </w:p>
        </w:tc>
        <w:tc>
          <w:tcPr>
            <w:tcW w:w="2372" w:type="dxa"/>
            <w:vMerge w:val="restart"/>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建设项目使用林地及在森林和野生动物类型国家级自然保护区建设审批</w:t>
            </w:r>
          </w:p>
        </w:tc>
        <w:tc>
          <w:tcPr>
            <w:tcW w:w="1463"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1584" w:type="dxa"/>
            <w:vMerge w:val="restart"/>
            <w:tcBorders>
              <w:top w:val="single" w:color="auto" w:sz="4" w:space="0"/>
              <w:left w:val="single" w:color="000000" w:sz="2" w:space="0"/>
              <w:bottom w:val="nil"/>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3374" w:type="dxa"/>
            <w:vMerge w:val="restart"/>
            <w:tcBorders>
              <w:top w:val="single" w:color="auto" w:sz="4" w:space="0"/>
              <w:left w:val="single" w:color="auto" w:sz="4" w:space="0"/>
              <w:bottom w:val="nil"/>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《中华人民共和国森林法》</w:t>
            </w:r>
          </w:p>
        </w:tc>
        <w:tc>
          <w:tcPr>
            <w:tcW w:w="4551" w:type="dxa"/>
            <w:tcBorders>
              <w:top w:val="single" w:color="auto" w:sz="4" w:space="0"/>
              <w:left w:val="single" w:color="auto" w:sz="4"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《中华人民共和国森林法》</w:t>
            </w:r>
          </w:p>
        </w:tc>
        <w:tc>
          <w:tcPr>
            <w:tcW w:w="1701" w:type="dxa"/>
            <w:vMerge w:val="restart"/>
            <w:tcBorders>
              <w:top w:val="single" w:color="auto" w:sz="4" w:space="0"/>
              <w:left w:val="single" w:color="auto" w:sz="4" w:space="0"/>
              <w:bottom w:val="nil"/>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勘查、开采矿藏和各项建设工程占用或者征收、征用林地审核的省级权限委托</w:t>
            </w:r>
            <w:r>
              <w:rPr>
                <w:rFonts w:hint="eastAsia" w:ascii="方正仿宋_GBK" w:eastAsia="方正仿宋_GBK" w:cs="方正仿宋_GBK"/>
                <w:color w:val="auto"/>
                <w:spacing w:val="0"/>
                <w:w w:val="100"/>
                <w:position w:val="0"/>
                <w:sz w:val="20"/>
                <w:szCs w:val="20"/>
                <w:lang w:eastAsia="zh-CN"/>
              </w:rPr>
              <w:t>州</w:t>
            </w:r>
            <w:r>
              <w:rPr>
                <w:rFonts w:hint="eastAsia" w:ascii="方正仿宋_GBK" w:eastAsia="方正仿宋_GBK" w:cs="方正仿宋_GBK"/>
                <w:color w:val="auto"/>
                <w:spacing w:val="0"/>
                <w:w w:val="100"/>
                <w:position w:val="0"/>
                <w:sz w:val="20"/>
                <w:szCs w:val="20"/>
              </w:rPr>
              <w:t>林草</w:t>
            </w:r>
            <w:r>
              <w:rPr>
                <w:rFonts w:hint="eastAsia" w:ascii="方正仿宋_GBK" w:eastAsia="方正仿宋_GBK" w:cs="方正仿宋_GBK"/>
                <w:color w:val="auto"/>
                <w:spacing w:val="0"/>
                <w:w w:val="100"/>
                <w:position w:val="0"/>
                <w:sz w:val="20"/>
                <w:szCs w:val="20"/>
                <w:lang w:eastAsia="zh-CN"/>
              </w:rPr>
              <w:t>局</w:t>
            </w:r>
            <w:r>
              <w:rPr>
                <w:rFonts w:hint="eastAsia" w:ascii="方正仿宋_GBK" w:eastAsia="方正仿宋_GBK" w:cs="方正仿宋_GBK"/>
                <w:color w:val="auto"/>
                <w:spacing w:val="0"/>
                <w:w w:val="100"/>
                <w:position w:val="0"/>
                <w:sz w:val="20"/>
                <w:szCs w:val="20"/>
              </w:rPr>
              <w:t>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000000" w:sz="2" w:space="0"/>
              <w:left w:val="single" w:color="auto" w:sz="4"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auto" w:sz="4" w:space="0"/>
            </w:tcBorders>
            <w:noWrap/>
            <w:vAlign w:val="center"/>
          </w:tcPr>
          <w:p/>
        </w:tc>
        <w:tc>
          <w:tcPr>
            <w:tcW w:w="3374" w:type="dxa"/>
            <w:vMerge w:val="continue"/>
            <w:tcBorders>
              <w:top w:val="nil"/>
              <w:left w:val="single" w:color="auto" w:sz="4" w:space="0"/>
              <w:bottom w:val="nil"/>
              <w:right w:val="single" w:color="auto" w:sz="4" w:space="0"/>
            </w:tcBorders>
            <w:noWrap/>
            <w:vAlign w:val="center"/>
          </w:tcPr>
          <w:p/>
        </w:tc>
        <w:tc>
          <w:tcPr>
            <w:tcW w:w="4551" w:type="dxa"/>
            <w:tcBorders>
              <w:top w:val="single" w:color="000000" w:sz="2" w:space="0"/>
              <w:left w:val="single" w:color="auto" w:sz="4"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《中华人民共和国自然保护区条例》</w:t>
            </w:r>
          </w:p>
        </w:tc>
        <w:tc>
          <w:tcPr>
            <w:tcW w:w="1701" w:type="dxa"/>
            <w:vMerge w:val="continue"/>
            <w:tcBorders>
              <w:top w:val="nil"/>
              <w:left w:val="single" w:color="auto" w:sz="4"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auto" w:sz="4" w:space="0"/>
              <w:right w:val="single" w:color="auto" w:sz="4" w:space="0"/>
            </w:tcBorders>
            <w:noWrap/>
            <w:vAlign w:val="center"/>
          </w:tcPr>
          <w:p/>
        </w:tc>
        <w:tc>
          <w:tcPr>
            <w:tcW w:w="637" w:type="dxa"/>
            <w:vMerge w:val="continue"/>
            <w:tcBorders>
              <w:top w:val="single" w:color="000000" w:sz="2" w:space="0"/>
              <w:left w:val="single" w:color="auto" w:sz="4" w:space="0"/>
              <w:bottom w:val="single" w:color="auto" w:sz="4" w:space="0"/>
              <w:right w:val="single" w:color="000000" w:sz="2" w:space="0"/>
            </w:tcBorders>
            <w:noWrap/>
            <w:vAlign w:val="center"/>
          </w:tcPr>
          <w:p/>
        </w:tc>
        <w:tc>
          <w:tcPr>
            <w:tcW w:w="2372" w:type="dxa"/>
            <w:vMerge w:val="continue"/>
            <w:tcBorders>
              <w:top w:val="single" w:color="000000" w:sz="2" w:space="0"/>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auto" w:sz="4" w:space="0"/>
            </w:tcBorders>
            <w:noWrap/>
            <w:vAlign w:val="center"/>
          </w:tcPr>
          <w:p/>
        </w:tc>
        <w:tc>
          <w:tcPr>
            <w:tcW w:w="3374" w:type="dxa"/>
            <w:vMerge w:val="continue"/>
            <w:tcBorders>
              <w:top w:val="nil"/>
              <w:left w:val="single" w:color="auto" w:sz="4"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《建设项目使用林地审核审批管理办法》</w:t>
            </w:r>
          </w:p>
        </w:tc>
        <w:tc>
          <w:tcPr>
            <w:tcW w:w="1701" w:type="dxa"/>
            <w:vMerge w:val="continue"/>
            <w:tcBorders>
              <w:top w:val="nil"/>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60" w:hRule="atLeast"/>
          <w:jc w:val="center"/>
        </w:trPr>
        <w:tc>
          <w:tcPr>
            <w:tcW w:w="571" w:type="dxa"/>
            <w:vMerge w:val="continue"/>
            <w:tcBorders>
              <w:top w:val="single" w:color="auto" w:sz="4" w:space="0"/>
              <w:left w:val="single" w:color="auto" w:sz="4" w:space="0"/>
              <w:bottom w:val="single" w:color="auto" w:sz="4" w:space="0"/>
              <w:right w:val="single" w:color="auto" w:sz="4" w:space="0"/>
            </w:tcBorders>
            <w:noWrap/>
            <w:vAlign w:val="center"/>
          </w:tcPr>
          <w:p/>
        </w:tc>
        <w:tc>
          <w:tcPr>
            <w:tcW w:w="637" w:type="dxa"/>
            <w:vMerge w:val="continue"/>
            <w:tcBorders>
              <w:top w:val="single" w:color="auto" w:sz="4" w:space="0"/>
              <w:left w:val="single" w:color="auto" w:sz="4"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《在国家级自然保护区修筑设施审批管理暂行办法》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12" w:hRule="atLeast"/>
          <w:jc w:val="center"/>
        </w:trPr>
        <w:tc>
          <w:tcPr>
            <w:tcW w:w="571" w:type="dxa"/>
            <w:vMerge w:val="continue"/>
            <w:tcBorders>
              <w:top w:val="single" w:color="auto" w:sz="4"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000000" w:sz="2" w:space="0"/>
              <w:right w:val="single" w:color="000000" w:sz="2" w:space="0"/>
            </w:tcBorders>
            <w:noWrap/>
            <w:vAlign w:val="center"/>
          </w:tcPr>
          <w:p/>
        </w:tc>
        <w:tc>
          <w:tcPr>
            <w:tcW w:w="2372"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1463" w:type="dxa"/>
            <w:vMerge w:val="continue"/>
            <w:tcBorders>
              <w:top w:val="single" w:color="auto" w:sz="4" w:space="0"/>
              <w:left w:val="single" w:color="000000" w:sz="2" w:space="0"/>
              <w:bottom w:val="nil"/>
              <w:right w:val="single" w:color="000000" w:sz="2" w:space="0"/>
            </w:tcBorders>
            <w:noWrap/>
            <w:vAlign w:val="center"/>
          </w:tcPr>
          <w:p/>
        </w:tc>
        <w:tc>
          <w:tcPr>
            <w:tcW w:w="1584" w:type="dxa"/>
            <w:vMerge w:val="continue"/>
            <w:tcBorders>
              <w:top w:val="single" w:color="auto" w:sz="4" w:space="0"/>
              <w:left w:val="single" w:color="000000" w:sz="2" w:space="0"/>
              <w:bottom w:val="nil"/>
              <w:right w:val="single" w:color="auto" w:sz="4" w:space="0"/>
            </w:tcBorders>
            <w:noWrap/>
            <w:vAlign w:val="center"/>
          </w:tcPr>
          <w:p/>
        </w:tc>
        <w:tc>
          <w:tcPr>
            <w:tcW w:w="3374" w:type="dxa"/>
            <w:vMerge w:val="restart"/>
            <w:tcBorders>
              <w:top w:val="single" w:color="auto" w:sz="4" w:space="0"/>
              <w:left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ascii="Times New Roman" w:hAnsi="Times New Roman" w:eastAsia="方正仿宋_GBK"/>
                <w:spacing w:val="0"/>
                <w:w w:val="100"/>
                <w:position w:val="0"/>
              </w:rPr>
            </w:pPr>
            <w:r>
              <w:rPr>
                <w:rFonts w:ascii="Times New Roman" w:hAnsi="Times New Roman" w:eastAsia="方正仿宋_GBK"/>
                <w:spacing w:val="0"/>
                <w:w w:val="100"/>
                <w:position w:val="0"/>
              </w:rPr>
              <w:t>《中华人民共和国森林法实施条例》</w:t>
            </w:r>
          </w:p>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ascii="Times New Roman" w:hAnsi="Times New Roman" w:eastAsia="方正仿宋_GBK"/>
                <w:color w:val="0070C0"/>
                <w:spacing w:val="8"/>
              </w:rPr>
            </w:pPr>
          </w:p>
        </w:tc>
        <w:tc>
          <w:tcPr>
            <w:tcW w:w="4551" w:type="dxa"/>
            <w:vMerge w:val="continue"/>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000000" w:sz="2" w:space="0"/>
              <w:right w:val="single" w:color="auto" w:sz="4" w:space="0"/>
            </w:tcBorders>
            <w:noWrap/>
            <w:vAlign w:val="center"/>
          </w:tcPr>
          <w:p/>
        </w:tc>
        <w:tc>
          <w:tcPr>
            <w:tcW w:w="637" w:type="dxa"/>
            <w:vMerge w:val="continue"/>
            <w:tcBorders>
              <w:top w:val="single" w:color="auto" w:sz="4" w:space="0"/>
              <w:left w:val="single" w:color="auto" w:sz="4" w:space="0"/>
              <w:bottom w:val="single" w:color="000000" w:sz="2" w:space="0"/>
              <w:right w:val="single" w:color="000000" w:sz="2" w:space="0"/>
            </w:tcBorders>
            <w:noWrap/>
            <w:vAlign w:val="center"/>
          </w:tcPr>
          <w:p/>
        </w:tc>
        <w:tc>
          <w:tcPr>
            <w:tcW w:w="2372" w:type="dxa"/>
            <w:vMerge w:val="continue"/>
            <w:tcBorders>
              <w:top w:val="single" w:color="auto" w:sz="4" w:space="0"/>
              <w:left w:val="single" w:color="000000" w:sz="2" w:space="0"/>
              <w:bottom w:val="single" w:color="000000" w:sz="2" w:space="0"/>
              <w:right w:val="single" w:color="000000" w:sz="2" w:space="0"/>
            </w:tcBorders>
            <w:noWrap/>
            <w:vAlign w:val="center"/>
          </w:tcPr>
          <w:p/>
        </w:tc>
        <w:tc>
          <w:tcPr>
            <w:tcW w:w="1463" w:type="dxa"/>
            <w:vMerge w:val="continue"/>
            <w:tcBorders>
              <w:top w:val="single" w:color="auto" w:sz="4" w:space="0"/>
              <w:left w:val="single" w:color="000000" w:sz="2" w:space="0"/>
              <w:bottom w:val="nil"/>
              <w:right w:val="single" w:color="000000" w:sz="2" w:space="0"/>
            </w:tcBorders>
            <w:noWrap/>
            <w:vAlign w:val="center"/>
          </w:tcPr>
          <w:p/>
        </w:tc>
        <w:tc>
          <w:tcPr>
            <w:tcW w:w="1584" w:type="dxa"/>
            <w:vMerge w:val="continue"/>
            <w:tcBorders>
              <w:top w:val="single" w:color="auto" w:sz="4" w:space="0"/>
              <w:left w:val="single" w:color="000000" w:sz="2" w:space="0"/>
              <w:bottom w:val="nil"/>
              <w:right w:val="single" w:color="auto" w:sz="4" w:space="0"/>
            </w:tcBorders>
            <w:noWrap/>
            <w:vAlign w:val="center"/>
          </w:tcPr>
          <w:p/>
        </w:tc>
        <w:tc>
          <w:tcPr>
            <w:tcW w:w="3374" w:type="dxa"/>
            <w:vMerge w:val="continue"/>
            <w:tcBorders>
              <w:left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c>
          <w:tcPr>
            <w:tcW w:w="4551" w:type="dxa"/>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《国家林业和草原局公告》（2022年第17号）</w:t>
            </w:r>
          </w:p>
        </w:tc>
        <w:tc>
          <w:tcPr>
            <w:tcW w:w="1701" w:type="dxa"/>
            <w:vMerge w:val="continue"/>
            <w:tcBorders>
              <w:top w:val="single" w:color="auto" w:sz="4" w:space="0"/>
              <w:left w:val="single" w:color="auto" w:sz="4"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000000" w:sz="2" w:space="0"/>
              <w:left w:val="single" w:color="auto" w:sz="4"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auto" w:sz="4" w:space="0"/>
            </w:tcBorders>
            <w:noWrap/>
            <w:vAlign w:val="center"/>
          </w:tcPr>
          <w:p/>
        </w:tc>
        <w:tc>
          <w:tcPr>
            <w:tcW w:w="3374" w:type="dxa"/>
            <w:vMerge w:val="continue"/>
            <w:tcBorders>
              <w:left w:val="single" w:color="auto" w:sz="4" w:space="0"/>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《国家林业和草原局公告》（2023年第3号）</w:t>
            </w:r>
          </w:p>
        </w:tc>
        <w:tc>
          <w:tcPr>
            <w:tcW w:w="1701" w:type="dxa"/>
            <w:vMerge w:val="continue"/>
            <w:tcBorders>
              <w:top w:val="nil"/>
              <w:left w:val="single" w:color="auto" w:sz="4"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000000" w:sz="2" w:space="0"/>
              <w:left w:val="single" w:color="auto" w:sz="4"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auto" w:sz="4" w:space="0"/>
            </w:tcBorders>
            <w:noWrap/>
            <w:vAlign w:val="center"/>
          </w:tcPr>
          <w:p/>
        </w:tc>
        <w:tc>
          <w:tcPr>
            <w:tcW w:w="3374" w:type="dxa"/>
            <w:vMerge w:val="continue"/>
            <w:tcBorders>
              <w:left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outlineLvl w:val="0"/>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《国家林业和草原局公告》（2023年第11号）</w:t>
            </w:r>
          </w:p>
        </w:tc>
        <w:tc>
          <w:tcPr>
            <w:tcW w:w="1701" w:type="dxa"/>
            <w:vMerge w:val="continue"/>
            <w:tcBorders>
              <w:top w:val="nil"/>
              <w:left w:val="single" w:color="auto" w:sz="4"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36"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000000" w:sz="2" w:space="0"/>
              <w:left w:val="single" w:color="auto" w:sz="4"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auto" w:sz="4" w:space="0"/>
            </w:tcBorders>
            <w:noWrap/>
            <w:vAlign w:val="center"/>
          </w:tcPr>
          <w:p/>
        </w:tc>
        <w:tc>
          <w:tcPr>
            <w:tcW w:w="3374" w:type="dxa"/>
            <w:vMerge w:val="continue"/>
            <w:tcBorders>
              <w:left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《国家林业和草原局关于印发〈建设项目使用林地审核审批管理规范〉的通知》（林资规〔2021〕5号）</w:t>
            </w:r>
          </w:p>
        </w:tc>
        <w:tc>
          <w:tcPr>
            <w:tcW w:w="1701" w:type="dxa"/>
            <w:vMerge w:val="continue"/>
            <w:tcBorders>
              <w:top w:val="nil"/>
              <w:left w:val="single" w:color="auto" w:sz="4"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000000" w:sz="2" w:space="0"/>
              <w:left w:val="single" w:color="auto" w:sz="4"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auto" w:sz="4" w:space="0"/>
            </w:tcBorders>
            <w:noWrap/>
            <w:vAlign w:val="center"/>
          </w:tcPr>
          <w:p/>
        </w:tc>
        <w:tc>
          <w:tcPr>
            <w:tcW w:w="3374" w:type="dxa"/>
            <w:vMerge w:val="continue"/>
            <w:tcBorders>
              <w:left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《使用林地可行性报告编制规范》（LY/T2492-2015）</w:t>
            </w:r>
          </w:p>
        </w:tc>
        <w:tc>
          <w:tcPr>
            <w:tcW w:w="1701" w:type="dxa"/>
            <w:vMerge w:val="continue"/>
            <w:tcBorders>
              <w:top w:val="nil"/>
              <w:left w:val="single" w:color="auto" w:sz="4"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000000" w:sz="2" w:space="0"/>
              <w:left w:val="single" w:color="auto" w:sz="4"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auto" w:sz="4" w:space="0"/>
            </w:tcBorders>
            <w:noWrap/>
            <w:vAlign w:val="center"/>
          </w:tcPr>
          <w:p/>
        </w:tc>
        <w:tc>
          <w:tcPr>
            <w:tcW w:w="3374" w:type="dxa"/>
            <w:vMerge w:val="restart"/>
            <w:tcBorders>
              <w:left w:val="single" w:color="auto" w:sz="4" w:space="0"/>
              <w:right w:val="single" w:color="000000" w:sz="2" w:space="0"/>
            </w:tcBorders>
            <w:noWrap/>
            <w:vAlign w:val="center"/>
          </w:tcPr>
          <w:p>
            <w:r>
              <w:rPr>
                <w:rFonts w:ascii="Times New Roman" w:hAnsi="Times New Roman" w:eastAsia="方正仿宋_GBK"/>
                <w:color w:val="auto"/>
                <w:spacing w:val="8"/>
              </w:rPr>
              <w:t>《森林和野生动物类型自然保护</w:t>
            </w:r>
            <w:r>
              <w:rPr>
                <w:rFonts w:ascii="Times New Roman" w:hAnsi="Times New Roman" w:eastAsia="方正仿宋_GBK"/>
                <w:color w:val="auto"/>
                <w:spacing w:val="2"/>
              </w:rPr>
              <w:t>区管理办法》</w:t>
            </w:r>
          </w:p>
        </w:tc>
        <w:tc>
          <w:tcPr>
            <w:tcW w:w="4551" w:type="dxa"/>
            <w:tcBorders>
              <w:top w:val="single" w:color="000000" w:sz="2"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《四川省林业和草原局公告》（2022年第8号）</w:t>
            </w:r>
          </w:p>
        </w:tc>
        <w:tc>
          <w:tcPr>
            <w:tcW w:w="1701" w:type="dxa"/>
            <w:vMerge w:val="continue"/>
            <w:tcBorders>
              <w:top w:val="nil"/>
              <w:left w:val="single" w:color="auto" w:sz="4"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000000" w:sz="2" w:space="0"/>
              <w:left w:val="single" w:color="auto" w:sz="4"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auto" w:sz="4" w:space="0"/>
            </w:tcBorders>
            <w:noWrap/>
            <w:vAlign w:val="center"/>
          </w:tcPr>
          <w:p/>
        </w:tc>
        <w:tc>
          <w:tcPr>
            <w:tcW w:w="3374" w:type="dxa"/>
            <w:vMerge w:val="continue"/>
            <w:tcBorders>
              <w:left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《四川省林业和草原局公告》（2023年第7号）</w:t>
            </w:r>
          </w:p>
        </w:tc>
        <w:tc>
          <w:tcPr>
            <w:tcW w:w="1701" w:type="dxa"/>
            <w:vMerge w:val="continue"/>
            <w:tcBorders>
              <w:top w:val="nil"/>
              <w:left w:val="single" w:color="auto" w:sz="4"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auto" w:sz="4" w:space="0"/>
            </w:tcBorders>
            <w:noWrap/>
            <w:vAlign w:val="center"/>
          </w:tcPr>
          <w:p/>
        </w:tc>
        <w:tc>
          <w:tcPr>
            <w:tcW w:w="637" w:type="dxa"/>
            <w:vMerge w:val="continue"/>
            <w:tcBorders>
              <w:top w:val="single" w:color="000000" w:sz="2" w:space="0"/>
              <w:left w:val="single" w:color="auto" w:sz="4"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auto" w:sz="4" w:space="0"/>
            </w:tcBorders>
            <w:noWrap/>
            <w:vAlign w:val="center"/>
          </w:tcPr>
          <w:p/>
        </w:tc>
        <w:tc>
          <w:tcPr>
            <w:tcW w:w="3374" w:type="dxa"/>
            <w:vMerge w:val="continue"/>
            <w:tcBorders>
              <w:left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《四川省林业和草原局公告》（2023年第9号）</w:t>
            </w:r>
          </w:p>
        </w:tc>
        <w:tc>
          <w:tcPr>
            <w:tcW w:w="1701" w:type="dxa"/>
            <w:vMerge w:val="continue"/>
            <w:tcBorders>
              <w:top w:val="nil"/>
              <w:left w:val="single" w:color="auto" w:sz="4"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nil"/>
              <w:right w:val="single" w:color="auto" w:sz="4" w:space="0"/>
            </w:tcBorders>
            <w:noWrap/>
            <w:vAlign w:val="center"/>
          </w:tcPr>
          <w:p/>
        </w:tc>
        <w:tc>
          <w:tcPr>
            <w:tcW w:w="637" w:type="dxa"/>
            <w:vMerge w:val="continue"/>
            <w:tcBorders>
              <w:top w:val="single" w:color="000000" w:sz="2" w:space="0"/>
              <w:left w:val="single" w:color="auto" w:sz="4" w:space="0"/>
              <w:bottom w:val="single" w:color="auto" w:sz="4" w:space="0"/>
              <w:right w:val="single" w:color="000000" w:sz="2" w:space="0"/>
            </w:tcBorders>
            <w:noWrap/>
            <w:vAlign w:val="center"/>
          </w:tcPr>
          <w:p/>
        </w:tc>
        <w:tc>
          <w:tcPr>
            <w:tcW w:w="2372" w:type="dxa"/>
            <w:vMerge w:val="continue"/>
            <w:tcBorders>
              <w:top w:val="single" w:color="000000" w:sz="2" w:space="0"/>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auto" w:sz="4" w:space="0"/>
            </w:tcBorders>
            <w:noWrap/>
            <w:vAlign w:val="center"/>
          </w:tcPr>
          <w:p/>
        </w:tc>
        <w:tc>
          <w:tcPr>
            <w:tcW w:w="3374" w:type="dxa"/>
            <w:vMerge w:val="continue"/>
            <w:tcBorders>
              <w:left w:val="single" w:color="auto" w:sz="4"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outlineLvl w:val="0"/>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《四川省林业和草原局关于印发〈四川省建设项目使用林地审核审批管理规范〉的通知》（川林规发〔2022〕2号）</w:t>
            </w:r>
          </w:p>
        </w:tc>
        <w:tc>
          <w:tcPr>
            <w:tcW w:w="1701" w:type="dxa"/>
            <w:vMerge w:val="continue"/>
            <w:tcBorders>
              <w:top w:val="nil"/>
              <w:left w:val="single" w:color="auto" w:sz="4"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nil"/>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209</w:t>
            </w:r>
          </w:p>
        </w:tc>
        <w:tc>
          <w:tcPr>
            <w:tcW w:w="637" w:type="dxa"/>
            <w:vMerge w:val="restart"/>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549</w:t>
            </w:r>
          </w:p>
        </w:tc>
        <w:tc>
          <w:tcPr>
            <w:tcW w:w="2372" w:type="dxa"/>
            <w:vMerge w:val="restart"/>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建设项目使用草原审批</w:t>
            </w:r>
          </w:p>
        </w:tc>
        <w:tc>
          <w:tcPr>
            <w:tcW w:w="1463"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158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337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《中华人民共和国草原法》</w:t>
            </w: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《中华人民共和国草原法》</w:t>
            </w:r>
          </w:p>
        </w:tc>
        <w:tc>
          <w:tcPr>
            <w:tcW w:w="1701" w:type="dxa"/>
            <w:vMerge w:val="restart"/>
            <w:tcBorders>
              <w:top w:val="nil"/>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《国家林业和草原局公告》（2023年第2号）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《国家林业和草原局公告》（2023年第11号）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《草原征占用审核审批管理规范》（林草规〔2020〕2号）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55"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《四川省林业和草原局公告》（2023年第9号）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4"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210</w:t>
            </w:r>
          </w:p>
        </w:tc>
        <w:tc>
          <w:tcPr>
            <w:tcW w:w="637"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550</w:t>
            </w:r>
          </w:p>
        </w:tc>
        <w:tc>
          <w:tcPr>
            <w:tcW w:w="2372" w:type="dxa"/>
            <w:vMerge w:val="restart"/>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林木采伐许可证核发</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《中华人民共和国森林法》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《中华人民共和国森林法》</w:t>
            </w:r>
          </w:p>
        </w:tc>
        <w:tc>
          <w:tcPr>
            <w:tcW w:w="1701" w:type="dxa"/>
            <w:vMerge w:val="restart"/>
            <w:tcBorders>
              <w:top w:val="single" w:color="000000" w:sz="2" w:space="0"/>
              <w:left w:val="single" w:color="000000" w:sz="2" w:space="0"/>
              <w:bottom w:val="nil"/>
              <w:right w:val="single" w:color="000000"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4"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《中华人民共和国森林法实施条例》</w:t>
            </w:r>
          </w:p>
        </w:tc>
        <w:tc>
          <w:tcPr>
            <w:tcW w:w="1701" w:type="dxa"/>
            <w:vMerge w:val="continue"/>
            <w:tcBorders>
              <w:top w:val="nil"/>
              <w:left w:val="single" w:color="000000" w:sz="2" w:space="0"/>
              <w:bottom w:val="nil"/>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4"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《四川省绿化条例》</w:t>
            </w:r>
          </w:p>
        </w:tc>
        <w:tc>
          <w:tcPr>
            <w:tcW w:w="1701" w:type="dxa"/>
            <w:vMerge w:val="continue"/>
            <w:tcBorders>
              <w:top w:val="nil"/>
              <w:left w:val="single" w:color="000000" w:sz="2" w:space="0"/>
              <w:bottom w:val="nil"/>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4" w:space="0"/>
              <w:bottom w:val="single" w:color="000000" w:sz="4"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4"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4" w:space="0"/>
              <w:right w:val="single" w:color="000000" w:sz="2" w:space="0"/>
            </w:tcBorders>
            <w:noWrap/>
            <w:vAlign w:val="center"/>
          </w:tcPr>
          <w:p/>
        </w:tc>
        <w:tc>
          <w:tcPr>
            <w:tcW w:w="1463" w:type="dxa"/>
            <w:vMerge w:val="continue"/>
            <w:tcBorders>
              <w:top w:val="nil"/>
              <w:left w:val="single" w:color="000000" w:sz="2" w:space="0"/>
              <w:bottom w:val="single" w:color="000000" w:sz="4" w:space="0"/>
              <w:right w:val="single" w:color="000000" w:sz="2" w:space="0"/>
            </w:tcBorders>
            <w:noWrap/>
            <w:vAlign w:val="center"/>
          </w:tcPr>
          <w:p/>
        </w:tc>
        <w:tc>
          <w:tcPr>
            <w:tcW w:w="1584" w:type="dxa"/>
            <w:vMerge w:val="continue"/>
            <w:tcBorders>
              <w:top w:val="nil"/>
              <w:left w:val="single" w:color="000000" w:sz="2" w:space="0"/>
              <w:bottom w:val="single" w:color="000000" w:sz="4" w:space="0"/>
              <w:right w:val="single" w:color="000000" w:sz="2" w:space="0"/>
            </w:tcBorders>
            <w:noWrap/>
            <w:vAlign w:val="center"/>
          </w:tcPr>
          <w:p/>
        </w:tc>
        <w:tc>
          <w:tcPr>
            <w:tcW w:w="3374" w:type="dxa"/>
            <w:vMerge w:val="continue"/>
            <w:tcBorders>
              <w:top w:val="nil"/>
              <w:left w:val="single" w:color="000000" w:sz="2" w:space="0"/>
              <w:bottom w:val="single" w:color="000000" w:sz="4" w:space="0"/>
              <w:right w:val="single" w:color="000000" w:sz="2" w:space="0"/>
            </w:tcBorders>
            <w:noWrap/>
            <w:vAlign w:val="center"/>
          </w:tcPr>
          <w:p/>
        </w:tc>
        <w:tc>
          <w:tcPr>
            <w:tcW w:w="4551" w:type="dxa"/>
            <w:tcBorders>
              <w:top w:val="single" w:color="000000" w:sz="2" w:space="0"/>
              <w:left w:val="single" w:color="000000" w:sz="2" w:space="0"/>
              <w:bottom w:val="single" w:color="000000"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《四川省林木采伐管理办法》</w:t>
            </w:r>
          </w:p>
        </w:tc>
        <w:tc>
          <w:tcPr>
            <w:tcW w:w="1701" w:type="dxa"/>
            <w:vMerge w:val="continue"/>
            <w:tcBorders>
              <w:top w:val="nil"/>
              <w:left w:val="single" w:color="000000" w:sz="2" w:space="0"/>
              <w:bottom w:val="single" w:color="000000" w:sz="4"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637"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72"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46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584"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374"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《中华人民共和国森林法实施条例》</w:t>
            </w:r>
          </w:p>
        </w:tc>
        <w:tc>
          <w:tcPr>
            <w:tcW w:w="4551" w:type="dxa"/>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《四川省林业和草原局公告》（2023年第9号）</w:t>
            </w:r>
          </w:p>
        </w:tc>
        <w:tc>
          <w:tcPr>
            <w:tcW w:w="1701" w:type="dxa"/>
            <w:vMerge w:val="continue"/>
            <w:tcBorders>
              <w:top w:val="single" w:color="000000" w:sz="4" w:space="0"/>
              <w:left w:val="single" w:color="000000" w:sz="4" w:space="0"/>
              <w:bottom w:val="single" w:color="000000" w:sz="4"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30" w:hRule="atLeast"/>
          <w:jc w:val="center"/>
        </w:trPr>
        <w:tc>
          <w:tcPr>
            <w:tcW w:w="571" w:type="dxa"/>
            <w:vMerge w:val="continue"/>
            <w:tcBorders>
              <w:top w:val="single" w:color="000000" w:sz="4" w:space="0"/>
              <w:left w:val="single" w:color="000000" w:sz="4" w:space="0"/>
              <w:bottom w:val="single" w:color="000000" w:sz="2" w:space="0"/>
              <w:right w:val="single" w:color="000000" w:sz="2" w:space="0"/>
            </w:tcBorders>
            <w:noWrap/>
            <w:vAlign w:val="center"/>
          </w:tcPr>
          <w:p/>
        </w:tc>
        <w:tc>
          <w:tcPr>
            <w:tcW w:w="637" w:type="dxa"/>
            <w:vMerge w:val="continue"/>
            <w:tcBorders>
              <w:top w:val="single" w:color="000000"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000000"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000000"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000000"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000000" w:sz="4" w:space="0"/>
              <w:left w:val="single" w:color="000000" w:sz="2" w:space="0"/>
              <w:bottom w:val="single" w:color="auto" w:sz="4" w:space="0"/>
              <w:right w:val="single" w:color="000000" w:sz="2" w:space="0"/>
            </w:tcBorders>
            <w:noWrap/>
            <w:vAlign w:val="center"/>
          </w:tcPr>
          <w:p/>
        </w:tc>
        <w:tc>
          <w:tcPr>
            <w:tcW w:w="4551" w:type="dxa"/>
            <w:tcBorders>
              <w:top w:val="single" w:color="000000"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《四川省林业和草原局公告》（2024年第3号）</w:t>
            </w:r>
          </w:p>
        </w:tc>
        <w:tc>
          <w:tcPr>
            <w:tcW w:w="1701" w:type="dxa"/>
            <w:vMerge w:val="continue"/>
            <w:tcBorders>
              <w:top w:val="single" w:color="000000" w:sz="4" w:space="0"/>
              <w:left w:val="single" w:color="000000" w:sz="2" w:space="0"/>
              <w:bottom w:val="single" w:color="auto" w:sz="4"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211</w:t>
            </w:r>
          </w:p>
        </w:tc>
        <w:tc>
          <w:tcPr>
            <w:tcW w:w="637" w:type="dxa"/>
            <w:vMerge w:val="restart"/>
            <w:tcBorders>
              <w:top w:val="single" w:color="auto" w:sz="4" w:space="0"/>
              <w:left w:val="single" w:color="auto" w:sz="4"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551</w:t>
            </w:r>
          </w:p>
        </w:tc>
        <w:tc>
          <w:tcPr>
            <w:tcW w:w="2372" w:type="dxa"/>
            <w:vMerge w:val="restart"/>
            <w:tcBorders>
              <w:top w:val="single" w:color="auto" w:sz="4"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从事营利性治沙活动许可</w:t>
            </w:r>
          </w:p>
        </w:tc>
        <w:tc>
          <w:tcPr>
            <w:tcW w:w="1463" w:type="dxa"/>
            <w:vMerge w:val="restart"/>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3374" w:type="dxa"/>
            <w:vMerge w:val="restart"/>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《中华人民共和国防沙治沙法》</w:t>
            </w:r>
          </w:p>
        </w:tc>
        <w:tc>
          <w:tcPr>
            <w:tcW w:w="4551" w:type="dxa"/>
            <w:tcBorders>
              <w:top w:val="single" w:color="auto" w:sz="4" w:space="0"/>
              <w:left w:val="single" w:color="auto" w:sz="4"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《中华人民共和国防沙治沙法》</w:t>
            </w:r>
          </w:p>
        </w:tc>
        <w:tc>
          <w:tcPr>
            <w:tcW w:w="1701" w:type="dxa"/>
            <w:vMerge w:val="restart"/>
            <w:tcBorders>
              <w:top w:val="single" w:color="auto" w:sz="4" w:space="0"/>
              <w:left w:val="single" w:color="000000" w:sz="2" w:space="0"/>
              <w:bottom w:val="nil"/>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000000" w:sz="2" w:space="0"/>
              <w:left w:val="single" w:color="auto" w:sz="4"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000000" w:sz="2"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《四川省〈中华人民共和国防沙治沙法〉实施办法》</w:t>
            </w:r>
          </w:p>
        </w:tc>
        <w:tc>
          <w:tcPr>
            <w:tcW w:w="1701" w:type="dxa"/>
            <w:vMerge w:val="continue"/>
            <w:tcBorders>
              <w:top w:val="nil"/>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637" w:type="dxa"/>
            <w:vMerge w:val="continue"/>
            <w:tcBorders>
              <w:top w:val="single" w:color="000000" w:sz="2" w:space="0"/>
              <w:left w:val="single" w:color="auto" w:sz="4" w:space="0"/>
              <w:bottom w:val="single" w:color="auto" w:sz="4" w:space="0"/>
              <w:right w:val="single" w:color="000000" w:sz="2" w:space="0"/>
            </w:tcBorders>
            <w:noWrap/>
            <w:vAlign w:val="center"/>
          </w:tcPr>
          <w:p/>
        </w:tc>
        <w:tc>
          <w:tcPr>
            <w:tcW w:w="2372" w:type="dxa"/>
            <w:vMerge w:val="continue"/>
            <w:tcBorders>
              <w:top w:val="single" w:color="000000" w:sz="2" w:space="0"/>
              <w:left w:val="single" w:color="000000" w:sz="2"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《营利性治沙管理办法》</w:t>
            </w:r>
          </w:p>
        </w:tc>
        <w:tc>
          <w:tcPr>
            <w:tcW w:w="1701" w:type="dxa"/>
            <w:vMerge w:val="continue"/>
            <w:tcBorders>
              <w:top w:val="single" w:color="auto" w:sz="4" w:space="0"/>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 w:hRule="atLeast"/>
          <w:jc w:val="center"/>
        </w:trPr>
        <w:tc>
          <w:tcPr>
            <w:tcW w:w="571" w:type="dxa"/>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numPr>
                <w:ilvl w:val="0"/>
                <w:numId w:val="0"/>
              </w:numPr>
              <w:tabs>
                <w:tab w:val="left" w:pos="0"/>
              </w:tabs>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212</w:t>
            </w:r>
          </w:p>
        </w:tc>
        <w:tc>
          <w:tcPr>
            <w:tcW w:w="637" w:type="dxa"/>
            <w:tcBorders>
              <w:top w:val="single" w:color="auto" w:sz="4" w:space="0"/>
              <w:left w:val="single" w:color="auto" w:sz="4"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auto"/>
              <w:ind w:left="0" w:leftChars="0" w:right="0" w:rightChars="0" w:firstLine="0" w:firstLineChars="0"/>
              <w:jc w:val="center"/>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553</w:t>
            </w:r>
          </w:p>
        </w:tc>
        <w:tc>
          <w:tcPr>
            <w:tcW w:w="2372" w:type="dxa"/>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auto"/>
              <w:ind w:left="0" w:leftChars="0" w:right="0" w:rightChars="0" w:firstLine="0" w:firstLineChars="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在风景名胜区内从事建设、设置广告、举办大型游乐活动以及其他影响生态和景观活动许可</w:t>
            </w:r>
          </w:p>
        </w:tc>
        <w:tc>
          <w:tcPr>
            <w:tcW w:w="1463" w:type="dxa"/>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auto"/>
              <w:ind w:right="0" w:rightChars="0"/>
              <w:jc w:val="left"/>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县林草局</w:t>
            </w:r>
          </w:p>
        </w:tc>
        <w:tc>
          <w:tcPr>
            <w:tcW w:w="1584" w:type="dxa"/>
            <w:tcBorders>
              <w:top w:val="single" w:color="auto" w:sz="4" w:space="0"/>
              <w:left w:val="single" w:color="auto" w:sz="4"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auto"/>
              <w:ind w:left="0" w:leftChars="0" w:right="0" w:rightChars="0" w:firstLine="0" w:firstLineChars="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县林草局初审</w:t>
            </w:r>
          </w:p>
        </w:tc>
        <w:tc>
          <w:tcPr>
            <w:tcW w:w="3374" w:type="dxa"/>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auto"/>
              <w:ind w:left="0" w:leftChars="0" w:right="0" w:rightChars="0" w:firstLine="0" w:firstLineChars="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《风景名胜区条例》</w:t>
            </w:r>
          </w:p>
        </w:tc>
        <w:tc>
          <w:tcPr>
            <w:tcW w:w="4551" w:type="dxa"/>
            <w:tcBorders>
              <w:top w:val="single" w:color="auto" w:sz="4"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auto"/>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《风景名胜区条例》</w:t>
            </w:r>
          </w:p>
          <w:p>
            <w:pPr>
              <w:pStyle w:val="14"/>
              <w:keepNext w:val="0"/>
              <w:keepLines w:val="0"/>
              <w:pageBreakBefore w:val="0"/>
              <w:widowControl/>
              <w:kinsoku/>
              <w:wordWrap/>
              <w:overflowPunct/>
              <w:topLinePunct w:val="0"/>
              <w:autoSpaceDE w:val="0"/>
              <w:autoSpaceDN w:val="0"/>
              <w:bidi w:val="0"/>
              <w:adjustRightInd w:val="0"/>
              <w:spacing w:line="240" w:lineRule="auto"/>
              <w:ind w:left="0" w:leftChars="0" w:right="0" w:rightChars="0" w:firstLine="0" w:firstLineChars="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《四川省风景名胜区条例》</w:t>
            </w:r>
          </w:p>
        </w:tc>
        <w:tc>
          <w:tcPr>
            <w:tcW w:w="170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5" w:hRule="atLeast"/>
          <w:jc w:val="center"/>
        </w:trPr>
        <w:tc>
          <w:tcPr>
            <w:tcW w:w="571" w:type="dxa"/>
            <w:vMerge w:val="restart"/>
            <w:tcBorders>
              <w:top w:val="single" w:color="000000" w:sz="2" w:space="0"/>
              <w:left w:val="single" w:color="000000" w:sz="2" w:space="0"/>
              <w:right w:val="single" w:color="auto" w:sz="4" w:space="0"/>
            </w:tcBorders>
            <w:noWrap/>
            <w:vAlign w:val="center"/>
          </w:tcPr>
          <w:p>
            <w:pPr>
              <w:keepNext w:val="0"/>
              <w:keepLines w:val="0"/>
              <w:pageBreakBefore w:val="0"/>
              <w:widowControl/>
              <w:numPr>
                <w:ilvl w:val="0"/>
                <w:numId w:val="0"/>
              </w:numPr>
              <w:tabs>
                <w:tab w:val="left" w:pos="0"/>
              </w:tabs>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21</w:t>
            </w:r>
            <w:r>
              <w:rPr>
                <w:rFonts w:hint="eastAsia" w:ascii="方正仿宋_GBK" w:eastAsia="方正仿宋_GBK" w:cs="方正仿宋_GBK"/>
                <w:b w:val="0"/>
                <w:bCs w:val="0"/>
                <w:color w:val="auto"/>
                <w:spacing w:val="0"/>
                <w:w w:val="100"/>
                <w:kern w:val="2"/>
                <w:position w:val="0"/>
                <w:sz w:val="20"/>
                <w:szCs w:val="20"/>
                <w:lang w:val="en-US" w:eastAsia="zh-CN" w:bidi="ar-SA"/>
              </w:rPr>
              <w:t>3</w:t>
            </w:r>
          </w:p>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637" w:type="dxa"/>
            <w:vMerge w:val="restart"/>
            <w:tcBorders>
              <w:top w:val="single" w:color="auto" w:sz="4" w:space="0"/>
              <w:left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auto"/>
              <w:ind w:left="0" w:leftChars="0" w:right="0" w:rightChars="0" w:firstLine="0" w:firstLineChars="0"/>
              <w:jc w:val="center"/>
              <w:textAlignment w:val="baseline"/>
              <w:rPr>
                <w:rFonts w:hint="default"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554</w:t>
            </w:r>
          </w:p>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2372" w:type="dxa"/>
            <w:vMerge w:val="restart"/>
            <w:tcBorders>
              <w:top w:val="single" w:color="auto" w:sz="4" w:space="0"/>
              <w:left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auto"/>
              <w:ind w:left="0" w:leftChars="0" w:right="0" w:rightChars="0" w:firstLine="0" w:firstLineChars="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进入自然保护区从事有关活动审批</w:t>
            </w:r>
          </w:p>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1463" w:type="dxa"/>
            <w:vMerge w:val="restart"/>
            <w:tcBorders>
              <w:top w:val="single" w:color="auto" w:sz="4" w:space="0"/>
              <w:left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auto"/>
              <w:ind w:left="0" w:leftChars="0" w:right="0" w:rightChars="0" w:firstLine="0" w:firstLineChars="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县林草局</w:t>
            </w:r>
          </w:p>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auto"/>
              <w:ind w:left="0" w:leftChars="0" w:right="0" w:rightChars="0" w:firstLine="0" w:firstLineChars="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县林草局初审</w:t>
            </w:r>
          </w:p>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auto"/>
              <w:ind w:left="0" w:leftChars="0" w:right="0" w:rightChars="0" w:firstLine="0" w:firstLineChars="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《中华人民共和国自然保护区条例》</w:t>
            </w:r>
          </w:p>
        </w:tc>
        <w:tc>
          <w:tcPr>
            <w:tcW w:w="4551" w:type="dxa"/>
            <w:tcBorders>
              <w:top w:val="single" w:color="auto" w:sz="4" w:space="0"/>
              <w:left w:val="single" w:color="auto" w:sz="4"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auto"/>
              <w:ind w:left="0" w:right="0" w:firstLine="0"/>
              <w:jc w:val="both"/>
              <w:textAlignment w:val="baseline"/>
              <w:rPr>
                <w:rFonts w:hint="eastAsia" w:ascii="方正仿宋_GBK" w:hAnsi="Calibri" w:eastAsia="方正仿宋_GBK" w:cs="方正仿宋_GBK"/>
                <w:b w:val="0"/>
                <w:bCs w:val="0"/>
                <w:color w:val="000000" w:themeColor="text1"/>
                <w:spacing w:val="0"/>
                <w:w w:val="100"/>
                <w:kern w:val="2"/>
                <w:position w:val="0"/>
                <w:sz w:val="20"/>
                <w:szCs w:val="20"/>
                <w:lang w:val="en-US" w:eastAsia="zh-CN" w:bidi="ar-SA"/>
                <w14:textFill>
                  <w14:solidFill>
                    <w14:schemeClr w14:val="tx1"/>
                  </w14:solidFill>
                </w14:textFill>
              </w:rPr>
            </w:pPr>
            <w:r>
              <w:rPr>
                <w:rFonts w:hint="eastAsia" w:ascii="方正仿宋_GBK" w:hAnsi="Calibri" w:eastAsia="方正仿宋_GBK" w:cs="方正仿宋_GBK"/>
                <w:b w:val="0"/>
                <w:bCs w:val="0"/>
                <w:color w:val="000000" w:themeColor="text1"/>
                <w:spacing w:val="0"/>
                <w:w w:val="100"/>
                <w:kern w:val="2"/>
                <w:position w:val="0"/>
                <w:sz w:val="20"/>
                <w:szCs w:val="20"/>
                <w:lang w:val="en-US" w:eastAsia="zh-CN" w:bidi="ar-SA"/>
                <w14:textFill>
                  <w14:solidFill>
                    <w14:schemeClr w14:val="tx1"/>
                  </w14:solidFill>
                </w14:textFill>
              </w:rPr>
              <w:t>《中华人民共和国自然保护区条例》</w:t>
            </w:r>
          </w:p>
          <w:p>
            <w:pPr>
              <w:pStyle w:val="14"/>
              <w:keepNext w:val="0"/>
              <w:keepLines w:val="0"/>
              <w:pageBreakBefore w:val="0"/>
              <w:widowControl/>
              <w:kinsoku/>
              <w:wordWrap/>
              <w:overflowPunct/>
              <w:topLinePunct w:val="0"/>
              <w:autoSpaceDE w:val="0"/>
              <w:autoSpaceDN w:val="0"/>
              <w:bidi w:val="0"/>
              <w:adjustRightInd w:val="0"/>
              <w:spacing w:line="240" w:lineRule="auto"/>
              <w:ind w:left="0" w:leftChars="0" w:right="0" w:rightChars="0" w:firstLine="0" w:firstLineChars="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000000" w:themeColor="text1"/>
                <w:spacing w:val="0"/>
                <w:w w:val="100"/>
                <w:kern w:val="2"/>
                <w:position w:val="0"/>
                <w:sz w:val="20"/>
                <w:szCs w:val="20"/>
                <w:lang w:val="en-US" w:eastAsia="zh-CN" w:bidi="ar-SA"/>
                <w14:textFill>
                  <w14:solidFill>
                    <w14:schemeClr w14:val="tx1"/>
                  </w14:solidFill>
                </w14:textFill>
              </w:rPr>
              <w:t>《国务院关于取消和调整一批行政审批项目等事项的决定》（国发〔2015〕11号）</w:t>
            </w:r>
          </w:p>
        </w:tc>
        <w:tc>
          <w:tcPr>
            <w:tcW w:w="1701" w:type="dxa"/>
            <w:tcBorders>
              <w:top w:val="single" w:color="auto" w:sz="4" w:space="0"/>
              <w:left w:val="single" w:color="auto" w:sz="4" w:space="0"/>
              <w:bottom w:val="nil"/>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020" w:hRule="atLeast"/>
          <w:jc w:val="center"/>
        </w:trPr>
        <w:tc>
          <w:tcPr>
            <w:tcW w:w="571" w:type="dxa"/>
            <w:vMerge w:val="continue"/>
            <w:tcBorders>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637" w:type="dxa"/>
            <w:vMerge w:val="continue"/>
            <w:tcBorders>
              <w:left w:val="single" w:color="auto" w:sz="4"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2372" w:type="dxa"/>
            <w:vMerge w:val="continue"/>
            <w:tcBorders>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1463" w:type="dxa"/>
            <w:vMerge w:val="continue"/>
            <w:tcBorders>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3374"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auto"/>
              <w:ind w:left="0" w:leftChars="0" w:right="0" w:rightChars="0" w:firstLine="0" w:firstLineChars="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《森林和野生动物类型自然保护区管理办法》</w:t>
            </w:r>
          </w:p>
        </w:tc>
        <w:tc>
          <w:tcPr>
            <w:tcW w:w="4551" w:type="dxa"/>
            <w:tcBorders>
              <w:top w:val="single" w:color="000000" w:sz="2"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auto"/>
              <w:ind w:left="0" w:leftChars="0" w:right="0" w:rightChars="0" w:firstLine="0" w:firstLineChars="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《四川省林业和草原局公告》（2021年第8号）</w:t>
            </w:r>
          </w:p>
        </w:tc>
        <w:tc>
          <w:tcPr>
            <w:tcW w:w="1701" w:type="dxa"/>
            <w:tcBorders>
              <w:top w:val="single" w:color="000000" w:sz="2"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21</w:t>
            </w:r>
            <w:r>
              <w:rPr>
                <w:rFonts w:hint="eastAsia" w:ascii="方正仿宋_GBK" w:eastAsia="方正仿宋_GBK" w:cs="方正仿宋_GBK"/>
                <w:b w:val="0"/>
                <w:bCs w:val="0"/>
                <w:color w:val="auto"/>
                <w:spacing w:val="0"/>
                <w:w w:val="100"/>
                <w:kern w:val="2"/>
                <w:position w:val="0"/>
                <w:sz w:val="20"/>
                <w:szCs w:val="20"/>
                <w:lang w:val="en-US" w:eastAsia="zh-CN" w:bidi="ar-SA"/>
              </w:rPr>
              <w:t>4</w:t>
            </w:r>
          </w:p>
        </w:tc>
        <w:tc>
          <w:tcPr>
            <w:tcW w:w="637" w:type="dxa"/>
            <w:vMerge w:val="restart"/>
            <w:tcBorders>
              <w:top w:val="single" w:color="auto" w:sz="4"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555</w:t>
            </w:r>
          </w:p>
        </w:tc>
        <w:tc>
          <w:tcPr>
            <w:tcW w:w="2372"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猎捕陆生野生动物审批</w:t>
            </w:r>
          </w:p>
        </w:tc>
        <w:tc>
          <w:tcPr>
            <w:tcW w:w="1463"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县林草局</w:t>
            </w:r>
          </w:p>
        </w:tc>
        <w:tc>
          <w:tcPr>
            <w:tcW w:w="158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县林草局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《中华人民共和国野生动物保护法》</w:t>
            </w: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《中华人民共和国野生动物保护法》</w:t>
            </w:r>
          </w:p>
        </w:tc>
        <w:tc>
          <w:tcPr>
            <w:tcW w:w="1701"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637" w:type="dxa"/>
            <w:vMerge w:val="continue"/>
            <w:tcBorders>
              <w:top w:val="nil"/>
              <w:left w:val="single" w:color="000000" w:sz="2" w:space="0"/>
              <w:bottom w:val="nil"/>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2372" w:type="dxa"/>
            <w:vMerge w:val="continue"/>
            <w:tcBorders>
              <w:top w:val="nil"/>
              <w:left w:val="single" w:color="000000" w:sz="2" w:space="0"/>
              <w:bottom w:val="nil"/>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1463" w:type="dxa"/>
            <w:vMerge w:val="continue"/>
            <w:tcBorders>
              <w:top w:val="nil"/>
              <w:left w:val="single" w:color="000000" w:sz="2" w:space="0"/>
              <w:bottom w:val="nil"/>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1584" w:type="dxa"/>
            <w:vMerge w:val="continue"/>
            <w:tcBorders>
              <w:top w:val="nil"/>
              <w:left w:val="single" w:color="000000" w:sz="2" w:space="0"/>
              <w:bottom w:val="nil"/>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《中华人民共和国陆生野生动物保护实施条例》</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637" w:type="dxa"/>
            <w:vMerge w:val="continue"/>
            <w:tcBorders>
              <w:top w:val="nil"/>
              <w:left w:val="single" w:color="000000" w:sz="2" w:space="0"/>
              <w:bottom w:val="nil"/>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2372" w:type="dxa"/>
            <w:vMerge w:val="continue"/>
            <w:tcBorders>
              <w:top w:val="nil"/>
              <w:left w:val="single" w:color="000000" w:sz="2" w:space="0"/>
              <w:bottom w:val="nil"/>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1463" w:type="dxa"/>
            <w:vMerge w:val="continue"/>
            <w:tcBorders>
              <w:top w:val="nil"/>
              <w:left w:val="single" w:color="000000" w:sz="2" w:space="0"/>
              <w:bottom w:val="nil"/>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1584" w:type="dxa"/>
            <w:vMerge w:val="continue"/>
            <w:tcBorders>
              <w:top w:val="nil"/>
              <w:left w:val="single" w:color="000000" w:sz="2" w:space="0"/>
              <w:bottom w:val="nil"/>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《中华人民共和国陆生野生动物保护实施条例》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《四川省〈中华人民共和国野生动物保护法〉实施办法》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637" w:type="dxa"/>
            <w:vMerge w:val="continue"/>
            <w:tcBorders>
              <w:top w:val="nil"/>
              <w:left w:val="single" w:color="000000" w:sz="2" w:space="0"/>
              <w:bottom w:val="nil"/>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2372" w:type="dxa"/>
            <w:vMerge w:val="continue"/>
            <w:tcBorders>
              <w:top w:val="nil"/>
              <w:left w:val="single" w:color="000000" w:sz="2" w:space="0"/>
              <w:bottom w:val="nil"/>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1463" w:type="dxa"/>
            <w:vMerge w:val="continue"/>
            <w:tcBorders>
              <w:top w:val="nil"/>
              <w:left w:val="single" w:color="000000" w:sz="2" w:space="0"/>
              <w:bottom w:val="nil"/>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1584" w:type="dxa"/>
            <w:vMerge w:val="continue"/>
            <w:tcBorders>
              <w:top w:val="nil"/>
              <w:left w:val="single" w:color="000000" w:sz="2" w:space="0"/>
              <w:bottom w:val="nil"/>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《四川省林业和草原局公告》（2023年第9号）</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637" w:type="dxa"/>
            <w:vMerge w:val="continue"/>
            <w:tcBorders>
              <w:top w:val="nil"/>
              <w:left w:val="single" w:color="000000" w:sz="2" w:space="0"/>
              <w:bottom w:val="single" w:color="000000" w:sz="2" w:space="0"/>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2372" w:type="dxa"/>
            <w:vMerge w:val="continue"/>
            <w:tcBorders>
              <w:top w:val="nil"/>
              <w:left w:val="single" w:color="000000" w:sz="2" w:space="0"/>
              <w:bottom w:val="single" w:color="000000" w:sz="2" w:space="0"/>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1463" w:type="dxa"/>
            <w:vMerge w:val="continue"/>
            <w:tcBorders>
              <w:top w:val="nil"/>
              <w:left w:val="single" w:color="000000" w:sz="2" w:space="0"/>
              <w:bottom w:val="single" w:color="000000" w:sz="2" w:space="0"/>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1584" w:type="dxa"/>
            <w:vMerge w:val="continue"/>
            <w:tcBorders>
              <w:top w:val="nil"/>
              <w:left w:val="single" w:color="000000" w:sz="2" w:space="0"/>
              <w:bottom w:val="single" w:color="000000" w:sz="2" w:space="0"/>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pPr>
              <w:rPr>
                <w:rFonts w:hint="eastAsia" w:ascii="方正仿宋_GBK" w:hAnsi="Calibri" w:eastAsia="方正仿宋_GBK" w:cs="方正仿宋_GBK"/>
                <w:b w:val="0"/>
                <w:bCs w:val="0"/>
                <w:color w:val="auto"/>
                <w:spacing w:val="0"/>
                <w:w w:val="100"/>
                <w:kern w:val="2"/>
                <w:position w:val="0"/>
                <w:sz w:val="20"/>
                <w:szCs w:val="20"/>
                <w:lang w:val="en-US" w:eastAsia="zh-CN" w:bidi="ar-SA"/>
              </w:rPr>
            </w:p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hAnsi="Calibri" w:eastAsia="方正仿宋_GBK" w:cs="方正仿宋_GBK"/>
                <w:b w:val="0"/>
                <w:bCs w:val="0"/>
                <w:color w:val="auto"/>
                <w:spacing w:val="0"/>
                <w:w w:val="100"/>
                <w:kern w:val="2"/>
                <w:position w:val="0"/>
                <w:sz w:val="20"/>
                <w:szCs w:val="20"/>
                <w:lang w:val="en-US" w:eastAsia="zh-CN" w:bidi="ar-SA"/>
              </w:rPr>
            </w:pPr>
            <w:r>
              <w:rPr>
                <w:rFonts w:hint="eastAsia" w:ascii="方正仿宋_GBK" w:hAnsi="Calibri" w:eastAsia="方正仿宋_GBK" w:cs="方正仿宋_GBK"/>
                <w:b w:val="0"/>
                <w:bCs w:val="0"/>
                <w:color w:val="auto"/>
                <w:spacing w:val="0"/>
                <w:w w:val="100"/>
                <w:kern w:val="2"/>
                <w:position w:val="0"/>
                <w:sz w:val="20"/>
                <w:szCs w:val="20"/>
                <w:lang w:val="en-US" w:eastAsia="zh-CN" w:bidi="ar-SA"/>
              </w:rPr>
              <w:t>《国家林业和草原局公告》（2023年第19号）</w:t>
            </w:r>
          </w:p>
        </w:tc>
        <w:tc>
          <w:tcPr>
            <w:tcW w:w="1701" w:type="dxa"/>
            <w:vMerge w:val="continue"/>
            <w:tcBorders>
              <w:top w:val="nil"/>
              <w:left w:val="single" w:color="000000" w:sz="2" w:space="0"/>
              <w:bottom w:val="single" w:color="000000"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215</w:t>
            </w:r>
          </w:p>
        </w:tc>
        <w:tc>
          <w:tcPr>
            <w:tcW w:w="637"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561</w:t>
            </w:r>
          </w:p>
        </w:tc>
        <w:tc>
          <w:tcPr>
            <w:tcW w:w="2372" w:type="dxa"/>
            <w:vMerge w:val="restart"/>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森林草原防火期内在森林草原防火区野外用火审批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县政府（由</w:t>
            </w: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林草承办</w:t>
            </w:r>
            <w:r>
              <w:rPr>
                <w:rFonts w:hint="eastAsia" w:ascii="方正仿宋_GBK" w:eastAsia="方正仿宋_GBK" w:cs="方正仿宋_GBK"/>
                <w:color w:val="auto"/>
                <w:spacing w:val="0"/>
                <w:w w:val="100"/>
                <w:position w:val="0"/>
                <w:sz w:val="20"/>
                <w:szCs w:val="20"/>
                <w:lang w:eastAsia="zh-CN"/>
              </w:rPr>
              <w:t>或</w:t>
            </w:r>
            <w:r>
              <w:rPr>
                <w:rFonts w:hint="eastAsia" w:ascii="方正仿宋_GBK" w:eastAsia="方正仿宋_GBK" w:cs="方正仿宋_GBK"/>
                <w:color w:val="auto"/>
                <w:spacing w:val="0"/>
                <w:w w:val="100"/>
                <w:position w:val="0"/>
                <w:sz w:val="20"/>
                <w:szCs w:val="20"/>
              </w:rPr>
              <w:t>由县级政府委托的部门承办）</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《森林防火条例》</w:t>
            </w:r>
          </w:p>
        </w:tc>
        <w:tc>
          <w:tcPr>
            <w:tcW w:w="4551" w:type="dxa"/>
            <w:tcBorders>
              <w:top w:val="single" w:color="000000" w:sz="2" w:space="0"/>
              <w:left w:val="single" w:color="000000" w:sz="2" w:space="0"/>
              <w:bottom w:val="single" w:color="000000" w:sz="2"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《森林防火条例》</w:t>
            </w:r>
          </w:p>
        </w:tc>
        <w:tc>
          <w:tcPr>
            <w:tcW w:w="1701"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《草原防火条例》</w:t>
            </w:r>
          </w:p>
        </w:tc>
        <w:tc>
          <w:tcPr>
            <w:tcW w:w="1701" w:type="dxa"/>
            <w:vMerge w:val="continue"/>
            <w:tcBorders>
              <w:top w:val="single" w:color="000000" w:sz="4" w:space="0"/>
              <w:left w:val="single" w:color="000000" w:sz="4" w:space="0"/>
              <w:bottom w:val="single" w:color="000000" w:sz="4"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《四川省森林防火条例》</w:t>
            </w:r>
          </w:p>
        </w:tc>
        <w:tc>
          <w:tcPr>
            <w:tcW w:w="1701" w:type="dxa"/>
            <w:vMerge w:val="continue"/>
            <w:tcBorders>
              <w:top w:val="single" w:color="000000" w:sz="4" w:space="0"/>
              <w:left w:val="single" w:color="000000" w:sz="4" w:space="0"/>
              <w:bottom w:val="single" w:color="000000" w:sz="4"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《草原防火条例》</w:t>
            </w:r>
          </w:p>
        </w:tc>
        <w:tc>
          <w:tcPr>
            <w:tcW w:w="4551" w:type="dxa"/>
            <w:tcBorders>
              <w:top w:val="single" w:color="000000" w:sz="2" w:space="0"/>
              <w:left w:val="single" w:color="000000" w:sz="2" w:space="0"/>
              <w:bottom w:val="single" w:color="000000" w:sz="2"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outlineLvl w:val="0"/>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《阿坝藏族羌族自治州森林草原防灭火条例》</w:t>
            </w:r>
          </w:p>
        </w:tc>
        <w:tc>
          <w:tcPr>
            <w:tcW w:w="1701" w:type="dxa"/>
            <w:vMerge w:val="continue"/>
            <w:tcBorders>
              <w:top w:val="single" w:color="000000" w:sz="4" w:space="0"/>
              <w:left w:val="single" w:color="000000" w:sz="4" w:space="0"/>
              <w:bottom w:val="single" w:color="000000" w:sz="4"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216</w:t>
            </w:r>
          </w:p>
        </w:tc>
        <w:tc>
          <w:tcPr>
            <w:tcW w:w="637"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562</w:t>
            </w:r>
          </w:p>
        </w:tc>
        <w:tc>
          <w:tcPr>
            <w:tcW w:w="2372" w:type="dxa"/>
            <w:vMerge w:val="restart"/>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森林草原防火期内在森林草原防火区爆破、勘察和施工等活动审批</w:t>
            </w:r>
          </w:p>
        </w:tc>
        <w:tc>
          <w:tcPr>
            <w:tcW w:w="1463"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158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《森林防火条例》</w:t>
            </w:r>
          </w:p>
        </w:tc>
        <w:tc>
          <w:tcPr>
            <w:tcW w:w="4551" w:type="dxa"/>
            <w:tcBorders>
              <w:top w:val="single" w:color="000000" w:sz="2" w:space="0"/>
              <w:left w:val="single" w:color="000000" w:sz="2" w:space="0"/>
              <w:bottom w:val="single" w:color="000000" w:sz="2"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《森林防火条例》</w:t>
            </w:r>
          </w:p>
        </w:tc>
        <w:tc>
          <w:tcPr>
            <w:tcW w:w="1701"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《草原防火条例》</w:t>
            </w:r>
          </w:p>
        </w:tc>
        <w:tc>
          <w:tcPr>
            <w:tcW w:w="1701" w:type="dxa"/>
            <w:vMerge w:val="continue"/>
            <w:tcBorders>
              <w:top w:val="single" w:color="000000" w:sz="4" w:space="0"/>
              <w:left w:val="single" w:color="000000" w:sz="4" w:space="0"/>
              <w:bottom w:val="single" w:color="000000" w:sz="4"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《四川省森林防火条例》</w:t>
            </w:r>
          </w:p>
        </w:tc>
        <w:tc>
          <w:tcPr>
            <w:tcW w:w="1701" w:type="dxa"/>
            <w:vMerge w:val="continue"/>
            <w:tcBorders>
              <w:top w:val="single" w:color="000000" w:sz="4" w:space="0"/>
              <w:left w:val="single" w:color="000000" w:sz="4" w:space="0"/>
              <w:bottom w:val="single" w:color="000000" w:sz="4"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2372"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《草原防火条例》</w:t>
            </w:r>
          </w:p>
        </w:tc>
        <w:tc>
          <w:tcPr>
            <w:tcW w:w="4551" w:type="dxa"/>
            <w:tcBorders>
              <w:top w:val="single" w:color="000000" w:sz="2" w:space="0"/>
              <w:left w:val="single" w:color="000000" w:sz="2" w:space="0"/>
              <w:bottom w:val="single" w:color="000000" w:sz="2" w:space="0"/>
              <w:right w:val="single" w:color="000000"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《四川省林业和草原局公告》（2023年第9号）</w:t>
            </w:r>
          </w:p>
        </w:tc>
        <w:tc>
          <w:tcPr>
            <w:tcW w:w="1701" w:type="dxa"/>
            <w:vMerge w:val="continue"/>
            <w:tcBorders>
              <w:top w:val="single" w:color="000000" w:sz="4" w:space="0"/>
              <w:left w:val="single" w:color="000000" w:sz="4" w:space="0"/>
              <w:bottom w:val="single" w:color="000000" w:sz="4" w:space="0"/>
              <w:right w:val="single" w:color="000000"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217</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563</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进入森林高火险区、草原防火管制区审批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县政府（</w:t>
            </w:r>
            <w:r>
              <w:rPr>
                <w:rFonts w:hint="eastAsia" w:ascii="方正仿宋_GBK" w:eastAsia="方正仿宋_GBK" w:cs="方正仿宋_GBK"/>
                <w:color w:val="auto"/>
                <w:spacing w:val="0"/>
                <w:w w:val="100"/>
                <w:position w:val="0"/>
                <w:sz w:val="20"/>
                <w:szCs w:val="20"/>
              </w:rPr>
              <w:t>由</w:t>
            </w: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w:t>
            </w:r>
            <w:r>
              <w:rPr>
                <w:rFonts w:hint="eastAsia" w:ascii="方正仿宋_GBK" w:eastAsia="方正仿宋_GBK" w:cs="方正仿宋_GBK"/>
                <w:color w:val="auto"/>
                <w:spacing w:val="0"/>
                <w:w w:val="100"/>
                <w:position w:val="0"/>
                <w:sz w:val="20"/>
                <w:szCs w:val="20"/>
                <w:lang w:eastAsia="zh-CN"/>
              </w:rPr>
              <w:t>局</w:t>
            </w:r>
            <w:r>
              <w:rPr>
                <w:rFonts w:hint="eastAsia" w:ascii="方正仿宋_GBK" w:eastAsia="方正仿宋_GBK" w:cs="方正仿宋_GBK"/>
                <w:color w:val="auto"/>
                <w:spacing w:val="0"/>
                <w:w w:val="100"/>
                <w:position w:val="0"/>
                <w:sz w:val="20"/>
                <w:szCs w:val="20"/>
              </w:rPr>
              <w:t>承办</w:t>
            </w:r>
            <w:r>
              <w:rPr>
                <w:rFonts w:hint="eastAsia" w:ascii="方正仿宋_GBK" w:eastAsia="方正仿宋_GBK" w:cs="方正仿宋_GBK"/>
                <w:color w:val="auto"/>
                <w:spacing w:val="0"/>
                <w:w w:val="100"/>
                <w:position w:val="0"/>
                <w:sz w:val="20"/>
                <w:szCs w:val="20"/>
                <w:lang w:eastAsia="zh-CN"/>
              </w:rPr>
              <w:t>）</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《森林防火条例》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《森林防火条例》</w:t>
            </w:r>
          </w:p>
        </w:tc>
        <w:tc>
          <w:tcPr>
            <w:tcW w:w="1701" w:type="dxa"/>
            <w:vMerge w:val="restart"/>
            <w:tcBorders>
              <w:top w:val="single" w:color="000000" w:sz="4" w:space="0"/>
              <w:left w:val="single" w:color="000000" w:sz="2" w:space="0"/>
              <w:bottom w:val="single" w:color="000000"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《草原防火条例》</w:t>
            </w: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《草原防火条例》</w:t>
            </w:r>
          </w:p>
        </w:tc>
        <w:tc>
          <w:tcPr>
            <w:tcW w:w="1701" w:type="dxa"/>
            <w:vMerge w:val="continue"/>
            <w:tcBorders>
              <w:top w:val="single" w:color="000000" w:sz="4" w:space="0"/>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218</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564</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工商企业等社会资本通过流转取得林地经营权审批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县政府（</w:t>
            </w:r>
            <w:r>
              <w:rPr>
                <w:rFonts w:hint="eastAsia" w:ascii="方正仿宋_GBK" w:eastAsia="方正仿宋_GBK" w:cs="方正仿宋_GBK"/>
                <w:color w:val="auto"/>
                <w:spacing w:val="0"/>
                <w:w w:val="100"/>
                <w:position w:val="0"/>
                <w:sz w:val="20"/>
                <w:szCs w:val="20"/>
              </w:rPr>
              <w:t>由</w:t>
            </w: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林草</w:t>
            </w:r>
            <w:r>
              <w:rPr>
                <w:rFonts w:hint="eastAsia" w:ascii="方正仿宋_GBK" w:eastAsia="方正仿宋_GBK" w:cs="方正仿宋_GBK"/>
                <w:color w:val="auto"/>
                <w:spacing w:val="0"/>
                <w:w w:val="100"/>
                <w:position w:val="0"/>
                <w:sz w:val="20"/>
                <w:szCs w:val="20"/>
                <w:lang w:eastAsia="zh-CN"/>
              </w:rPr>
              <w:t>局</w:t>
            </w:r>
            <w:r>
              <w:rPr>
                <w:rFonts w:hint="eastAsia" w:ascii="方正仿宋_GBK" w:eastAsia="方正仿宋_GBK" w:cs="方正仿宋_GBK"/>
                <w:color w:val="auto"/>
                <w:spacing w:val="0"/>
                <w:w w:val="100"/>
                <w:position w:val="0"/>
                <w:sz w:val="20"/>
                <w:szCs w:val="20"/>
              </w:rPr>
              <w:t>承办</w:t>
            </w:r>
            <w:r>
              <w:rPr>
                <w:rFonts w:hint="eastAsia" w:ascii="方正仿宋_GBK" w:eastAsia="方正仿宋_GBK" w:cs="方正仿宋_GBK"/>
                <w:color w:val="auto"/>
                <w:spacing w:val="0"/>
                <w:w w:val="100"/>
                <w:position w:val="0"/>
                <w:sz w:val="20"/>
                <w:szCs w:val="20"/>
                <w:lang w:eastAsia="zh-CN"/>
              </w:rPr>
              <w:t>）</w:t>
            </w:r>
          </w:p>
        </w:tc>
        <w:tc>
          <w:tcPr>
            <w:tcW w:w="3374" w:type="dxa"/>
            <w:tcBorders>
              <w:top w:val="single" w:color="000000" w:sz="2"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《中华人民共和国农村土地承包法》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《中华人民共和国农村土地承包法》</w:t>
            </w:r>
          </w:p>
        </w:tc>
        <w:tc>
          <w:tcPr>
            <w:tcW w:w="170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219</w:t>
            </w:r>
          </w:p>
        </w:tc>
        <w:tc>
          <w:tcPr>
            <w:tcW w:w="637" w:type="dxa"/>
            <w:vMerge w:val="restart"/>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570</w:t>
            </w:r>
          </w:p>
        </w:tc>
        <w:tc>
          <w:tcPr>
            <w:tcW w:w="2372" w:type="dxa"/>
            <w:vMerge w:val="restart"/>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建设工程文物保护许可</w:t>
            </w:r>
          </w:p>
        </w:tc>
        <w:tc>
          <w:tcPr>
            <w:tcW w:w="1463" w:type="dxa"/>
            <w:vMerge w:val="restart"/>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县文广体旅局</w:t>
            </w:r>
          </w:p>
        </w:tc>
        <w:tc>
          <w:tcPr>
            <w:tcW w:w="1584" w:type="dxa"/>
            <w:vMerge w:val="restart"/>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县政府（由县文广体旅局承办，</w:t>
            </w:r>
            <w:r>
              <w:rPr>
                <w:rFonts w:hint="eastAsia" w:ascii="方正仿宋_GBK" w:eastAsia="方正仿宋_GBK" w:cs="方正仿宋_GBK"/>
                <w:color w:val="auto"/>
                <w:spacing w:val="0"/>
                <w:w w:val="100"/>
                <w:position w:val="0"/>
                <w:sz w:val="20"/>
                <w:szCs w:val="20"/>
              </w:rPr>
              <w:t>征得上一级文物部门同意</w:t>
            </w:r>
            <w:r>
              <w:rPr>
                <w:rFonts w:hint="eastAsia" w:ascii="方正仿宋_GBK" w:eastAsia="方正仿宋_GBK" w:cs="方正仿宋_GBK"/>
                <w:color w:val="auto"/>
                <w:spacing w:val="0"/>
                <w:w w:val="100"/>
                <w:position w:val="0"/>
                <w:sz w:val="20"/>
                <w:szCs w:val="20"/>
                <w:lang w:eastAsia="zh-CN"/>
              </w:rPr>
              <w:t>）</w:t>
            </w:r>
          </w:p>
        </w:tc>
        <w:tc>
          <w:tcPr>
            <w:tcW w:w="3374" w:type="dxa"/>
            <w:vMerge w:val="restart"/>
            <w:tcBorders>
              <w:top w:val="single" w:color="000000" w:sz="2" w:space="0"/>
              <w:left w:val="single" w:color="000000" w:sz="2"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《中华人民共和国文物保护法》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《中华人民共和国文物保护法》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《四川省〈中华人民共和国文物保护法〉实施办法》</w:t>
            </w:r>
          </w:p>
        </w:tc>
        <w:tc>
          <w:tcPr>
            <w:tcW w:w="1701" w:type="dxa"/>
            <w:vMerge w:val="continue"/>
            <w:tcBorders>
              <w:top w:val="single" w:color="auto" w:sz="4" w:space="0"/>
              <w:left w:val="single" w:color="000000" w:sz="2"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220</w:t>
            </w:r>
          </w:p>
        </w:tc>
        <w:tc>
          <w:tcPr>
            <w:tcW w:w="637" w:type="dxa"/>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571</w:t>
            </w:r>
          </w:p>
        </w:tc>
        <w:tc>
          <w:tcPr>
            <w:tcW w:w="2372"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文物保护单位原址保护措施审批</w:t>
            </w:r>
          </w:p>
        </w:tc>
        <w:tc>
          <w:tcPr>
            <w:tcW w:w="1463"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158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tcBorders>
              <w:top w:val="single" w:color="auto" w:sz="4" w:space="0"/>
              <w:left w:val="single" w:color="000000" w:sz="2" w:space="0"/>
              <w:bottom w:val="single" w:color="000000" w:sz="2"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《中华人民共和国文物保护法》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《中华人民共和国文物保护法》</w:t>
            </w:r>
          </w:p>
        </w:tc>
        <w:tc>
          <w:tcPr>
            <w:tcW w:w="170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rPr>
            </w:pPr>
            <w:r>
              <w:rPr>
                <w:rFonts w:hint="eastAsia" w:ascii="方正仿宋_GBK" w:eastAsia="方正仿宋_GBK" w:cs="方正仿宋_GBK"/>
                <w:color w:val="auto"/>
                <w:spacing w:val="0"/>
                <w:w w:val="100"/>
                <w:position w:val="0"/>
                <w:sz w:val="20"/>
                <w:szCs w:val="20"/>
                <w:lang w:val="en-US" w:eastAsia="zh-CN"/>
              </w:rPr>
              <w:t>221</w:t>
            </w:r>
          </w:p>
        </w:tc>
        <w:tc>
          <w:tcPr>
            <w:tcW w:w="637" w:type="dxa"/>
            <w:tcBorders>
              <w:top w:val="single" w:color="000000" w:sz="2"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573</w:t>
            </w:r>
          </w:p>
        </w:tc>
        <w:tc>
          <w:tcPr>
            <w:tcW w:w="2372"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核定为文物保护单位的属于国家所有的纪念建筑物或者古建筑改变用途审批</w:t>
            </w:r>
          </w:p>
        </w:tc>
        <w:tc>
          <w:tcPr>
            <w:tcW w:w="1463"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158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县政府（由</w:t>
            </w:r>
            <w:r>
              <w:rPr>
                <w:rFonts w:hint="eastAsia" w:ascii="方正仿宋_GBK" w:eastAsia="方正仿宋_GBK" w:cs="方正仿宋_GBK"/>
                <w:color w:val="auto"/>
                <w:spacing w:val="0"/>
                <w:w w:val="100"/>
                <w:position w:val="0"/>
                <w:sz w:val="20"/>
                <w:szCs w:val="20"/>
                <w:lang w:eastAsia="zh-CN"/>
              </w:rPr>
              <w:t>县文广体旅局</w:t>
            </w:r>
            <w:r>
              <w:rPr>
                <w:rFonts w:hint="eastAsia" w:ascii="方正仿宋_GBK" w:eastAsia="方正仿宋_GBK" w:cs="方正仿宋_GBK"/>
                <w:color w:val="auto"/>
                <w:spacing w:val="0"/>
                <w:w w:val="100"/>
                <w:position w:val="0"/>
                <w:sz w:val="20"/>
                <w:szCs w:val="20"/>
              </w:rPr>
              <w:t>承办，征得</w:t>
            </w:r>
            <w:r>
              <w:rPr>
                <w:rFonts w:hint="eastAsia" w:ascii="方正仿宋_GBK" w:eastAsia="方正仿宋_GBK" w:cs="方正仿宋_GBK"/>
                <w:color w:val="auto"/>
                <w:spacing w:val="0"/>
                <w:w w:val="100"/>
                <w:position w:val="0"/>
                <w:sz w:val="20"/>
                <w:szCs w:val="20"/>
                <w:lang w:eastAsia="zh-CN"/>
              </w:rPr>
              <w:t>州文广旅局</w:t>
            </w:r>
            <w:r>
              <w:rPr>
                <w:rFonts w:hint="eastAsia" w:ascii="方正仿宋_GBK" w:eastAsia="方正仿宋_GBK" w:cs="方正仿宋_GBK"/>
                <w:color w:val="auto"/>
                <w:spacing w:val="0"/>
                <w:w w:val="100"/>
                <w:position w:val="0"/>
                <w:sz w:val="20"/>
                <w:szCs w:val="20"/>
              </w:rPr>
              <w:t>同意）</w:t>
            </w:r>
          </w:p>
        </w:tc>
        <w:tc>
          <w:tcPr>
            <w:tcW w:w="3374"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《中华人民共和国文物保护法》</w:t>
            </w: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《中华人民共和国文物保护法》</w:t>
            </w:r>
          </w:p>
        </w:tc>
        <w:tc>
          <w:tcPr>
            <w:tcW w:w="1701" w:type="dxa"/>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222</w:t>
            </w:r>
          </w:p>
        </w:tc>
        <w:tc>
          <w:tcPr>
            <w:tcW w:w="637" w:type="dxa"/>
            <w:vMerge w:val="restart"/>
            <w:tcBorders>
              <w:top w:val="single" w:color="auto" w:sz="4" w:space="0"/>
              <w:left w:val="single" w:color="000000" w:sz="2" w:space="0"/>
              <w:bottom w:val="single" w:color="auto" w:sz="4"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574</w:t>
            </w:r>
          </w:p>
        </w:tc>
        <w:tc>
          <w:tcPr>
            <w:tcW w:w="2372"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不可移动文物修缮审批</w:t>
            </w:r>
          </w:p>
        </w:tc>
        <w:tc>
          <w:tcPr>
            <w:tcW w:w="1463"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158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vMerge w:val="restart"/>
            <w:tcBorders>
              <w:top w:val="single" w:color="auto" w:sz="4"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《中华人民共和国文物保护法》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《中华人民共和国文物保护法》</w:t>
            </w:r>
          </w:p>
        </w:tc>
        <w:tc>
          <w:tcPr>
            <w:tcW w:w="170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2372"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《四川省〈中华人民共和国文物保护法〉实施办法》</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223</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580</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非国有文物收藏单位和其他单位借用国有馆藏文物审批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vMerge w:val="restart"/>
            <w:tcBorders>
              <w:top w:val="single" w:color="000000" w:sz="2" w:space="0"/>
              <w:left w:val="single" w:color="000000" w:sz="2" w:space="0"/>
              <w:bottom w:val="nil"/>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《中华人民共和国文物保护法》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《中华人民共和国文物保护法》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《中华人民共和国文物保护法实施条例》</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224</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585</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博物馆处理不够入藏标准、无保存价值的文物或标本审批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县文广体旅局</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《国务院对确需保留的行政审批项目设定行政许可的决定》</w:t>
            </w: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《中华人民共和国文物保护法》</w:t>
            </w:r>
          </w:p>
        </w:tc>
        <w:tc>
          <w:tcPr>
            <w:tcW w:w="1701" w:type="dxa"/>
            <w:vMerge w:val="restart"/>
            <w:tcBorders>
              <w:top w:val="single" w:color="auto" w:sz="4"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《博物馆管理办法》</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《国有馆藏文物退出管理暂行办法》（文物博发〔2018〕9号）</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225</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589</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确有专长的中医医师资格认定</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县中医药主管部门受理并逐级上报</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《中华人民共和国中医药法》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《中华人民共和国中医药法》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《中医医术确有专长人员医师资格考核注册管理暂行办法》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226</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590</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确有专长的中医医师执业注册</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r>
              <w:rPr>
                <w:rFonts w:hint="eastAsia" w:ascii="方正仿宋_GBK" w:eastAsia="方正仿宋_GBK" w:cs="方正仿宋_GBK"/>
                <w:color w:val="auto"/>
                <w:spacing w:val="0"/>
                <w:w w:val="100"/>
                <w:position w:val="0"/>
                <w:sz w:val="20"/>
                <w:szCs w:val="20"/>
              </w:rPr>
              <w:t>县中医药主管部门</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《中华人民共和国中医药法》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《中华人民共和国中医药法》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《中医医术确有专长人员医师资格考核注册管理暂行办法》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227</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592</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中医医疗机构设置审批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r>
              <w:rPr>
                <w:rFonts w:hint="eastAsia" w:ascii="方正仿宋_GBK" w:eastAsia="方正仿宋_GBK" w:cs="方正仿宋_GBK"/>
                <w:color w:val="auto"/>
                <w:spacing w:val="0"/>
                <w:w w:val="100"/>
                <w:position w:val="0"/>
                <w:sz w:val="20"/>
                <w:szCs w:val="20"/>
              </w:rPr>
              <w:t>县中医药主管部门</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《中华人民共和国中医药法》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《中华人民共和国中医药法》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《医疗机构管理条例》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228</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593</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中医医疗机构执业登记</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县卫生健康局、</w:t>
            </w:r>
            <w:r>
              <w:rPr>
                <w:rFonts w:hint="eastAsia" w:ascii="方正仿宋_GBK" w:eastAsia="方正仿宋_GBK" w:cs="方正仿宋_GBK"/>
                <w:color w:val="auto"/>
                <w:spacing w:val="0"/>
                <w:w w:val="100"/>
                <w:position w:val="0"/>
                <w:sz w:val="20"/>
                <w:szCs w:val="20"/>
              </w:rPr>
              <w:t>县中医药主管部门</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《中华人民共和国中医药法》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《中华人民共和国中医药法》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000000" w:sz="2" w:space="0"/>
              <w:bottom w:val="single" w:color="auto" w:sz="4"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《医疗机构管理条例》</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restart"/>
            <w:tcBorders>
              <w:top w:val="single" w:color="auto" w:sz="4" w:space="0"/>
              <w:left w:val="single" w:color="auto" w:sz="4"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229</w:t>
            </w:r>
          </w:p>
        </w:tc>
        <w:tc>
          <w:tcPr>
            <w:tcW w:w="637" w:type="dxa"/>
            <w:vMerge w:val="restart"/>
            <w:tcBorders>
              <w:top w:val="single" w:color="auto" w:sz="4" w:space="0"/>
              <w:left w:val="single" w:color="000000" w:sz="2" w:space="0"/>
              <w:bottom w:val="single" w:color="000000" w:sz="2"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594</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矿山建设项目安全设施设计审查</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县应急局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县应急局</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《中华人民共和国安全生产法》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《煤矿建设项目安全设施监察规定》</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煤矿建设项目安全设施设计审查由应急管理厅实施。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000000" w:sz="2" w:space="0"/>
              <w:left w:val="single" w:color="auto" w:sz="4" w:space="0"/>
              <w:bottom w:val="single" w:color="000000" w:sz="2" w:space="0"/>
              <w:right w:val="single" w:color="000000" w:sz="2" w:space="0"/>
            </w:tcBorders>
            <w:noWrap/>
            <w:vAlign w:val="center"/>
          </w:tcPr>
          <w:p/>
        </w:tc>
        <w:tc>
          <w:tcPr>
            <w:tcW w:w="637" w:type="dxa"/>
            <w:vMerge w:val="continue"/>
            <w:tcBorders>
              <w:top w:val="single" w:color="000000" w:sz="2" w:space="0"/>
              <w:left w:val="single" w:color="000000" w:sz="2" w:space="0"/>
              <w:bottom w:val="single" w:color="000000" w:sz="2"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continue"/>
            <w:tcBorders>
              <w:top w:val="single" w:color="auto" w:sz="4" w:space="0"/>
              <w:left w:val="single" w:color="auto" w:sz="4" w:space="0"/>
              <w:bottom w:val="single" w:color="auto" w:sz="4" w:space="0"/>
              <w:right w:val="single" w:color="auto" w:sz="4" w:space="0"/>
            </w:tcBorders>
            <w:noWrap/>
            <w:vAlign w:val="center"/>
          </w:tcP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《建设项目安全设施“三同时”监督管理办法》</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075" w:hRule="atLeast"/>
          <w:jc w:val="center"/>
        </w:trPr>
        <w:tc>
          <w:tcPr>
            <w:tcW w:w="571" w:type="dxa"/>
            <w:vMerge w:val="continue"/>
            <w:tcBorders>
              <w:top w:val="single" w:color="000000" w:sz="2" w:space="0"/>
              <w:left w:val="single" w:color="auto" w:sz="4" w:space="0"/>
              <w:bottom w:val="single" w:color="auto" w:sz="4" w:space="0"/>
              <w:right w:val="single" w:color="000000" w:sz="2" w:space="0"/>
            </w:tcBorders>
            <w:noWrap/>
            <w:vAlign w:val="center"/>
          </w:tcPr>
          <w:p/>
        </w:tc>
        <w:tc>
          <w:tcPr>
            <w:tcW w:w="637" w:type="dxa"/>
            <w:vMerge w:val="continue"/>
            <w:tcBorders>
              <w:top w:val="single" w:color="000000" w:sz="2" w:space="0"/>
              <w:left w:val="single" w:color="000000" w:sz="2"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auto" w:sz="4" w:space="0"/>
            </w:tcBorders>
            <w:noWrap/>
            <w:vAlign w:val="center"/>
          </w:tcPr>
          <w:p/>
        </w:tc>
        <w:tc>
          <w:tcPr>
            <w:tcW w:w="1463" w:type="dxa"/>
            <w:vMerge w:val="continue"/>
            <w:tcBorders>
              <w:top w:val="single" w:color="auto" w:sz="4" w:space="0"/>
              <w:left w:val="single" w:color="auto" w:sz="4" w:space="0"/>
              <w:bottom w:val="single" w:color="auto" w:sz="4" w:space="0"/>
              <w:right w:val="single" w:color="auto" w:sz="4" w:space="0"/>
            </w:tcBorders>
            <w:noWrap/>
            <w:vAlign w:val="center"/>
          </w:tcPr>
          <w:p/>
        </w:tc>
        <w:tc>
          <w:tcPr>
            <w:tcW w:w="1584" w:type="dxa"/>
            <w:vMerge w:val="continue"/>
            <w:tcBorders>
              <w:top w:val="single" w:color="auto" w:sz="4" w:space="0"/>
              <w:left w:val="single" w:color="auto" w:sz="4" w:space="0"/>
              <w:bottom w:val="single" w:color="auto" w:sz="4" w:space="0"/>
              <w:right w:val="single" w:color="auto" w:sz="4" w:space="0"/>
            </w:tcBorders>
            <w:noWrap/>
            <w:vAlign w:val="center"/>
          </w:tcP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《煤矿安全生产条例》</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《国家安全监管总局办公厅关于切实做好国家取消和下放投资审批有关建设项目安全监管工作的通知》（安监总厅政法〔2013〕120号）</w:t>
            </w:r>
          </w:p>
        </w:tc>
        <w:tc>
          <w:tcPr>
            <w:tcW w:w="1701" w:type="dxa"/>
            <w:vMerge w:val="continue"/>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75"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《国家矿山安全监察局关于进一步加强非煤矿山安全生产行政许可工作的通知》（矿安〔2024〕70号）</w:t>
            </w:r>
          </w:p>
        </w:tc>
        <w:tc>
          <w:tcPr>
            <w:tcW w:w="1701" w:type="dxa"/>
            <w:vMerge w:val="continue"/>
            <w:tcBorders>
              <w:top w:val="single" w:color="auto" w:sz="4" w:space="0"/>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《中华人民共和国应急管理部公告》（2021年第1号）</w:t>
            </w:r>
          </w:p>
        </w:tc>
        <w:tc>
          <w:tcPr>
            <w:tcW w:w="1701" w:type="dxa"/>
            <w:vMerge w:val="continue"/>
            <w:tcBorders>
              <w:top w:val="nil"/>
              <w:left w:val="single" w:color="000000" w:sz="2" w:space="0"/>
              <w:bottom w:val="nil"/>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3" w:hRule="atLeast"/>
          <w:jc w:val="center"/>
        </w:trPr>
        <w:tc>
          <w:tcPr>
            <w:tcW w:w="571" w:type="dxa"/>
            <w:vMerge w:val="continue"/>
            <w:tcBorders>
              <w:top w:val="single" w:color="auto" w:sz="4" w:space="0"/>
              <w:left w:val="single" w:color="auto" w:sz="4" w:space="0"/>
              <w:bottom w:val="single" w:color="auto" w:sz="4" w:space="0"/>
              <w:right w:val="single" w:color="000000" w:sz="2" w:space="0"/>
            </w:tcBorders>
            <w:noWrap/>
            <w:vAlign w:val="center"/>
          </w:tcPr>
          <w:p/>
        </w:tc>
        <w:tc>
          <w:tcPr>
            <w:tcW w:w="637" w:type="dxa"/>
            <w:vMerge w:val="continue"/>
            <w:tcBorders>
              <w:top w:val="single" w:color="auto" w:sz="4" w:space="0"/>
              <w:left w:val="single" w:color="000000" w:sz="2" w:space="0"/>
              <w:bottom w:val="single" w:color="auto" w:sz="4" w:space="0"/>
              <w:right w:val="single" w:color="auto" w:sz="4" w:space="0"/>
            </w:tcBorders>
            <w:noWrap/>
            <w:vAlign w:val="center"/>
          </w:tcPr>
          <w:p/>
        </w:tc>
        <w:tc>
          <w:tcPr>
            <w:tcW w:w="2372" w:type="dxa"/>
            <w:vMerge w:val="continue"/>
            <w:tcBorders>
              <w:top w:val="single" w:color="auto" w:sz="4" w:space="0"/>
              <w:left w:val="single" w:color="auto" w:sz="4" w:space="0"/>
              <w:bottom w:val="single" w:color="auto" w:sz="4" w:space="0"/>
              <w:right w:val="single" w:color="000000" w:sz="2" w:space="0"/>
            </w:tcBorders>
            <w:noWrap/>
            <w:vAlign w:val="center"/>
          </w:tcPr>
          <w:p/>
        </w:tc>
        <w:tc>
          <w:tcPr>
            <w:tcW w:w="1463"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158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3374" w:type="dxa"/>
            <w:vMerge w:val="continue"/>
            <w:tcBorders>
              <w:top w:val="single" w:color="auto" w:sz="4" w:space="0"/>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《四川省应急管理厅关于进一步明确安全生产政务服务事项分类分级审查的通知》（川应急规〔2024〕3号）</w:t>
            </w:r>
          </w:p>
        </w:tc>
        <w:tc>
          <w:tcPr>
            <w:tcW w:w="1701" w:type="dxa"/>
            <w:vMerge w:val="continue"/>
            <w:tcBorders>
              <w:top w:val="nil"/>
              <w:left w:val="single" w:color="000000" w:sz="2" w:space="0"/>
              <w:bottom w:val="single" w:color="000000" w:sz="2" w:space="0"/>
              <w:right w:val="single" w:color="auto" w:sz="4"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restart"/>
            <w:tcBorders>
              <w:top w:val="single" w:color="auto" w:sz="4"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230</w:t>
            </w:r>
          </w:p>
        </w:tc>
        <w:tc>
          <w:tcPr>
            <w:tcW w:w="637" w:type="dxa"/>
            <w:vMerge w:val="restart"/>
            <w:tcBorders>
              <w:top w:val="single" w:color="auto" w:sz="4"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614</w:t>
            </w:r>
          </w:p>
        </w:tc>
        <w:tc>
          <w:tcPr>
            <w:tcW w:w="2372"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药品零售企业经营许可</w:t>
            </w:r>
          </w:p>
        </w:tc>
        <w:tc>
          <w:tcPr>
            <w:tcW w:w="1463"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县市场监管局</w:t>
            </w:r>
          </w:p>
        </w:tc>
        <w:tc>
          <w:tcPr>
            <w:tcW w:w="1584" w:type="dxa"/>
            <w:vMerge w:val="restart"/>
            <w:tcBorders>
              <w:top w:val="single" w:color="auto" w:sz="4"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县市场监管局</w:t>
            </w:r>
          </w:p>
        </w:tc>
        <w:tc>
          <w:tcPr>
            <w:tcW w:w="3374" w:type="dxa"/>
            <w:tcBorders>
              <w:top w:val="single" w:color="auto" w:sz="4"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《中华人民共和国药品管理法》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《中华人民共和国药品管理法》</w:t>
            </w:r>
          </w:p>
        </w:tc>
        <w:tc>
          <w:tcPr>
            <w:tcW w:w="1701" w:type="dxa"/>
            <w:vMerge w:val="restart"/>
            <w:tcBorders>
              <w:top w:val="single" w:color="000000" w:sz="2" w:space="0"/>
              <w:left w:val="single" w:color="000000" w:sz="2" w:space="0"/>
              <w:bottom w:val="nil"/>
              <w:right w:val="single" w:color="000000" w:sz="2" w:space="0"/>
            </w:tcBorders>
            <w:noWrap/>
          </w:tcPr>
          <w:p>
            <w:pPr>
              <w:keepNext w:val="0"/>
              <w:keepLines w:val="0"/>
              <w:pageBreakBefore w:val="0"/>
              <w:widowControl/>
              <w:kinsoku/>
              <w:wordWrap/>
              <w:overflowPunct/>
              <w:topLinePunct w:val="0"/>
              <w:autoSpaceDE w:val="0"/>
              <w:autoSpaceDN w:val="0"/>
              <w:bidi w:val="0"/>
              <w:adjustRightInd w:val="0"/>
              <w:spacing w:line="240" w:lineRule="exact"/>
              <w:ind w:left="0" w:right="0" w:firstLine="0"/>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《中华人民共和国药品管理法实施条例》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《药品经营和使用质量监督管理办法》</w:t>
            </w:r>
          </w:p>
        </w:tc>
        <w:tc>
          <w:tcPr>
            <w:tcW w:w="1701" w:type="dxa"/>
            <w:vMerge w:val="continue"/>
            <w:tcBorders>
              <w:top w:val="nil"/>
              <w:left w:val="single" w:color="000000" w:sz="2" w:space="0"/>
              <w:bottom w:val="single" w:color="000000" w:sz="2" w:space="0"/>
              <w:right w:val="single" w:color="000000" w:sz="2" w:space="0"/>
            </w:tcBorders>
            <w:noWrap/>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231</w:t>
            </w:r>
          </w:p>
        </w:tc>
        <w:tc>
          <w:tcPr>
            <w:tcW w:w="637"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630</w:t>
            </w:r>
          </w:p>
        </w:tc>
        <w:tc>
          <w:tcPr>
            <w:tcW w:w="2372"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科研和教学用毒性药品购买审批</w:t>
            </w:r>
          </w:p>
        </w:tc>
        <w:tc>
          <w:tcPr>
            <w:tcW w:w="1463"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县市场监管局</w:t>
            </w:r>
          </w:p>
        </w:tc>
        <w:tc>
          <w:tcPr>
            <w:tcW w:w="158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县市场监管局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《医疗用毒性药品管理办法》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《医疗用毒性药品管理办法》</w:t>
            </w:r>
          </w:p>
        </w:tc>
        <w:tc>
          <w:tcPr>
            <w:tcW w:w="170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232</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646</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延期移交档案审批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县委办公室</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县委办公室</w:t>
            </w:r>
            <w:r>
              <w:rPr>
                <w:rFonts w:hint="eastAsia" w:ascii="方正仿宋_GBK" w:eastAsia="方正仿宋_GBK" w:cs="方正仿宋_GBK"/>
                <w:color w:val="auto"/>
                <w:spacing w:val="0"/>
                <w:w w:val="100"/>
                <w:position w:val="0"/>
                <w:sz w:val="20"/>
                <w:szCs w:val="20"/>
              </w:rPr>
              <w:t>、县</w:t>
            </w:r>
            <w:r>
              <w:rPr>
                <w:rFonts w:hint="eastAsia" w:ascii="方正仿宋_GBK" w:eastAsia="方正仿宋_GBK" w:cs="方正仿宋_GBK"/>
                <w:color w:val="auto"/>
                <w:spacing w:val="0"/>
                <w:w w:val="100"/>
                <w:position w:val="0"/>
                <w:sz w:val="20"/>
                <w:szCs w:val="20"/>
                <w:lang w:eastAsia="zh-CN"/>
              </w:rPr>
              <w:t>档案馆</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《中华人民共和国档案法实施条例》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《中华人民共和国档案法》</w:t>
            </w:r>
          </w:p>
        </w:tc>
        <w:tc>
          <w:tcPr>
            <w:tcW w:w="1701" w:type="dxa"/>
            <w:vMerge w:val="restart"/>
            <w:tcBorders>
              <w:top w:val="nil"/>
              <w:left w:val="single" w:color="000000" w:sz="2" w:space="0"/>
              <w:bottom w:val="single" w:color="000000" w:sz="2" w:space="0"/>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《中华人民共和国档案法实施条例》</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233</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651</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电影放映单位设立审批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县委宣传部</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县委宣传部</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《中华人民共和国电影产业促进法》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《中华人民共和国电影产业促进法》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《电影管理条例》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《外商投资电影院暂行规定》</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234</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655</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事业单位登记</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县委编办</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县委编办</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《事业单位登记管理暂行条例》</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《事业单位登记管理暂行条例实施细则》（中央编办发〔2014〕4号）</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《四川省事业单位登记管理办法》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235</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657</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应建防空地下室的民用建筑项目报建审批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县政府办公室</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县政府办公室</w:t>
            </w:r>
            <w:r>
              <w:rPr>
                <w:rFonts w:hint="eastAsia" w:ascii="方正仿宋_GBK" w:eastAsia="方正仿宋_GBK" w:cs="方正仿宋_GBK"/>
                <w:color w:val="auto"/>
                <w:spacing w:val="0"/>
                <w:w w:val="100"/>
                <w:position w:val="0"/>
                <w:sz w:val="20"/>
                <w:szCs w:val="20"/>
              </w:rPr>
              <w:t>、县人防主管部门</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《中共</w:t>
            </w:r>
            <w:r>
              <w:rPr>
                <w:rFonts w:hint="eastAsia" w:ascii="方正仿宋_GBK" w:eastAsia="方正仿宋_GBK" w:cs="方正仿宋_GBK"/>
                <w:color w:val="auto"/>
                <w:spacing w:val="0"/>
                <w:w w:val="100"/>
                <w:position w:val="0"/>
                <w:sz w:val="20"/>
                <w:szCs w:val="20"/>
                <w:lang w:val="en-US" w:eastAsia="zh-CN"/>
              </w:rPr>
              <w:t xml:space="preserve"> </w:t>
            </w:r>
            <w:r>
              <w:rPr>
                <w:rFonts w:hint="eastAsia" w:ascii="方正仿宋_GBK" w:eastAsia="方正仿宋_GBK" w:cs="方正仿宋_GBK"/>
                <w:color w:val="auto"/>
                <w:spacing w:val="0"/>
                <w:w w:val="100"/>
                <w:position w:val="0"/>
                <w:sz w:val="20"/>
                <w:szCs w:val="20"/>
              </w:rPr>
              <w:t>中央</w:t>
            </w:r>
            <w:r>
              <w:rPr>
                <w:rFonts w:hint="eastAsia" w:ascii="方正仿宋_GBK" w:eastAsia="方正仿宋_GBK" w:cs="方正仿宋_GBK"/>
                <w:color w:val="auto"/>
                <w:spacing w:val="0"/>
                <w:w w:val="100"/>
                <w:position w:val="0"/>
                <w:sz w:val="20"/>
                <w:szCs w:val="20"/>
                <w:lang w:val="en-US" w:eastAsia="zh-CN"/>
              </w:rPr>
              <w:t xml:space="preserve">  </w:t>
            </w:r>
            <w:r>
              <w:rPr>
                <w:rFonts w:hint="eastAsia" w:ascii="方正仿宋_GBK" w:eastAsia="方正仿宋_GBK" w:cs="方正仿宋_GBK"/>
                <w:color w:val="auto"/>
                <w:spacing w:val="0"/>
                <w:w w:val="100"/>
                <w:position w:val="0"/>
                <w:sz w:val="20"/>
                <w:szCs w:val="20"/>
              </w:rPr>
              <w:t>国务院</w:t>
            </w:r>
            <w:r>
              <w:rPr>
                <w:rFonts w:hint="eastAsia" w:ascii="方正仿宋_GBK" w:eastAsia="方正仿宋_GBK" w:cs="方正仿宋_GBK"/>
                <w:color w:val="auto"/>
                <w:spacing w:val="0"/>
                <w:w w:val="100"/>
                <w:position w:val="0"/>
                <w:sz w:val="20"/>
                <w:szCs w:val="20"/>
                <w:lang w:val="en-US" w:eastAsia="zh-CN"/>
              </w:rPr>
              <w:t xml:space="preserve">  </w:t>
            </w:r>
            <w:r>
              <w:rPr>
                <w:rFonts w:hint="eastAsia" w:ascii="方正仿宋_GBK" w:eastAsia="方正仿宋_GBK" w:cs="方正仿宋_GBK"/>
                <w:color w:val="auto"/>
                <w:spacing w:val="0"/>
                <w:w w:val="100"/>
                <w:position w:val="0"/>
                <w:sz w:val="20"/>
                <w:szCs w:val="20"/>
              </w:rPr>
              <w:t>中央军委关于加强人民防空工作的决定》</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《中华人民共和国人民防空法》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《人民防空工程建设管理规定》</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nil"/>
              <w:right w:val="single" w:color="000000" w:sz="2" w:space="0"/>
            </w:tcBorders>
            <w:noWrap/>
            <w:vAlign w:val="center"/>
          </w:tcPr>
          <w:p/>
        </w:tc>
        <w:tc>
          <w:tcPr>
            <w:tcW w:w="2372" w:type="dxa"/>
            <w:vMerge w:val="continue"/>
            <w:tcBorders>
              <w:top w:val="nil"/>
              <w:left w:val="single" w:color="000000" w:sz="2" w:space="0"/>
              <w:bottom w:val="nil"/>
              <w:right w:val="single" w:color="000000" w:sz="2" w:space="0"/>
            </w:tcBorders>
            <w:noWrap/>
            <w:vAlign w:val="center"/>
          </w:tcPr>
          <w:p/>
        </w:tc>
        <w:tc>
          <w:tcPr>
            <w:tcW w:w="1463" w:type="dxa"/>
            <w:vMerge w:val="continue"/>
            <w:tcBorders>
              <w:top w:val="nil"/>
              <w:left w:val="single" w:color="000000" w:sz="2" w:space="0"/>
              <w:bottom w:val="nil"/>
              <w:right w:val="single" w:color="000000" w:sz="2" w:space="0"/>
            </w:tcBorders>
            <w:noWrap/>
            <w:vAlign w:val="center"/>
          </w:tcPr>
          <w:p/>
        </w:tc>
        <w:tc>
          <w:tcPr>
            <w:tcW w:w="1584" w:type="dxa"/>
            <w:vMerge w:val="continue"/>
            <w:tcBorders>
              <w:top w:val="nil"/>
              <w:left w:val="single" w:color="000000" w:sz="2" w:space="0"/>
              <w:bottom w:val="nil"/>
              <w:right w:val="single" w:color="000000" w:sz="2" w:space="0"/>
            </w:tcBorders>
            <w:noWrap/>
            <w:vAlign w:val="center"/>
          </w:tcPr>
          <w:p/>
        </w:tc>
        <w:tc>
          <w:tcPr>
            <w:tcW w:w="3374" w:type="dxa"/>
            <w:vMerge w:val="continue"/>
            <w:tcBorders>
              <w:top w:val="nil"/>
              <w:left w:val="single" w:color="000000" w:sz="2" w:space="0"/>
              <w:bottom w:val="nil"/>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《中共中央国务院中央军委关于加强人民防空工作的决定》</w:t>
            </w:r>
          </w:p>
        </w:tc>
        <w:tc>
          <w:tcPr>
            <w:tcW w:w="1701" w:type="dxa"/>
            <w:vMerge w:val="continue"/>
            <w:tcBorders>
              <w:top w:val="nil"/>
              <w:left w:val="single" w:color="000000" w:sz="2" w:space="0"/>
              <w:bottom w:val="nil"/>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《四川省〈中华人民共和国人民防空法〉实施办法》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236</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658</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拆除人民防空工程审批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县政府办公室</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县政府办公室</w:t>
            </w:r>
            <w:r>
              <w:rPr>
                <w:rFonts w:hint="eastAsia" w:ascii="方正仿宋_GBK" w:eastAsia="方正仿宋_GBK" w:cs="方正仿宋_GBK"/>
                <w:color w:val="auto"/>
                <w:spacing w:val="0"/>
                <w:w w:val="100"/>
                <w:position w:val="0"/>
                <w:sz w:val="20"/>
                <w:szCs w:val="20"/>
              </w:rPr>
              <w:t>、县级人防主管部门</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《中华人民共和国人民防空法》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《中华人民共和国人民防空法》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vMerge w:val="continue"/>
            <w:tcBorders>
              <w:top w:val="nil"/>
              <w:left w:val="single" w:color="000000" w:sz="2" w:space="0"/>
              <w:bottom w:val="single" w:color="000000" w:sz="2" w:space="0"/>
              <w:right w:val="single" w:color="000000" w:sz="2" w:space="0"/>
            </w:tcBorders>
            <w:noWrap/>
            <w:vAlign w:val="center"/>
          </w:tcP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《四川省〈中华人民共和国人民防空法〉实施办法》</w:t>
            </w: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237</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665</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占用国防交通控制范围土地审批</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交通运输</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交通运输</w:t>
            </w:r>
            <w:r>
              <w:rPr>
                <w:rFonts w:hint="eastAsia" w:ascii="方正仿宋_GBK" w:eastAsia="方正仿宋_GBK" w:cs="方正仿宋_GBK"/>
                <w:color w:val="auto"/>
                <w:spacing w:val="0"/>
                <w:w w:val="100"/>
                <w:position w:val="0"/>
                <w:sz w:val="20"/>
                <w:szCs w:val="20"/>
                <w:lang w:eastAsia="zh-CN"/>
              </w:rPr>
              <w:t>局</w:t>
            </w: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《中华人民共和国国防交通法》</w:t>
            </w:r>
          </w:p>
        </w:tc>
        <w:tc>
          <w:tcPr>
            <w:tcW w:w="455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《四川省国防交通管理办法》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000000" w:sz="2" w:space="0"/>
              <w:right w:val="single" w:color="000000" w:sz="2" w:space="0"/>
            </w:tcBorders>
            <w:noWrap/>
            <w:vAlign w:val="center"/>
          </w:tcPr>
          <w:p/>
        </w:tc>
        <w:tc>
          <w:tcPr>
            <w:tcW w:w="2372" w:type="dxa"/>
            <w:vMerge w:val="continue"/>
            <w:tcBorders>
              <w:top w:val="nil"/>
              <w:left w:val="single" w:color="000000" w:sz="2" w:space="0"/>
              <w:bottom w:val="single" w:color="000000" w:sz="2" w:space="0"/>
              <w:right w:val="single" w:color="000000" w:sz="2" w:space="0"/>
            </w:tcBorders>
            <w:noWrap/>
            <w:vAlign w:val="center"/>
          </w:tcPr>
          <w:p/>
        </w:tc>
        <w:tc>
          <w:tcPr>
            <w:tcW w:w="1463" w:type="dxa"/>
            <w:vMerge w:val="continue"/>
            <w:tcBorders>
              <w:top w:val="nil"/>
              <w:left w:val="single" w:color="000000" w:sz="2" w:space="0"/>
              <w:bottom w:val="single" w:color="000000" w:sz="2" w:space="0"/>
              <w:right w:val="single" w:color="000000" w:sz="2" w:space="0"/>
            </w:tcBorders>
            <w:noWrap/>
            <w:vAlign w:val="center"/>
          </w:tcPr>
          <w:p/>
        </w:tc>
        <w:tc>
          <w:tcPr>
            <w:tcW w:w="1584" w:type="dxa"/>
            <w:vMerge w:val="continue"/>
            <w:tcBorders>
              <w:top w:val="nil"/>
              <w:left w:val="single" w:color="000000" w:sz="2" w:space="0"/>
              <w:bottom w:val="single" w:color="000000" w:sz="2" w:space="0"/>
              <w:right w:val="single" w:color="000000" w:sz="2" w:space="0"/>
            </w:tcBorders>
            <w:noWrap/>
            <w:vAlign w:val="center"/>
          </w:tcPr>
          <w:p/>
        </w:tc>
        <w:tc>
          <w:tcPr>
            <w:tcW w:w="337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《国防交通条例》</w:t>
            </w:r>
          </w:p>
        </w:tc>
        <w:tc>
          <w:tcPr>
            <w:tcW w:w="4551" w:type="dxa"/>
            <w:vMerge w:val="continue"/>
            <w:tcBorders>
              <w:top w:val="nil"/>
              <w:left w:val="single" w:color="000000" w:sz="2" w:space="0"/>
              <w:bottom w:val="single" w:color="000000" w:sz="2" w:space="0"/>
              <w:right w:val="single" w:color="000000" w:sz="2" w:space="0"/>
            </w:tcBorders>
            <w:noWrap/>
            <w:vAlign w:val="center"/>
          </w:tcPr>
          <w:p/>
        </w:tc>
        <w:tc>
          <w:tcPr>
            <w:tcW w:w="1701"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restart"/>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238</w:t>
            </w:r>
          </w:p>
        </w:tc>
        <w:tc>
          <w:tcPr>
            <w:tcW w:w="637"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666</w:t>
            </w:r>
          </w:p>
        </w:tc>
        <w:tc>
          <w:tcPr>
            <w:tcW w:w="2372"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建设工程、临时建设工程规划许可</w:t>
            </w:r>
          </w:p>
        </w:tc>
        <w:tc>
          <w:tcPr>
            <w:tcW w:w="1463"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lang w:eastAsia="zh-CN"/>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r>
              <w:rPr>
                <w:rFonts w:hint="eastAsia" w:ascii="方正仿宋_GBK" w:eastAsia="方正仿宋_GBK" w:cs="方正仿宋_GBK"/>
                <w:color w:val="auto"/>
                <w:spacing w:val="0"/>
                <w:w w:val="100"/>
                <w:position w:val="0"/>
                <w:sz w:val="20"/>
                <w:szCs w:val="20"/>
              </w:rPr>
              <w:t>，省政府确定的镇政府</w:t>
            </w:r>
          </w:p>
        </w:tc>
        <w:tc>
          <w:tcPr>
            <w:tcW w:w="337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《中华人民共和国城乡规划法》</w:t>
            </w:r>
          </w:p>
        </w:tc>
        <w:tc>
          <w:tcPr>
            <w:tcW w:w="455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《中华人民共和国城乡规划法》</w:t>
            </w:r>
          </w:p>
        </w:tc>
        <w:tc>
          <w:tcPr>
            <w:tcW w:w="1701"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continue"/>
            <w:tcBorders>
              <w:top w:val="single" w:color="000000" w:sz="2" w:space="0"/>
              <w:left w:val="single" w:color="000000" w:sz="2" w:space="0"/>
              <w:bottom w:val="single" w:color="000000" w:sz="2" w:space="0"/>
              <w:right w:val="single" w:color="000000" w:sz="2" w:space="0"/>
            </w:tcBorders>
            <w:noWrap/>
            <w:vAlign w:val="center"/>
          </w:tcPr>
          <w:p/>
        </w:tc>
        <w:tc>
          <w:tcPr>
            <w:tcW w:w="637" w:type="dxa"/>
            <w:vMerge w:val="continue"/>
            <w:tcBorders>
              <w:top w:val="nil"/>
              <w:left w:val="single" w:color="000000" w:sz="2" w:space="0"/>
              <w:bottom w:val="single" w:color="auto" w:sz="4" w:space="0"/>
              <w:right w:val="single" w:color="000000" w:sz="2" w:space="0"/>
            </w:tcBorders>
            <w:noWrap/>
            <w:vAlign w:val="center"/>
          </w:tcPr>
          <w:p/>
        </w:tc>
        <w:tc>
          <w:tcPr>
            <w:tcW w:w="2372" w:type="dxa"/>
            <w:vMerge w:val="continue"/>
            <w:tcBorders>
              <w:top w:val="nil"/>
              <w:left w:val="single" w:color="000000" w:sz="2" w:space="0"/>
              <w:bottom w:val="single" w:color="auto" w:sz="4" w:space="0"/>
              <w:right w:val="single" w:color="000000" w:sz="2" w:space="0"/>
            </w:tcBorders>
            <w:noWrap/>
            <w:vAlign w:val="center"/>
          </w:tcPr>
          <w:p/>
        </w:tc>
        <w:tc>
          <w:tcPr>
            <w:tcW w:w="1463" w:type="dxa"/>
            <w:vMerge w:val="continue"/>
            <w:tcBorders>
              <w:top w:val="nil"/>
              <w:left w:val="single" w:color="000000" w:sz="2" w:space="0"/>
              <w:bottom w:val="single" w:color="auto" w:sz="4" w:space="0"/>
              <w:right w:val="single" w:color="000000" w:sz="2" w:space="0"/>
            </w:tcBorders>
            <w:noWrap/>
            <w:vAlign w:val="center"/>
          </w:tcPr>
          <w:p/>
        </w:tc>
        <w:tc>
          <w:tcPr>
            <w:tcW w:w="1584" w:type="dxa"/>
            <w:vMerge w:val="continue"/>
            <w:tcBorders>
              <w:top w:val="nil"/>
              <w:left w:val="single" w:color="000000" w:sz="2" w:space="0"/>
              <w:bottom w:val="single" w:color="auto" w:sz="4" w:space="0"/>
              <w:right w:val="single" w:color="000000" w:sz="2" w:space="0"/>
            </w:tcBorders>
            <w:noWrap/>
            <w:vAlign w:val="center"/>
          </w:tcPr>
          <w:p/>
        </w:tc>
        <w:tc>
          <w:tcPr>
            <w:tcW w:w="3374" w:type="dxa"/>
            <w:vMerge w:val="continue"/>
            <w:tcBorders>
              <w:top w:val="nil"/>
              <w:left w:val="single" w:color="000000" w:sz="2" w:space="0"/>
              <w:bottom w:val="single" w:color="auto" w:sz="4" w:space="0"/>
              <w:right w:val="single" w:color="000000" w:sz="2" w:space="0"/>
            </w:tcBorders>
            <w:noWrap/>
            <w:vAlign w:val="center"/>
          </w:tcPr>
          <w:p/>
        </w:tc>
        <w:tc>
          <w:tcPr>
            <w:tcW w:w="4551" w:type="dxa"/>
            <w:tcBorders>
              <w:top w:val="single" w:color="000000" w:sz="2" w:space="0"/>
              <w:left w:val="single" w:color="000000" w:sz="2" w:space="0"/>
              <w:bottom w:val="single" w:color="auto" w:sz="4" w:space="0"/>
              <w:right w:val="single" w:color="000000" w:sz="2"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《四川省城乡规划条例》</w:t>
            </w:r>
          </w:p>
        </w:tc>
        <w:tc>
          <w:tcPr>
            <w:tcW w:w="1701" w:type="dxa"/>
            <w:vMerge w:val="continue"/>
            <w:tcBorders>
              <w:top w:val="nil"/>
              <w:left w:val="single" w:color="000000" w:sz="2" w:space="0"/>
              <w:bottom w:val="single" w:color="auto" w:sz="4"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restart"/>
            <w:tcBorders>
              <w:top w:val="single" w:color="000000" w:sz="2" w:space="0"/>
              <w:left w:val="single" w:color="000000" w:sz="2" w:space="0"/>
              <w:bottom w:val="single" w:color="000000" w:sz="2" w:space="0"/>
              <w:right w:val="single" w:color="auto" w:sz="4" w:space="0"/>
            </w:tcBorders>
            <w:noWrap/>
            <w:vAlign w:val="center"/>
          </w:tcPr>
          <w:p>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ind w:right="0"/>
              <w:jc w:val="center"/>
              <w:textAlignment w:val="baseline"/>
              <w:rPr>
                <w:rFonts w:hint="default" w:ascii="方正仿宋_GBK" w:eastAsia="方正仿宋_GBK" w:cs="方正仿宋_GBK"/>
                <w:color w:val="auto"/>
                <w:spacing w:val="0"/>
                <w:w w:val="100"/>
                <w:position w:val="0"/>
                <w:sz w:val="20"/>
                <w:szCs w:val="20"/>
                <w:lang w:val="en-US" w:eastAsia="zh-CN"/>
              </w:rPr>
            </w:pPr>
            <w:r>
              <w:rPr>
                <w:rFonts w:hint="eastAsia" w:ascii="方正仿宋_GBK" w:eastAsia="方正仿宋_GBK" w:cs="方正仿宋_GBK"/>
                <w:color w:val="auto"/>
                <w:spacing w:val="0"/>
                <w:w w:val="100"/>
                <w:position w:val="0"/>
                <w:sz w:val="20"/>
                <w:szCs w:val="20"/>
                <w:lang w:val="en-US" w:eastAsia="zh-CN"/>
              </w:rPr>
              <w:t>239</w:t>
            </w:r>
          </w:p>
        </w:tc>
        <w:tc>
          <w:tcPr>
            <w:tcW w:w="6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center"/>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667</w:t>
            </w:r>
          </w:p>
        </w:tc>
        <w:tc>
          <w:tcPr>
            <w:tcW w:w="2372"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b w:val="0"/>
                <w:bCs w:val="0"/>
                <w:color w:val="auto"/>
                <w:spacing w:val="0"/>
                <w:w w:val="100"/>
                <w:position w:val="0"/>
                <w:sz w:val="20"/>
                <w:szCs w:val="20"/>
              </w:rPr>
            </w:pPr>
            <w:r>
              <w:rPr>
                <w:rFonts w:hint="eastAsia" w:ascii="方正仿宋_GBK" w:eastAsia="方正仿宋_GBK" w:cs="方正仿宋_GBK"/>
                <w:b w:val="0"/>
                <w:bCs w:val="0"/>
                <w:color w:val="auto"/>
                <w:spacing w:val="0"/>
                <w:w w:val="100"/>
                <w:position w:val="0"/>
                <w:sz w:val="20"/>
                <w:szCs w:val="20"/>
              </w:rPr>
              <w:t>乡村建设规划许可</w:t>
            </w:r>
          </w:p>
        </w:tc>
        <w:tc>
          <w:tcPr>
            <w:tcW w:w="1463"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p>
        </w:tc>
        <w:tc>
          <w:tcPr>
            <w:tcW w:w="158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lang w:eastAsia="zh-CN"/>
              </w:rPr>
              <w:t>县</w:t>
            </w:r>
            <w:r>
              <w:rPr>
                <w:rFonts w:hint="eastAsia" w:ascii="方正仿宋_GBK" w:eastAsia="方正仿宋_GBK" w:cs="方正仿宋_GBK"/>
                <w:color w:val="auto"/>
                <w:spacing w:val="0"/>
                <w:w w:val="100"/>
                <w:position w:val="0"/>
                <w:sz w:val="20"/>
                <w:szCs w:val="20"/>
              </w:rPr>
              <w:t>自然资源</w:t>
            </w:r>
            <w:r>
              <w:rPr>
                <w:rFonts w:hint="eastAsia" w:ascii="方正仿宋_GBK" w:eastAsia="方正仿宋_GBK" w:cs="方正仿宋_GBK"/>
                <w:color w:val="auto"/>
                <w:spacing w:val="0"/>
                <w:w w:val="100"/>
                <w:position w:val="0"/>
                <w:sz w:val="20"/>
                <w:szCs w:val="20"/>
                <w:lang w:eastAsia="zh-CN"/>
              </w:rPr>
              <w:t>局</w:t>
            </w:r>
            <w:r>
              <w:rPr>
                <w:rFonts w:hint="eastAsia" w:ascii="方正仿宋_GBK" w:eastAsia="方正仿宋_GBK" w:cs="方正仿宋_GBK"/>
                <w:color w:val="auto"/>
                <w:spacing w:val="0"/>
                <w:w w:val="100"/>
                <w:position w:val="0"/>
                <w:sz w:val="20"/>
                <w:szCs w:val="20"/>
              </w:rPr>
              <w:t>，</w:t>
            </w:r>
            <w:r>
              <w:rPr>
                <w:rFonts w:hint="eastAsia" w:ascii="方正仿宋_GBK" w:eastAsia="方正仿宋_GBK" w:cs="方正仿宋_GBK"/>
                <w:color w:val="auto"/>
                <w:spacing w:val="0"/>
                <w:w w:val="100"/>
                <w:position w:val="0"/>
                <w:sz w:val="20"/>
                <w:szCs w:val="20"/>
                <w:lang w:eastAsia="zh-CN"/>
              </w:rPr>
              <w:t>乡、</w:t>
            </w:r>
            <w:r>
              <w:rPr>
                <w:rFonts w:hint="eastAsia" w:ascii="方正仿宋_GBK" w:eastAsia="方正仿宋_GBK" w:cs="方正仿宋_GBK"/>
                <w:color w:val="auto"/>
                <w:spacing w:val="0"/>
                <w:w w:val="100"/>
                <w:position w:val="0"/>
                <w:sz w:val="20"/>
                <w:szCs w:val="20"/>
              </w:rPr>
              <w:t>镇政府</w:t>
            </w:r>
          </w:p>
        </w:tc>
        <w:tc>
          <w:tcPr>
            <w:tcW w:w="3374" w:type="dxa"/>
            <w:vMerge w:val="restart"/>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《中华人民共和国城乡规划法》</w:t>
            </w:r>
          </w:p>
        </w:tc>
        <w:tc>
          <w:tcPr>
            <w:tcW w:w="4551" w:type="dxa"/>
            <w:tcBorders>
              <w:top w:val="single" w:color="auto" w:sz="4" w:space="0"/>
              <w:left w:val="single" w:color="auto" w:sz="4" w:space="0"/>
              <w:bottom w:val="single" w:color="auto" w:sz="4" w:space="0"/>
              <w:right w:val="single" w:color="auto" w:sz="4" w:space="0"/>
            </w:tcBorders>
            <w:noWrap/>
            <w:vAlign w:val="center"/>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《中华人民共和国城乡规划法》</w:t>
            </w:r>
          </w:p>
        </w:tc>
        <w:tc>
          <w:tcPr>
            <w:tcW w:w="170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val="0"/>
              <w:autoSpaceDN w:val="0"/>
              <w:bidi w:val="0"/>
              <w:adjustRightInd w:val="0"/>
              <w:spacing w:line="240" w:lineRule="exact"/>
              <w:ind w:left="0" w:right="0" w:firstLine="0"/>
              <w:jc w:val="both"/>
              <w:textAlignment w:val="baseline"/>
              <w:rPr>
                <w:rFonts w:hint="eastAsia" w:ascii="方正仿宋_GBK" w:eastAsia="方正仿宋_GBK" w:cs="方正仿宋_GBK"/>
                <w:color w:val="auto"/>
                <w:spacing w:val="0"/>
                <w:w w:val="100"/>
                <w:positio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tcPr>
          <w:p/>
        </w:tc>
        <w:tc>
          <w:tcPr>
            <w:tcW w:w="637" w:type="dxa"/>
            <w:vMerge w:val="continue"/>
            <w:tcBorders>
              <w:top w:val="single" w:color="auto" w:sz="4" w:space="0"/>
              <w:left w:val="single" w:color="auto" w:sz="4" w:space="0"/>
              <w:bottom w:val="single" w:color="auto" w:sz="4" w:space="0"/>
              <w:right w:val="single" w:color="auto" w:sz="4" w:space="0"/>
            </w:tcBorders>
            <w:noWrap/>
          </w:tcPr>
          <w:p/>
        </w:tc>
        <w:tc>
          <w:tcPr>
            <w:tcW w:w="2372" w:type="dxa"/>
            <w:vMerge w:val="continue"/>
            <w:tcBorders>
              <w:top w:val="single" w:color="auto" w:sz="4" w:space="0"/>
              <w:left w:val="single" w:color="auto" w:sz="4" w:space="0"/>
              <w:bottom w:val="single" w:color="auto" w:sz="4" w:space="0"/>
              <w:right w:val="single" w:color="auto" w:sz="4" w:space="0"/>
            </w:tcBorders>
            <w:noWrap/>
          </w:tcPr>
          <w:p/>
        </w:tc>
        <w:tc>
          <w:tcPr>
            <w:tcW w:w="1463" w:type="dxa"/>
            <w:vMerge w:val="continue"/>
            <w:tcBorders>
              <w:top w:val="single" w:color="auto" w:sz="4" w:space="0"/>
              <w:left w:val="single" w:color="auto" w:sz="4" w:space="0"/>
              <w:bottom w:val="single" w:color="auto" w:sz="4" w:space="0"/>
              <w:right w:val="single" w:color="auto" w:sz="4" w:space="0"/>
            </w:tcBorders>
            <w:noWrap/>
          </w:tcPr>
          <w:p/>
        </w:tc>
        <w:tc>
          <w:tcPr>
            <w:tcW w:w="1584" w:type="dxa"/>
            <w:vMerge w:val="continue"/>
            <w:tcBorders>
              <w:top w:val="single" w:color="auto" w:sz="4" w:space="0"/>
              <w:left w:val="single" w:color="auto" w:sz="4" w:space="0"/>
              <w:bottom w:val="single" w:color="auto" w:sz="4" w:space="0"/>
              <w:right w:val="single" w:color="auto" w:sz="4" w:space="0"/>
            </w:tcBorders>
            <w:noWrap/>
          </w:tcPr>
          <w:p/>
        </w:tc>
        <w:tc>
          <w:tcPr>
            <w:tcW w:w="3374" w:type="dxa"/>
            <w:vMerge w:val="continue"/>
            <w:tcBorders>
              <w:top w:val="single" w:color="auto" w:sz="4" w:space="0"/>
              <w:left w:val="single" w:color="auto" w:sz="4" w:space="0"/>
              <w:bottom w:val="single" w:color="auto" w:sz="4" w:space="0"/>
              <w:right w:val="single" w:color="auto" w:sz="4" w:space="0"/>
            </w:tcBorders>
            <w:noWrap/>
          </w:tcPr>
          <w:p/>
        </w:tc>
        <w:tc>
          <w:tcPr>
            <w:tcW w:w="4551" w:type="dxa"/>
            <w:tcBorders>
              <w:top w:val="single" w:color="auto" w:sz="4" w:space="0"/>
              <w:left w:val="single" w:color="auto" w:sz="4" w:space="0"/>
              <w:bottom w:val="single" w:color="auto" w:sz="4" w:space="0"/>
              <w:right w:val="single" w:color="auto" w:sz="4" w:space="0"/>
            </w:tcBorders>
            <w:noWrap/>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《四川省城乡规划条例》</w:t>
            </w:r>
          </w:p>
        </w:tc>
        <w:tc>
          <w:tcPr>
            <w:tcW w:w="1701" w:type="dxa"/>
            <w:vMerge w:val="continue"/>
            <w:tcBorders>
              <w:top w:val="single" w:color="auto" w:sz="4" w:space="0"/>
              <w:left w:val="single" w:color="auto" w:sz="4" w:space="0"/>
              <w:bottom w:val="nil"/>
              <w:right w:val="single" w:color="auto" w:sz="4" w:space="0"/>
            </w:tcBorders>
            <w:noWrap/>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71" w:type="dxa"/>
            <w:vMerge w:val="continue"/>
            <w:tcBorders>
              <w:top w:val="single" w:color="000000" w:sz="2" w:space="0"/>
              <w:left w:val="single" w:color="000000" w:sz="2" w:space="0"/>
              <w:bottom w:val="single" w:color="000000" w:sz="2" w:space="0"/>
              <w:right w:val="single" w:color="auto" w:sz="4" w:space="0"/>
            </w:tcBorders>
            <w:noWrap/>
          </w:tcPr>
          <w:p/>
        </w:tc>
        <w:tc>
          <w:tcPr>
            <w:tcW w:w="637" w:type="dxa"/>
            <w:vMerge w:val="continue"/>
            <w:tcBorders>
              <w:top w:val="single" w:color="auto" w:sz="4" w:space="0"/>
              <w:left w:val="single" w:color="auto" w:sz="4" w:space="0"/>
              <w:bottom w:val="single" w:color="000000" w:sz="2" w:space="0"/>
              <w:right w:val="single" w:color="000000" w:sz="2" w:space="0"/>
            </w:tcBorders>
            <w:noWrap/>
          </w:tcPr>
          <w:p/>
        </w:tc>
        <w:tc>
          <w:tcPr>
            <w:tcW w:w="2372" w:type="dxa"/>
            <w:vMerge w:val="continue"/>
            <w:tcBorders>
              <w:top w:val="single" w:color="auto" w:sz="4" w:space="0"/>
              <w:left w:val="single" w:color="000000" w:sz="2" w:space="0"/>
              <w:bottom w:val="single" w:color="000000" w:sz="2" w:space="0"/>
              <w:right w:val="single" w:color="000000" w:sz="2" w:space="0"/>
            </w:tcBorders>
            <w:noWrap/>
          </w:tcPr>
          <w:p/>
        </w:tc>
        <w:tc>
          <w:tcPr>
            <w:tcW w:w="1463" w:type="dxa"/>
            <w:vMerge w:val="continue"/>
            <w:tcBorders>
              <w:top w:val="single" w:color="auto" w:sz="4" w:space="0"/>
              <w:left w:val="single" w:color="000000" w:sz="2" w:space="0"/>
              <w:bottom w:val="single" w:color="000000" w:sz="2" w:space="0"/>
              <w:right w:val="single" w:color="000000" w:sz="2" w:space="0"/>
            </w:tcBorders>
            <w:noWrap/>
          </w:tcPr>
          <w:p/>
        </w:tc>
        <w:tc>
          <w:tcPr>
            <w:tcW w:w="1584" w:type="dxa"/>
            <w:vMerge w:val="continue"/>
            <w:tcBorders>
              <w:top w:val="single" w:color="auto" w:sz="4" w:space="0"/>
              <w:left w:val="single" w:color="000000" w:sz="2" w:space="0"/>
              <w:bottom w:val="single" w:color="000000" w:sz="2" w:space="0"/>
              <w:right w:val="single" w:color="000000" w:sz="2" w:space="0"/>
            </w:tcBorders>
            <w:noWrap/>
          </w:tcPr>
          <w:p/>
        </w:tc>
        <w:tc>
          <w:tcPr>
            <w:tcW w:w="3374" w:type="dxa"/>
            <w:vMerge w:val="continue"/>
            <w:tcBorders>
              <w:top w:val="single" w:color="auto" w:sz="4" w:space="0"/>
              <w:left w:val="single" w:color="000000" w:sz="2" w:space="0"/>
              <w:bottom w:val="single" w:color="000000" w:sz="2" w:space="0"/>
              <w:right w:val="single" w:color="000000" w:sz="2" w:space="0"/>
            </w:tcBorders>
            <w:noWrap/>
          </w:tcPr>
          <w:p/>
        </w:tc>
        <w:tc>
          <w:tcPr>
            <w:tcW w:w="4551" w:type="dxa"/>
            <w:tcBorders>
              <w:top w:val="single" w:color="auto" w:sz="4" w:space="0"/>
              <w:left w:val="single" w:color="000000" w:sz="2" w:space="0"/>
              <w:bottom w:val="single" w:color="000000" w:sz="2" w:space="0"/>
              <w:right w:val="single" w:color="000000" w:sz="2" w:space="0"/>
            </w:tcBorders>
            <w:noWrap/>
          </w:tcPr>
          <w:p>
            <w:pPr>
              <w:pStyle w:val="14"/>
              <w:keepNext w:val="0"/>
              <w:keepLines w:val="0"/>
              <w:pageBreakBefore w:val="0"/>
              <w:widowControl/>
              <w:kinsoku/>
              <w:wordWrap/>
              <w:overflowPunct/>
              <w:topLinePunct w:val="0"/>
              <w:autoSpaceDE w:val="0"/>
              <w:autoSpaceDN w:val="0"/>
              <w:bidi w:val="0"/>
              <w:adjustRightInd w:val="0"/>
              <w:spacing w:line="240" w:lineRule="exact"/>
              <w:ind w:left="0" w:right="0" w:firstLine="0"/>
              <w:textAlignment w:val="baseline"/>
              <w:rPr>
                <w:rFonts w:hint="eastAsia" w:ascii="方正仿宋_GBK" w:eastAsia="方正仿宋_GBK" w:cs="方正仿宋_GBK"/>
                <w:color w:val="auto"/>
                <w:spacing w:val="0"/>
                <w:w w:val="100"/>
                <w:position w:val="0"/>
                <w:sz w:val="20"/>
                <w:szCs w:val="20"/>
              </w:rPr>
            </w:pPr>
            <w:r>
              <w:rPr>
                <w:rFonts w:hint="eastAsia" w:ascii="方正仿宋_GBK" w:eastAsia="方正仿宋_GBK" w:cs="方正仿宋_GBK"/>
                <w:color w:val="auto"/>
                <w:spacing w:val="0"/>
                <w:w w:val="100"/>
                <w:position w:val="0"/>
                <w:sz w:val="20"/>
                <w:szCs w:val="20"/>
              </w:rPr>
              <w:t>《四川省农村住房建设管理办法》</w:t>
            </w:r>
          </w:p>
        </w:tc>
        <w:tc>
          <w:tcPr>
            <w:tcW w:w="1701" w:type="dxa"/>
            <w:vMerge w:val="continue"/>
            <w:tcBorders>
              <w:top w:val="nil"/>
              <w:left w:val="single" w:color="000000" w:sz="2" w:space="0"/>
              <w:bottom w:val="single" w:color="000000" w:sz="2" w:space="0"/>
              <w:right w:val="single" w:color="auto" w:sz="4" w:space="0"/>
            </w:tcBorders>
            <w:noWrap/>
          </w:tcPr>
          <w:p/>
        </w:tc>
      </w:tr>
    </w:tbl>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Times New Roman" w:hAnsi="Times New Roman" w:eastAsia="方正黑体_GBK" w:cs="黑体"/>
          <w:color w:val="auto"/>
          <w:spacing w:val="-1"/>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Times New Roman" w:hAnsi="Times New Roman" w:eastAsia="方正黑体_GBK" w:cs="黑体"/>
          <w:color w:val="auto"/>
          <w:spacing w:val="-1"/>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黑体"/>
          <w:color w:val="auto"/>
          <w:lang w:eastAsia="zh-CN"/>
        </w:rPr>
      </w:pPr>
      <w:r>
        <w:rPr>
          <w:rFonts w:ascii="Times New Roman" w:hAnsi="Times New Roman" w:eastAsia="方正黑体_GBK" w:cs="黑体"/>
          <w:color w:val="auto"/>
          <w:spacing w:val="-1"/>
          <w:sz w:val="28"/>
          <w:szCs w:val="28"/>
        </w:rPr>
        <w:t>二、省级地方性法规、省政府规章设定的行政许可事项</w:t>
      </w:r>
    </w:p>
    <w:tbl>
      <w:tblPr>
        <w:tblStyle w:val="9"/>
        <w:tblW w:w="55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6"/>
        <w:gridCol w:w="3441"/>
        <w:gridCol w:w="1424"/>
        <w:gridCol w:w="1942"/>
        <w:gridCol w:w="3872"/>
        <w:gridCol w:w="3046"/>
        <w:gridCol w:w="11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3" w:hRule="atLeast"/>
          <w:jc w:val="center"/>
        </w:trPr>
        <w:tc>
          <w:tcPr>
            <w:tcW w:w="576"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黑体" w:eastAsia="黑体" w:cs="黑体"/>
                <w:color w:val="auto"/>
                <w:sz w:val="19"/>
                <w:szCs w:val="19"/>
              </w:rPr>
            </w:pPr>
            <w:r>
              <w:rPr>
                <w:rFonts w:ascii="Times New Roman" w:hAnsi="Times New Roman" w:eastAsia="方正黑体_GBK" w:cs="黑体"/>
                <w:color w:val="auto"/>
                <w:spacing w:val="5"/>
                <w:sz w:val="19"/>
                <w:szCs w:val="19"/>
              </w:rPr>
              <w:t>序号</w:t>
            </w:r>
          </w:p>
        </w:tc>
        <w:tc>
          <w:tcPr>
            <w:tcW w:w="3440"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黑体" w:eastAsia="黑体" w:cs="黑体"/>
                <w:color w:val="auto"/>
                <w:sz w:val="19"/>
                <w:szCs w:val="19"/>
              </w:rPr>
            </w:pPr>
            <w:r>
              <w:rPr>
                <w:rFonts w:ascii="Times New Roman" w:hAnsi="Times New Roman" w:eastAsia="方正黑体_GBK" w:cs="黑体"/>
                <w:color w:val="auto"/>
                <w:spacing w:val="6"/>
                <w:sz w:val="19"/>
                <w:szCs w:val="19"/>
              </w:rPr>
              <w:t>事项名称</w:t>
            </w:r>
          </w:p>
        </w:tc>
        <w:tc>
          <w:tcPr>
            <w:tcW w:w="1424"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黑体" w:eastAsia="黑体" w:cs="黑体"/>
                <w:color w:val="auto"/>
                <w:sz w:val="19"/>
                <w:szCs w:val="19"/>
              </w:rPr>
            </w:pPr>
            <w:r>
              <w:rPr>
                <w:rFonts w:ascii="Times New Roman" w:hAnsi="Times New Roman" w:eastAsia="方正黑体_GBK" w:cs="黑体"/>
                <w:color w:val="auto"/>
                <w:spacing w:val="7"/>
                <w:sz w:val="19"/>
                <w:szCs w:val="19"/>
              </w:rPr>
              <w:t>主管部门</w:t>
            </w:r>
          </w:p>
        </w:tc>
        <w:tc>
          <w:tcPr>
            <w:tcW w:w="194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黑体" w:eastAsia="黑体" w:cs="黑体"/>
                <w:color w:val="auto"/>
                <w:sz w:val="19"/>
                <w:szCs w:val="19"/>
              </w:rPr>
            </w:pPr>
            <w:r>
              <w:rPr>
                <w:rFonts w:ascii="Times New Roman" w:hAnsi="Times New Roman" w:eastAsia="方正黑体_GBK" w:cs="黑体"/>
                <w:color w:val="auto"/>
                <w:spacing w:val="6"/>
                <w:sz w:val="19"/>
                <w:szCs w:val="19"/>
              </w:rPr>
              <w:t>实施机关</w:t>
            </w:r>
          </w:p>
        </w:tc>
        <w:tc>
          <w:tcPr>
            <w:tcW w:w="3871"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黑体" w:eastAsia="黑体" w:cs="黑体"/>
                <w:color w:val="auto"/>
                <w:sz w:val="19"/>
                <w:szCs w:val="19"/>
              </w:rPr>
            </w:pPr>
            <w:r>
              <w:rPr>
                <w:rFonts w:ascii="Times New Roman" w:hAnsi="Times New Roman" w:eastAsia="方正黑体_GBK" w:cs="黑体"/>
                <w:color w:val="auto"/>
                <w:spacing w:val="7"/>
                <w:sz w:val="19"/>
                <w:szCs w:val="19"/>
              </w:rPr>
              <w:t>设定依据</w:t>
            </w:r>
          </w:p>
        </w:tc>
        <w:tc>
          <w:tcPr>
            <w:tcW w:w="3045"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黑体" w:eastAsia="黑体" w:cs="黑体"/>
                <w:color w:val="auto"/>
                <w:sz w:val="19"/>
                <w:szCs w:val="19"/>
              </w:rPr>
            </w:pPr>
            <w:r>
              <w:rPr>
                <w:rFonts w:ascii="Times New Roman" w:hAnsi="Times New Roman" w:eastAsia="方正黑体_GBK" w:cs="黑体"/>
                <w:color w:val="auto"/>
                <w:spacing w:val="6"/>
                <w:sz w:val="19"/>
                <w:szCs w:val="19"/>
              </w:rPr>
              <w:t>实施依据</w:t>
            </w:r>
          </w:p>
        </w:tc>
        <w:tc>
          <w:tcPr>
            <w:tcW w:w="1132"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黑体" w:eastAsia="黑体" w:cs="黑体"/>
                <w:color w:val="auto"/>
                <w:sz w:val="19"/>
                <w:szCs w:val="19"/>
              </w:rPr>
            </w:pPr>
            <w:r>
              <w:rPr>
                <w:rFonts w:ascii="Times New Roman" w:hAnsi="Times New Roman" w:eastAsia="方正黑体_GBK" w:cs="黑体"/>
                <w:color w:val="auto"/>
                <w:spacing w:val="5"/>
                <w:sz w:val="19"/>
                <w:szCs w:val="19"/>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3" w:hRule="atLeast"/>
          <w:jc w:val="center"/>
        </w:trPr>
        <w:tc>
          <w:tcPr>
            <w:tcW w:w="576"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Times New Roman" w:cs="Times New Roman"/>
                <w:color w:val="auto"/>
                <w:sz w:val="19"/>
                <w:szCs w:val="19"/>
              </w:rPr>
            </w:pPr>
            <w:r>
              <w:rPr>
                <w:rFonts w:ascii="Times New Roman" w:hAnsi="Times New Roman" w:eastAsia="Times New Roman" w:cs="Times New Roman"/>
                <w:color w:val="auto"/>
                <w:sz w:val="19"/>
                <w:szCs w:val="19"/>
              </w:rPr>
              <w:t>1</w:t>
            </w:r>
          </w:p>
        </w:tc>
        <w:tc>
          <w:tcPr>
            <w:tcW w:w="3440"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8"/>
              </w:rPr>
              <w:t>天然水域鱼类资源的人</w:t>
            </w:r>
            <w:r>
              <w:rPr>
                <w:rFonts w:ascii="Times New Roman" w:hAnsi="Times New Roman" w:eastAsia="方正仿宋_GBK"/>
                <w:color w:val="auto"/>
                <w:spacing w:val="7"/>
              </w:rPr>
              <w:t>工增殖放流审批</w:t>
            </w:r>
          </w:p>
        </w:tc>
        <w:tc>
          <w:tcPr>
            <w:tcW w:w="1424"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eastAsia="方正仿宋_GBK"/>
                <w:color w:val="auto"/>
                <w:lang w:eastAsia="zh-CN"/>
              </w:rPr>
            </w:pPr>
            <w:r>
              <w:rPr>
                <w:rFonts w:hint="eastAsia" w:ascii="Times New Roman" w:hAnsi="Times New Roman" w:eastAsia="方正仿宋_GBK"/>
                <w:color w:val="auto"/>
                <w:spacing w:val="6"/>
                <w:lang w:eastAsia="zh-CN"/>
              </w:rPr>
              <w:t>县科技农畜水局</w:t>
            </w:r>
          </w:p>
        </w:tc>
        <w:tc>
          <w:tcPr>
            <w:tcW w:w="1941" w:type="dxa"/>
            <w:vMerge w:val="restart"/>
            <w:tcBorders>
              <w:top w:val="single" w:color="000000" w:sz="2" w:space="0"/>
              <w:left w:val="single" w:color="000000" w:sz="2" w:space="0"/>
              <w:bottom w:val="nil"/>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hint="eastAsia" w:ascii="Times New Roman" w:hAnsi="Times New Roman" w:eastAsia="方正仿宋_GBK"/>
                <w:color w:val="auto"/>
                <w:spacing w:val="6"/>
                <w:lang w:eastAsia="zh-CN"/>
              </w:rPr>
              <w:t>县科技农畜水局</w:t>
            </w:r>
          </w:p>
        </w:tc>
        <w:tc>
          <w:tcPr>
            <w:tcW w:w="387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8"/>
              </w:rPr>
              <w:t>《中华人民共和国野生动物保护法》</w:t>
            </w:r>
          </w:p>
        </w:tc>
        <w:tc>
          <w:tcPr>
            <w:tcW w:w="3045"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8"/>
              </w:rPr>
              <w:t>《长江水生生物保护管理规定》</w:t>
            </w:r>
          </w:p>
        </w:tc>
        <w:tc>
          <w:tcPr>
            <w:tcW w:w="1132" w:type="dxa"/>
            <w:vMerge w:val="restart"/>
            <w:tcBorders>
              <w:top w:val="single" w:color="000000" w:sz="2" w:space="0"/>
              <w:left w:val="single" w:color="000000" w:sz="2" w:space="0"/>
              <w:bottom w:val="nil"/>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ascii="Arial" w:hAns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3" w:hRule="atLeast"/>
          <w:jc w:val="center"/>
        </w:trPr>
        <w:tc>
          <w:tcPr>
            <w:tcW w:w="576" w:type="dxa"/>
            <w:vMerge w:val="continue"/>
            <w:tcBorders>
              <w:top w:val="nil"/>
              <w:left w:val="single" w:color="000000" w:sz="2" w:space="0"/>
              <w:bottom w:val="single" w:color="000000" w:sz="2" w:space="0"/>
              <w:right w:val="single" w:color="000000" w:sz="2" w:space="0"/>
            </w:tcBorders>
            <w:noWrap/>
            <w:vAlign w:val="center"/>
          </w:tcPr>
          <w:p/>
        </w:tc>
        <w:tc>
          <w:tcPr>
            <w:tcW w:w="3440" w:type="dxa"/>
            <w:vMerge w:val="continue"/>
            <w:tcBorders>
              <w:top w:val="nil"/>
              <w:left w:val="single" w:color="000000" w:sz="2" w:space="0"/>
              <w:bottom w:val="single" w:color="000000" w:sz="2" w:space="0"/>
              <w:right w:val="single" w:color="000000" w:sz="2" w:space="0"/>
            </w:tcBorders>
            <w:noWrap/>
            <w:vAlign w:val="center"/>
          </w:tcPr>
          <w:p/>
        </w:tc>
        <w:tc>
          <w:tcPr>
            <w:tcW w:w="1424" w:type="dxa"/>
            <w:vMerge w:val="continue"/>
            <w:tcBorders>
              <w:top w:val="nil"/>
              <w:left w:val="single" w:color="000000" w:sz="2" w:space="0"/>
              <w:bottom w:val="single" w:color="000000" w:sz="2" w:space="0"/>
              <w:right w:val="single" w:color="000000" w:sz="2" w:space="0"/>
            </w:tcBorders>
            <w:noWrap/>
            <w:vAlign w:val="center"/>
          </w:tcPr>
          <w:p/>
        </w:tc>
        <w:tc>
          <w:tcPr>
            <w:tcW w:w="1941" w:type="dxa"/>
            <w:vMerge w:val="continue"/>
            <w:tcBorders>
              <w:top w:val="nil"/>
              <w:left w:val="single" w:color="000000" w:sz="2" w:space="0"/>
              <w:bottom w:val="single" w:color="000000" w:sz="2" w:space="0"/>
              <w:right w:val="single" w:color="000000" w:sz="2" w:space="0"/>
            </w:tcBorders>
            <w:noWrap/>
            <w:vAlign w:val="center"/>
          </w:tcPr>
          <w:p/>
        </w:tc>
        <w:tc>
          <w:tcPr>
            <w:tcW w:w="387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7"/>
              </w:rPr>
              <w:t>《四川省〈中华人民共和国渔业法〉实施办法》</w:t>
            </w:r>
          </w:p>
        </w:tc>
        <w:tc>
          <w:tcPr>
            <w:tcW w:w="3045"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8"/>
              </w:rPr>
              <w:t>《水生生物增殖放流管理规定》</w:t>
            </w:r>
          </w:p>
        </w:tc>
        <w:tc>
          <w:tcPr>
            <w:tcW w:w="1132" w:type="dxa"/>
            <w:vMerge w:val="continue"/>
            <w:tcBorders>
              <w:top w:val="nil"/>
              <w:left w:val="single" w:color="000000" w:sz="2" w:space="0"/>
              <w:bottom w:val="single" w:color="000000" w:sz="2" w:space="0"/>
              <w:right w:val="single" w:color="000000" w:sz="2" w:space="0"/>
            </w:tcBorders>
            <w:noWrap/>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3" w:hRule="atLeast"/>
          <w:jc w:val="center"/>
        </w:trPr>
        <w:tc>
          <w:tcPr>
            <w:tcW w:w="576"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Times New Roman" w:cs="Times New Roman"/>
                <w:color w:val="auto"/>
                <w:sz w:val="19"/>
                <w:szCs w:val="19"/>
              </w:rPr>
            </w:pPr>
            <w:r>
              <w:rPr>
                <w:rFonts w:ascii="Times New Roman" w:hAnsi="Times New Roman" w:eastAsia="Times New Roman" w:cs="Times New Roman"/>
                <w:color w:val="auto"/>
                <w:sz w:val="19"/>
                <w:szCs w:val="19"/>
              </w:rPr>
              <w:t>2</w:t>
            </w:r>
          </w:p>
        </w:tc>
        <w:tc>
          <w:tcPr>
            <w:tcW w:w="3440"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8"/>
              </w:rPr>
              <w:t>新建或迁建农村机电提</w:t>
            </w:r>
            <w:r>
              <w:rPr>
                <w:rFonts w:ascii="Times New Roman" w:hAnsi="Times New Roman" w:eastAsia="方正仿宋_GBK"/>
                <w:color w:val="auto"/>
                <w:spacing w:val="5"/>
              </w:rPr>
              <w:t>灌站审批</w:t>
            </w:r>
          </w:p>
        </w:tc>
        <w:tc>
          <w:tcPr>
            <w:tcW w:w="142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hint="eastAsia" w:ascii="Times New Roman" w:hAnsi="Times New Roman" w:eastAsia="方正仿宋_GBK"/>
                <w:color w:val="auto"/>
                <w:spacing w:val="6"/>
                <w:lang w:eastAsia="zh-CN"/>
              </w:rPr>
              <w:t>县科技农畜水局</w:t>
            </w:r>
          </w:p>
        </w:tc>
        <w:tc>
          <w:tcPr>
            <w:tcW w:w="194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hint="eastAsia" w:ascii="Times New Roman" w:hAnsi="Times New Roman" w:eastAsia="方正仿宋_GBK"/>
                <w:color w:val="auto"/>
                <w:spacing w:val="6"/>
                <w:lang w:eastAsia="zh-CN"/>
              </w:rPr>
              <w:t>县科技农畜水局</w:t>
            </w:r>
          </w:p>
        </w:tc>
        <w:tc>
          <w:tcPr>
            <w:tcW w:w="387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8"/>
              </w:rPr>
              <w:t>《四川省农村机电提灌管理条例》</w:t>
            </w:r>
          </w:p>
        </w:tc>
        <w:tc>
          <w:tcPr>
            <w:tcW w:w="3045"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8"/>
              </w:rPr>
              <w:t>《四川省农村机电提灌管理条例》</w:t>
            </w:r>
          </w:p>
        </w:tc>
        <w:tc>
          <w:tcPr>
            <w:tcW w:w="1132"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ascii="Arial" w:hAns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3" w:hRule="atLeast"/>
          <w:jc w:val="center"/>
        </w:trPr>
        <w:tc>
          <w:tcPr>
            <w:tcW w:w="576"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Times New Roman" w:cs="Times New Roman"/>
                <w:color w:val="auto"/>
                <w:sz w:val="19"/>
                <w:szCs w:val="19"/>
              </w:rPr>
            </w:pPr>
            <w:r>
              <w:rPr>
                <w:rFonts w:ascii="Times New Roman" w:hAnsi="Times New Roman" w:eastAsia="Times New Roman" w:cs="Times New Roman"/>
                <w:color w:val="auto"/>
                <w:sz w:val="19"/>
                <w:szCs w:val="19"/>
              </w:rPr>
              <w:t>3</w:t>
            </w:r>
          </w:p>
        </w:tc>
        <w:tc>
          <w:tcPr>
            <w:tcW w:w="3440"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8"/>
              </w:rPr>
              <w:t>食品小作坊生产许可</w:t>
            </w:r>
          </w:p>
        </w:tc>
        <w:tc>
          <w:tcPr>
            <w:tcW w:w="142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hint="eastAsia" w:ascii="Times New Roman" w:hAnsi="Times New Roman" w:eastAsia="方正仿宋_GBK"/>
                <w:color w:val="auto"/>
                <w:spacing w:val="7"/>
                <w:lang w:eastAsia="zh-CN"/>
              </w:rPr>
              <w:t>县</w:t>
            </w:r>
            <w:r>
              <w:rPr>
                <w:rFonts w:ascii="Times New Roman" w:hAnsi="Times New Roman" w:eastAsia="方正仿宋_GBK"/>
                <w:color w:val="auto"/>
                <w:spacing w:val="7"/>
              </w:rPr>
              <w:t>市场监管局</w:t>
            </w:r>
          </w:p>
        </w:tc>
        <w:tc>
          <w:tcPr>
            <w:tcW w:w="194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eastAsia="方正仿宋_GBK"/>
                <w:color w:val="auto"/>
                <w:lang w:eastAsia="zh-CN"/>
              </w:rPr>
            </w:pPr>
            <w:r>
              <w:rPr>
                <w:rFonts w:ascii="Times New Roman" w:hAnsi="Times New Roman" w:eastAsia="方正仿宋_GBK"/>
                <w:color w:val="auto"/>
                <w:spacing w:val="7"/>
              </w:rPr>
              <w:t>县市场监管</w:t>
            </w:r>
            <w:r>
              <w:rPr>
                <w:rFonts w:hint="eastAsia" w:ascii="Times New Roman" w:hAnsi="Times New Roman" w:eastAsia="方正仿宋_GBK"/>
                <w:color w:val="auto"/>
                <w:spacing w:val="7"/>
                <w:lang w:eastAsia="zh-CN"/>
              </w:rPr>
              <w:t>局</w:t>
            </w:r>
          </w:p>
        </w:tc>
        <w:tc>
          <w:tcPr>
            <w:tcW w:w="387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7"/>
              </w:rPr>
              <w:t>《四川省食品安全条例》</w:t>
            </w:r>
          </w:p>
        </w:tc>
        <w:tc>
          <w:tcPr>
            <w:tcW w:w="3045"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7"/>
              </w:rPr>
              <w:t>《四川省食品安全条例》</w:t>
            </w:r>
          </w:p>
        </w:tc>
        <w:tc>
          <w:tcPr>
            <w:tcW w:w="1132"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ascii="Arial" w:hAns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3" w:hRule="atLeast"/>
          <w:jc w:val="center"/>
        </w:trPr>
        <w:tc>
          <w:tcPr>
            <w:tcW w:w="576"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Times New Roman" w:cs="Times New Roman"/>
                <w:color w:val="auto"/>
                <w:sz w:val="19"/>
                <w:szCs w:val="19"/>
              </w:rPr>
            </w:pPr>
            <w:r>
              <w:rPr>
                <w:rFonts w:ascii="Times New Roman" w:hAnsi="Times New Roman" w:eastAsia="Times New Roman" w:cs="Times New Roman"/>
                <w:color w:val="auto"/>
                <w:spacing w:val="1"/>
                <w:sz w:val="19"/>
                <w:szCs w:val="19"/>
              </w:rPr>
              <w:t>4</w:t>
            </w:r>
          </w:p>
        </w:tc>
        <w:tc>
          <w:tcPr>
            <w:tcW w:w="3440"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8"/>
              </w:rPr>
              <w:t>世界自然遗产地、世界自然遗产地缓冲区建设项目影响评估报告审核</w:t>
            </w:r>
          </w:p>
        </w:tc>
        <w:tc>
          <w:tcPr>
            <w:tcW w:w="1424"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hint="eastAsia" w:ascii="Times New Roman" w:hAnsi="Times New Roman" w:eastAsia="方正仿宋_GBK"/>
                <w:color w:val="auto"/>
                <w:spacing w:val="6"/>
                <w:lang w:eastAsia="zh-CN"/>
              </w:rPr>
              <w:t>县</w:t>
            </w:r>
            <w:r>
              <w:rPr>
                <w:rFonts w:ascii="Times New Roman" w:hAnsi="Times New Roman" w:eastAsia="方正仿宋_GBK"/>
                <w:color w:val="auto"/>
                <w:spacing w:val="6"/>
              </w:rPr>
              <w:t>林草局</w:t>
            </w:r>
          </w:p>
        </w:tc>
        <w:tc>
          <w:tcPr>
            <w:tcW w:w="194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hint="eastAsia" w:ascii="Times New Roman" w:hAnsi="Times New Roman" w:eastAsia="方正仿宋_GBK"/>
                <w:color w:val="auto"/>
                <w:spacing w:val="8"/>
                <w:lang w:eastAsia="zh-CN"/>
              </w:rPr>
              <w:t>县林草局</w:t>
            </w:r>
          </w:p>
        </w:tc>
        <w:tc>
          <w:tcPr>
            <w:tcW w:w="3871"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8"/>
              </w:rPr>
              <w:t>《四川省世界遗产保护条例》</w:t>
            </w:r>
          </w:p>
        </w:tc>
        <w:tc>
          <w:tcPr>
            <w:tcW w:w="3045" w:type="dxa"/>
            <w:tcBorders>
              <w:top w:val="single" w:color="000000" w:sz="2" w:space="0"/>
              <w:left w:val="single" w:color="000000" w:sz="2" w:space="0"/>
              <w:bottom w:val="single" w:color="000000" w:sz="2" w:space="0"/>
              <w:right w:val="single" w:color="000000" w:sz="2" w:space="0"/>
            </w:tcBorders>
            <w:noWrap/>
            <w:vAlign w:val="center"/>
          </w:tcPr>
          <w:p>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color w:val="auto"/>
              </w:rPr>
            </w:pPr>
            <w:r>
              <w:rPr>
                <w:rFonts w:ascii="Times New Roman" w:hAnsi="Times New Roman" w:eastAsia="方正仿宋_GBK"/>
                <w:color w:val="auto"/>
                <w:spacing w:val="8"/>
              </w:rPr>
              <w:t>《四川省世界遗产保护条例》</w:t>
            </w:r>
          </w:p>
        </w:tc>
        <w:tc>
          <w:tcPr>
            <w:tcW w:w="1132" w:type="dxa"/>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ascii="Arial" w:hAns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83" w:hRule="atLeast"/>
          <w:jc w:val="center"/>
        </w:trPr>
        <w:tc>
          <w:tcPr>
            <w:tcW w:w="15429" w:type="dxa"/>
            <w:gridSpan w:val="7"/>
            <w:tcBorders>
              <w:top w:val="single" w:color="000000" w:sz="2" w:space="0"/>
              <w:left w:val="single" w:color="000000" w:sz="2" w:space="0"/>
              <w:bottom w:val="single" w:color="000000" w:sz="2" w:space="0"/>
              <w:right w:val="single" w:color="000000" w:sz="2" w:space="0"/>
            </w:tcBorders>
            <w:noWrap/>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ascii="Arial" w:hAnsi="Arial"/>
                <w:color w:val="auto"/>
                <w:sz w:val="21"/>
              </w:rPr>
            </w:pPr>
            <w:r>
              <w:rPr>
                <w:rStyle w:val="16"/>
                <w:rFonts w:hint="default" w:ascii="Times New Roman" w:hAnsi="Times New Roman" w:eastAsia="方正仿宋_GBK" w:cs="Times New Roman"/>
                <w:color w:val="auto"/>
                <w:sz w:val="21"/>
                <w:szCs w:val="21"/>
                <w:lang w:val="en-US" w:eastAsia="zh-CN" w:bidi="ar"/>
              </w:rPr>
              <w:t>备注：本清单所列行政许可事项均为承接《法律、行政法规、四川省人民政府决定设定的行政许可事项清单（</w:t>
            </w:r>
            <w:r>
              <w:rPr>
                <w:rStyle w:val="17"/>
                <w:rFonts w:hint="default" w:ascii="Times New Roman" w:hAnsi="Times New Roman" w:eastAsia="方正仿宋_GBK" w:cs="Times New Roman"/>
                <w:color w:val="auto"/>
                <w:sz w:val="21"/>
                <w:szCs w:val="21"/>
                <w:lang w:val="en-US" w:eastAsia="zh-CN" w:bidi="ar"/>
              </w:rPr>
              <w:t>2025年版）》中的行政许可事项，根据上级清单及实际情况动态调整。</w:t>
            </w:r>
          </w:p>
        </w:tc>
      </w:tr>
    </w:tbl>
    <w:p>
      <w:pPr>
        <w:spacing w:line="242" w:lineRule="auto"/>
        <w:rPr>
          <w:rFonts w:hint="eastAsia" w:ascii="Arial" w:hAnsi="Arial" w:eastAsia="宋体"/>
          <w:color w:val="auto"/>
          <w:sz w:val="21"/>
          <w:lang w:eastAsia="zh-CN"/>
        </w:rPr>
      </w:pPr>
    </w:p>
    <w:p>
      <w:bookmarkStart w:id="0" w:name="_GoBack"/>
      <w:bookmarkEnd w:id="0"/>
    </w:p>
    <w:sectPr>
      <w:footerReference r:id="rId3" w:type="default"/>
      <w:pgSz w:w="16838" w:h="11906" w:orient="landscape"/>
      <w:pgMar w:top="1474" w:right="1531" w:bottom="1417" w:left="1531" w:header="851" w:footer="992" w:gutter="0"/>
      <w:cols w:space="720" w:num="1"/>
      <w:rtlGutter w:val="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仿宋简体">
    <w:altName w:val="方正仿宋_GBK"/>
    <w:panose1 w:val="02000000000000000000"/>
    <w:charset w:val="86"/>
    <w:family w:val="auto"/>
    <w:pitch w:val="default"/>
    <w:sig w:usb0="00000000" w:usb1="00000000" w:usb2="00000012" w:usb3="00000000" w:csb0="00040001" w:csb1="00000000"/>
  </w:font>
  <w:font w:name="方正小标宋_GBK">
    <w:panose1 w:val="03000502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3"/>
              <wp:cNvGraphicFramePr/>
              <a:graphic xmlns:a="http://schemas.openxmlformats.org/drawingml/2006/main">
                <a:graphicData uri="http://schemas.microsoft.com/office/word/2010/wordprocessingShape">
                  <wps:wsp>
                    <wps:cNvSpPr/>
                    <wps:spPr>
                      <a:xfrm>
                        <a:off x="0" y="0"/>
                        <a:ext cx="115900" cy="139560"/>
                      </a:xfrm>
                      <a:prstGeom prst="rect">
                        <a:avLst/>
                      </a:prstGeom>
                      <a:noFill/>
                      <a:ln w="6350" cap="flat" cmpd="sng">
                        <a:noFill/>
                        <a:prstDash val="solid"/>
                        <a:round/>
                      </a:ln>
                    </wps:spPr>
                    <wps:txbx>
                      <w:txbxContent>
                        <w:p>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3" o:spid="_x0000_s1026" o:spt="1"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E5VB+tYAAAADAQAADwAAAAAAAAABACAAAAAiAAAAZHJzL2Rv&#10;d25yZXYueG1sUEsBAhQAFAAAAAgAh07iQA5/RvEDAgAA9AMAAA4AAAAAAAAAAQAgAAAAJQEAAGRy&#10;cy9lMm9Eb2MueG1sUEsFBgAAAAAGAAYAWQEAAJoFAAAAAA==&#10;">
              <v:fill on="f" focussize="0,0"/>
              <v:stroke on="f" weight="0.5pt" joinstyle="round"/>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F5BED"/>
    <w:multiLevelType w:val="singleLevel"/>
    <w:tmpl w:val="FFEF5BED"/>
    <w:lvl w:ilvl="0" w:tentative="0">
      <w:start w:val="1"/>
      <w:numFmt w:val="decimal"/>
      <w:suff w:val="nothing"/>
      <w:lvlText w:val="%1"/>
      <w:lvlJc w:val="center"/>
      <w:pPr>
        <w:ind w:left="63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8"/>
  <w:displayHorizontalDrawingGridEvery w:val="1"/>
  <w:displayVerticalDrawingGridEvery w:val="2"/>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DFhNGMzZTM5ZGFmMDkyNzBiMjdmMGQ1Y2U2M2Y3NGIifQ=="/>
  </w:docVars>
  <w:rsids>
    <w:rsidRoot w:val="00000000"/>
    <w:rsid w:val="010D0A85"/>
    <w:rsid w:val="01192C1F"/>
    <w:rsid w:val="0136557F"/>
    <w:rsid w:val="01683F2D"/>
    <w:rsid w:val="02963DFC"/>
    <w:rsid w:val="02C55EDD"/>
    <w:rsid w:val="036E2505"/>
    <w:rsid w:val="03742B24"/>
    <w:rsid w:val="039C3694"/>
    <w:rsid w:val="045439B3"/>
    <w:rsid w:val="04FC263C"/>
    <w:rsid w:val="05D37FF6"/>
    <w:rsid w:val="06A967F3"/>
    <w:rsid w:val="06C064F8"/>
    <w:rsid w:val="06F9076D"/>
    <w:rsid w:val="07550382"/>
    <w:rsid w:val="080261BB"/>
    <w:rsid w:val="085D06B7"/>
    <w:rsid w:val="08AA0601"/>
    <w:rsid w:val="0A38517D"/>
    <w:rsid w:val="0A4C6D5E"/>
    <w:rsid w:val="0BCF71B3"/>
    <w:rsid w:val="0CE71B86"/>
    <w:rsid w:val="0DC1557D"/>
    <w:rsid w:val="0E2C21E4"/>
    <w:rsid w:val="0F52334E"/>
    <w:rsid w:val="104E6392"/>
    <w:rsid w:val="10603F77"/>
    <w:rsid w:val="10687DDF"/>
    <w:rsid w:val="10D7017E"/>
    <w:rsid w:val="12024E68"/>
    <w:rsid w:val="1481484B"/>
    <w:rsid w:val="149470B1"/>
    <w:rsid w:val="154D0BC7"/>
    <w:rsid w:val="164E31CD"/>
    <w:rsid w:val="16565924"/>
    <w:rsid w:val="1693076E"/>
    <w:rsid w:val="17EF7DDE"/>
    <w:rsid w:val="1A502687"/>
    <w:rsid w:val="1B305120"/>
    <w:rsid w:val="1C84143D"/>
    <w:rsid w:val="1D894CD4"/>
    <w:rsid w:val="1EE25B85"/>
    <w:rsid w:val="207215AC"/>
    <w:rsid w:val="20E84CEA"/>
    <w:rsid w:val="21977012"/>
    <w:rsid w:val="227F49FE"/>
    <w:rsid w:val="229D1568"/>
    <w:rsid w:val="23385D3D"/>
    <w:rsid w:val="258C1362"/>
    <w:rsid w:val="25AC2049"/>
    <w:rsid w:val="26005CC0"/>
    <w:rsid w:val="26905D26"/>
    <w:rsid w:val="28210B10"/>
    <w:rsid w:val="2A8324A7"/>
    <w:rsid w:val="2A9B2E3B"/>
    <w:rsid w:val="2AB76642"/>
    <w:rsid w:val="2BAD5B8F"/>
    <w:rsid w:val="2BDE3F9A"/>
    <w:rsid w:val="2C271DE5"/>
    <w:rsid w:val="2C4C53A8"/>
    <w:rsid w:val="2C7B3D1F"/>
    <w:rsid w:val="2EBF713E"/>
    <w:rsid w:val="31BE4652"/>
    <w:rsid w:val="324D2FAA"/>
    <w:rsid w:val="327E4F11"/>
    <w:rsid w:val="331F430E"/>
    <w:rsid w:val="334B63B9"/>
    <w:rsid w:val="33E800AC"/>
    <w:rsid w:val="34126ED7"/>
    <w:rsid w:val="351A282A"/>
    <w:rsid w:val="35527ED3"/>
    <w:rsid w:val="35A94C94"/>
    <w:rsid w:val="37C56830"/>
    <w:rsid w:val="39BD2431"/>
    <w:rsid w:val="3A091210"/>
    <w:rsid w:val="3A0E0140"/>
    <w:rsid w:val="3ADB5F75"/>
    <w:rsid w:val="3BD66A3C"/>
    <w:rsid w:val="3C297090"/>
    <w:rsid w:val="3C3417FB"/>
    <w:rsid w:val="3DC23D41"/>
    <w:rsid w:val="3DD00D25"/>
    <w:rsid w:val="3DE4690A"/>
    <w:rsid w:val="3DF7730C"/>
    <w:rsid w:val="3DFE0193"/>
    <w:rsid w:val="3FD25F41"/>
    <w:rsid w:val="404E1296"/>
    <w:rsid w:val="413935C7"/>
    <w:rsid w:val="414E4C2B"/>
    <w:rsid w:val="41A05B22"/>
    <w:rsid w:val="420C2B77"/>
    <w:rsid w:val="4235270E"/>
    <w:rsid w:val="423803A9"/>
    <w:rsid w:val="431D67A9"/>
    <w:rsid w:val="44CE29A6"/>
    <w:rsid w:val="46DF4189"/>
    <w:rsid w:val="47376F28"/>
    <w:rsid w:val="47D34B78"/>
    <w:rsid w:val="48D8734A"/>
    <w:rsid w:val="4A645957"/>
    <w:rsid w:val="4A6B5B79"/>
    <w:rsid w:val="4B1B446B"/>
    <w:rsid w:val="4BEC5F7F"/>
    <w:rsid w:val="4C8A7AFA"/>
    <w:rsid w:val="4D027691"/>
    <w:rsid w:val="4DE33B1C"/>
    <w:rsid w:val="4F3B5AB7"/>
    <w:rsid w:val="4F8D028D"/>
    <w:rsid w:val="50545FFA"/>
    <w:rsid w:val="527D7845"/>
    <w:rsid w:val="53365AAC"/>
    <w:rsid w:val="535F6A45"/>
    <w:rsid w:val="54484523"/>
    <w:rsid w:val="548C602C"/>
    <w:rsid w:val="55B13259"/>
    <w:rsid w:val="569B1E10"/>
    <w:rsid w:val="56A44FF5"/>
    <w:rsid w:val="56FC1A62"/>
    <w:rsid w:val="57E79131"/>
    <w:rsid w:val="57F40CD0"/>
    <w:rsid w:val="585039A6"/>
    <w:rsid w:val="591744C4"/>
    <w:rsid w:val="59A16C38"/>
    <w:rsid w:val="59A26483"/>
    <w:rsid w:val="5A2A6A55"/>
    <w:rsid w:val="5AC24903"/>
    <w:rsid w:val="5BD668B8"/>
    <w:rsid w:val="5C677510"/>
    <w:rsid w:val="5CAB4352"/>
    <w:rsid w:val="5D77AFB9"/>
    <w:rsid w:val="5D7C692E"/>
    <w:rsid w:val="5F225970"/>
    <w:rsid w:val="5F79722A"/>
    <w:rsid w:val="603718B5"/>
    <w:rsid w:val="60EE4134"/>
    <w:rsid w:val="61931743"/>
    <w:rsid w:val="61FD5CD9"/>
    <w:rsid w:val="62C25DCA"/>
    <w:rsid w:val="63515714"/>
    <w:rsid w:val="63E4549D"/>
    <w:rsid w:val="64323402"/>
    <w:rsid w:val="65000502"/>
    <w:rsid w:val="660404C6"/>
    <w:rsid w:val="6A570BC4"/>
    <w:rsid w:val="6B4F6878"/>
    <w:rsid w:val="6BBD0EFB"/>
    <w:rsid w:val="6BDF69D0"/>
    <w:rsid w:val="6DD67252"/>
    <w:rsid w:val="6E6F27D9"/>
    <w:rsid w:val="6F7915DC"/>
    <w:rsid w:val="6F9C5A6B"/>
    <w:rsid w:val="6FF375E1"/>
    <w:rsid w:val="6FF82586"/>
    <w:rsid w:val="6FF901DF"/>
    <w:rsid w:val="704C26CE"/>
    <w:rsid w:val="712507A2"/>
    <w:rsid w:val="716B764B"/>
    <w:rsid w:val="722C1844"/>
    <w:rsid w:val="72A84E60"/>
    <w:rsid w:val="73BA8444"/>
    <w:rsid w:val="74EF2129"/>
    <w:rsid w:val="7580193D"/>
    <w:rsid w:val="75AD766C"/>
    <w:rsid w:val="75FF3D3B"/>
    <w:rsid w:val="764D731F"/>
    <w:rsid w:val="77197D0F"/>
    <w:rsid w:val="78BA4B53"/>
    <w:rsid w:val="798E0DE6"/>
    <w:rsid w:val="7A9778F5"/>
    <w:rsid w:val="7AEA15E0"/>
    <w:rsid w:val="7BA01CA3"/>
    <w:rsid w:val="7D2D571E"/>
    <w:rsid w:val="7E631DD5"/>
    <w:rsid w:val="7E9D7975"/>
    <w:rsid w:val="7F3DC1B1"/>
    <w:rsid w:val="CAB3CB4A"/>
    <w:rsid w:val="F5C7E03B"/>
    <w:rsid w:val="F5FFA593"/>
    <w:rsid w:val="FAEF4ED7"/>
    <w:rsid w:val="FFF39767"/>
    <w:rsid w:val="FFFED0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spacing w:before="0" w:beforeAutospacing="1" w:after="0" w:afterAutospacing="1"/>
      <w:jc w:val="left"/>
      <w:outlineLvl w:val="0"/>
    </w:pPr>
    <w:rPr>
      <w:rFonts w:ascii="宋体" w:eastAsia="宋体" w:cs="宋体"/>
      <w:b/>
      <w:bCs/>
      <w:kern w:val="44"/>
      <w:sz w:val="48"/>
      <w:szCs w:val="48"/>
      <w:lang w:val="en-US" w:eastAsia="zh-CN"/>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rPr>
      <w:rFonts w:ascii="Times New Roman" w:hAnsi="Times New Roman" w:eastAsia="Times New Roman" w:cs="Times New Roman"/>
      <w:sz w:val="28"/>
      <w:szCs w:val="28"/>
      <w:lang w:val="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rPr>
  </w:style>
  <w:style w:type="character" w:styleId="11">
    <w:name w:val="FollowedHyperlink"/>
    <w:basedOn w:val="10"/>
    <w:qFormat/>
    <w:uiPriority w:val="0"/>
    <w:rPr>
      <w:color w:val="800080"/>
      <w:u w:val="single"/>
    </w:rPr>
  </w:style>
  <w:style w:type="character" w:styleId="12">
    <w:name w:val="Hyperlink"/>
    <w:basedOn w:val="10"/>
    <w:qFormat/>
    <w:uiPriority w:val="0"/>
    <w:rPr>
      <w:color w:val="0000FF"/>
      <w:u w:val="single"/>
    </w:rPr>
  </w:style>
  <w:style w:type="paragraph" w:customStyle="1" w:styleId="13">
    <w:name w:val="Default"/>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 w:type="paragraph" w:customStyle="1" w:styleId="14">
    <w:name w:val="Table Text"/>
    <w:basedOn w:val="1"/>
    <w:qFormat/>
    <w:uiPriority w:val="0"/>
    <w:rPr>
      <w:rFonts w:ascii="仿宋" w:eastAsia="仿宋" w:cs="仿宋"/>
      <w:sz w:val="19"/>
      <w:szCs w:val="19"/>
      <w:lang w:val="en-US" w:bidi="ar-SA"/>
    </w:rPr>
  </w:style>
  <w:style w:type="table" w:customStyle="1" w:styleId="15">
    <w:name w:val="Table Normal"/>
    <w:semiHidden/>
    <w:unhideWhenUsed/>
    <w:qFormat/>
    <w:uiPriority w:val="0"/>
    <w:tblPr>
      <w:tblCellMar>
        <w:top w:w="0" w:type="dxa"/>
        <w:left w:w="0" w:type="dxa"/>
        <w:bottom w:w="0" w:type="dxa"/>
        <w:right w:w="0" w:type="dxa"/>
      </w:tblCellMar>
    </w:tblPr>
  </w:style>
  <w:style w:type="character" w:customStyle="1" w:styleId="16">
    <w:name w:val="font241"/>
    <w:basedOn w:val="10"/>
    <w:qFormat/>
    <w:uiPriority w:val="0"/>
    <w:rPr>
      <w:rFonts w:hint="eastAsia" w:ascii="方正仿宋_GBK" w:hAnsi="方正仿宋_GBK" w:eastAsia="方正仿宋_GBK" w:cs="方正仿宋_GBK"/>
      <w:color w:val="000000"/>
      <w:sz w:val="36"/>
      <w:szCs w:val="36"/>
      <w:u w:val="none"/>
    </w:rPr>
  </w:style>
  <w:style w:type="character" w:customStyle="1" w:styleId="17">
    <w:name w:val="font251"/>
    <w:basedOn w:val="10"/>
    <w:qFormat/>
    <w:uiPriority w:val="0"/>
    <w:rPr>
      <w:rFonts w:ascii="方正仿宋简体" w:eastAsia="方正仿宋简体" w:cs="方正仿宋简体"/>
      <w:color w:val="000000"/>
      <w:sz w:val="24"/>
      <w:szCs w:val="24"/>
      <w:u w:val="none"/>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30</Pages>
  <Words>7514</Words>
  <Characters>7778</Characters>
  <Lines>3144</Lines>
  <Paragraphs>2158</Paragraphs>
  <TotalTime>3</TotalTime>
  <ScaleCrop>false</ScaleCrop>
  <LinksUpToDate>false</LinksUpToDate>
  <CharactersWithSpaces>7778</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2025-06-13T00:06:00Z</dcterms:created>
  <dc:creator>Administrator</dc:creator>
  <cp:lastModifiedBy>Administrator</cp:lastModifiedBy>
  <dcterms:modified xsi:type="dcterms:W3CDTF">2025-07-16T09:55:24Z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TemplateDocerSaveRecord">
    <vt:lpwstr>eyJoZGlkIjoiNjNiYWVmZGMzN2U1NTc1NjFkNzdlNmVlNjZjMzg0YmMifQ==</vt:lpwstr>
  </property>
  <property fmtid="{D5CDD505-2E9C-101B-9397-08002B2CF9AE}" pid="4" name="ICV">
    <vt:lpwstr>72495C26815D42608F1C8C587851922E_12</vt:lpwstr>
  </property>
</Properties>
</file>