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ascii="方正小标宋简体" w:hAnsi="宋体" w:eastAsia="方正小标宋简体"/>
          <w:color w:val="000000"/>
          <w:sz w:val="72"/>
          <w:szCs w:val="72"/>
        </w:rPr>
      </w:pPr>
      <w:bookmarkStart w:id="0" w:name="_Toc15306267"/>
    </w:p>
    <w:p>
      <w:pPr>
        <w:spacing w:line="600" w:lineRule="exact"/>
        <w:jc w:val="center"/>
        <w:outlineLvl w:val="0"/>
        <w:rPr>
          <w:rFonts w:ascii="方正小标宋简体" w:hAnsi="宋体" w:eastAsia="方正小标宋简体"/>
          <w:color w:val="000000"/>
          <w:sz w:val="72"/>
          <w:szCs w:val="72"/>
        </w:rPr>
      </w:pPr>
    </w:p>
    <w:p>
      <w:pPr>
        <w:jc w:val="center"/>
        <w:rPr>
          <w:rFonts w:hint="eastAsia" w:ascii="方正小标宋简体" w:eastAsia="方正小标宋简体"/>
          <w:sz w:val="72"/>
          <w:szCs w:val="72"/>
          <w:lang w:eastAsia="zh-CN"/>
        </w:rPr>
      </w:pPr>
    </w:p>
    <w:p>
      <w:pPr>
        <w:jc w:val="center"/>
        <w:rPr>
          <w:rFonts w:hint="eastAsia" w:ascii="方正小标宋简体" w:eastAsia="方正小标宋简体"/>
          <w:sz w:val="72"/>
          <w:szCs w:val="72"/>
          <w:lang w:eastAsia="zh-CN"/>
        </w:rPr>
      </w:pPr>
      <w:bookmarkStart w:id="1" w:name="_Toc15396475"/>
      <w:bookmarkStart w:id="2" w:name="_Toc15377425"/>
      <w:bookmarkStart w:id="3" w:name="_Toc15377193"/>
      <w:bookmarkStart w:id="4" w:name="_Toc15378441"/>
      <w:bookmarkStart w:id="5" w:name="_Toc15396597"/>
      <w:r>
        <w:rPr>
          <w:rFonts w:hint="eastAsia" w:ascii="方正小标宋简体" w:eastAsia="方正小标宋简体"/>
          <w:sz w:val="72"/>
          <w:szCs w:val="72"/>
          <w:lang w:eastAsia="zh-CN"/>
        </w:rPr>
        <w:t>2025年度</w:t>
      </w:r>
      <w:bookmarkEnd w:id="1"/>
      <w:bookmarkEnd w:id="2"/>
      <w:bookmarkEnd w:id="3"/>
      <w:bookmarkEnd w:id="4"/>
      <w:bookmarkEnd w:id="5"/>
    </w:p>
    <w:bookmarkEnd w:id="0"/>
    <w:p>
      <w:pPr>
        <w:jc w:val="center"/>
        <w:rPr>
          <w:rFonts w:ascii="方正小标宋简体" w:eastAsia="方正小标宋简体"/>
          <w:sz w:val="72"/>
          <w:szCs w:val="72"/>
        </w:rPr>
      </w:pPr>
      <w:bookmarkStart w:id="6" w:name="_Toc15377194"/>
      <w:bookmarkStart w:id="7" w:name="_Toc15396598"/>
      <w:bookmarkStart w:id="8" w:name="_Toc15378442"/>
      <w:bookmarkStart w:id="9" w:name="_Toc15396476"/>
      <w:bookmarkStart w:id="10" w:name="_Toc15306268"/>
      <w:bookmarkStart w:id="11" w:name="_Toc15377426"/>
      <w:r>
        <w:rPr>
          <w:rFonts w:hint="eastAsia" w:ascii="方正小标宋简体" w:eastAsia="方正小标宋简体"/>
          <w:sz w:val="72"/>
          <w:szCs w:val="72"/>
          <w:lang w:eastAsia="zh-CN"/>
        </w:rPr>
        <w:t>小金县人民政府办公室信息中心</w:t>
      </w:r>
      <w:r>
        <w:rPr>
          <w:rFonts w:hint="eastAsia" w:ascii="方正小标宋简体" w:eastAsia="方正小标宋简体"/>
          <w:sz w:val="72"/>
          <w:szCs w:val="72"/>
        </w:rPr>
        <w:t>部门决算</w:t>
      </w:r>
      <w:bookmarkEnd w:id="6"/>
      <w:bookmarkEnd w:id="7"/>
      <w:bookmarkEnd w:id="8"/>
      <w:bookmarkEnd w:id="9"/>
      <w:bookmarkEnd w:id="10"/>
      <w:bookmarkEnd w:id="11"/>
    </w:p>
    <w:p>
      <w:pPr>
        <w:widowControl/>
        <w:jc w:val="center"/>
        <w:rPr>
          <w:rFonts w:ascii="方正小标宋简体" w:hAnsi="宋体" w:eastAsia="方正小标宋简体"/>
          <w:color w:val="000000"/>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autoSpaceDE w:val="0"/>
        <w:autoSpaceDN w:val="0"/>
        <w:adjustRightInd w:val="0"/>
        <w:ind w:left="420" w:leftChars="200"/>
        <w:jc w:val="left"/>
        <w:rPr>
          <w:rFonts w:ascii="宋体" w:hAnsi="宋体"/>
          <w:sz w:val="32"/>
          <w:szCs w:val="32"/>
        </w:rPr>
      </w:pPr>
      <w:r>
        <w:rPr>
          <w:rFonts w:hint="eastAsia" w:ascii="宋体" w:hAnsi="宋体" w:cs="仿宋_GB2312"/>
          <w:sz w:val="32"/>
          <w:szCs w:val="32"/>
        </w:rPr>
        <w:t>保密审查情况：已审查，内容审定</w:t>
      </w:r>
    </w:p>
    <w:p>
      <w:pPr>
        <w:autoSpaceDE w:val="0"/>
        <w:autoSpaceDN w:val="0"/>
        <w:adjustRightInd w:val="0"/>
        <w:ind w:left="420" w:leftChars="200"/>
        <w:jc w:val="left"/>
        <w:rPr>
          <w:rFonts w:ascii="宋体" w:hAnsi="宋体"/>
          <w:sz w:val="32"/>
          <w:szCs w:val="32"/>
        </w:rPr>
      </w:pPr>
      <w:r>
        <w:rPr>
          <w:rFonts w:hint="eastAsia" w:ascii="宋体" w:hAnsi="宋体" w:cs="仿宋_GB2312"/>
          <w:sz w:val="32"/>
          <w:szCs w:val="32"/>
        </w:rPr>
        <w:t>部门主要负责人审签情况：已审签，同意对外公开</w:t>
      </w:r>
    </w:p>
    <w:p>
      <w:pPr>
        <w:widowControl/>
        <w:jc w:val="center"/>
        <w:rPr>
          <w:rFonts w:ascii="黑体" w:hAnsi="黑体" w:eastAsia="黑体"/>
          <w:color w:val="000000"/>
          <w:sz w:val="48"/>
          <w:szCs w:val="48"/>
        </w:rPr>
      </w:pPr>
      <w:r>
        <w:rPr>
          <w:rFonts w:ascii="方正小标宋简体" w:hAnsi="宋体" w:eastAsia="方正小标宋简体"/>
          <w:sz w:val="36"/>
          <w:szCs w:val="36"/>
        </w:rPr>
        <w:br w:type="page"/>
      </w:r>
      <w:r>
        <w:rPr>
          <w:rFonts w:hint="eastAsia" w:ascii="黑体" w:hAnsi="黑体" w:eastAsia="黑体"/>
          <w:color w:val="000000"/>
          <w:sz w:val="48"/>
          <w:szCs w:val="48"/>
        </w:rPr>
        <w:t>目录</w:t>
      </w:r>
    </w:p>
    <w:p>
      <w:pPr>
        <w:pStyle w:val="13"/>
        <w:jc w:val="center"/>
        <w:rPr>
          <w:rFonts w:hAnsiTheme="minorHAnsi"/>
          <w:b w:val="0"/>
          <w:bCs w:val="0"/>
          <w:sz w:val="24"/>
          <w:szCs w:val="24"/>
        </w:rPr>
      </w:pPr>
      <w:r>
        <w:rPr>
          <w:rFonts w:hint="eastAsia" w:hAnsiTheme="minorHAnsi"/>
          <w:b w:val="0"/>
          <w:bCs w:val="0"/>
          <w:sz w:val="24"/>
          <w:szCs w:val="24"/>
        </w:rPr>
        <w:t>公开时间：</w:t>
      </w:r>
      <w:r>
        <w:rPr>
          <w:rFonts w:hint="eastAsia" w:hAnsiTheme="minorHAnsi"/>
          <w:b w:val="0"/>
          <w:bCs w:val="0"/>
          <w:sz w:val="24"/>
          <w:szCs w:val="24"/>
          <w:lang w:eastAsia="zh-CN"/>
        </w:rPr>
        <w:t>202</w:t>
      </w:r>
      <w:r>
        <w:rPr>
          <w:rFonts w:hint="eastAsia" w:hAnsiTheme="minorHAnsi"/>
          <w:b w:val="0"/>
          <w:bCs w:val="0"/>
          <w:sz w:val="24"/>
          <w:szCs w:val="24"/>
          <w:lang w:val="en-US" w:eastAsia="zh-CN"/>
        </w:rPr>
        <w:t>6</w:t>
      </w:r>
      <w:r>
        <w:rPr>
          <w:rFonts w:hint="eastAsia" w:hAnsiTheme="minorHAnsi"/>
          <w:b w:val="0"/>
          <w:bCs w:val="0"/>
          <w:sz w:val="24"/>
          <w:szCs w:val="24"/>
          <w:lang w:eastAsia="zh-CN"/>
        </w:rPr>
        <w:t>年</w:t>
      </w:r>
      <w:r>
        <w:rPr>
          <w:rFonts w:hint="eastAsia" w:hAnsiTheme="minorHAnsi"/>
          <w:b w:val="0"/>
          <w:bCs w:val="0"/>
          <w:sz w:val="24"/>
          <w:szCs w:val="24"/>
          <w:lang w:val="en-US" w:eastAsia="zh-CN"/>
        </w:rPr>
        <w:t>10</w:t>
      </w:r>
      <w:r>
        <w:rPr>
          <w:rFonts w:hint="eastAsia" w:hAnsiTheme="minorHAnsi"/>
          <w:b w:val="0"/>
          <w:bCs w:val="0"/>
          <w:sz w:val="24"/>
          <w:szCs w:val="24"/>
        </w:rPr>
        <w:t>月</w:t>
      </w:r>
      <w:r>
        <w:rPr>
          <w:rFonts w:hint="eastAsia" w:hAnsiTheme="minorHAnsi"/>
          <w:b w:val="0"/>
          <w:bCs w:val="0"/>
          <w:sz w:val="24"/>
          <w:szCs w:val="24"/>
          <w:lang w:val="en-US" w:eastAsia="zh-CN"/>
        </w:rPr>
        <w:t>16</w:t>
      </w:r>
      <w:r>
        <w:rPr>
          <w:rFonts w:hint="eastAsia" w:hAnsiTheme="minorHAnsi"/>
          <w:b w:val="0"/>
          <w:bCs w:val="0"/>
          <w:sz w:val="24"/>
          <w:szCs w:val="24"/>
        </w:rPr>
        <w:t>日</w:t>
      </w:r>
    </w:p>
    <w:p>
      <w:pPr>
        <w:pStyle w:val="13"/>
        <w:tabs>
          <w:tab w:val="right" w:leader="dot" w:pos="8306"/>
        </w:tabs>
      </w:pPr>
      <w:r>
        <w:rPr>
          <w:b w:val="0"/>
          <w:bCs w:val="0"/>
          <w:caps w:val="0"/>
        </w:rPr>
        <w:fldChar w:fldCharType="begin"/>
      </w:r>
      <w:r>
        <w:rPr>
          <w:b w:val="0"/>
          <w:bCs w:val="0"/>
          <w:caps w:val="0"/>
        </w:rPr>
        <w:instrText xml:space="preserve"> TOC \o \u </w:instrText>
      </w:r>
      <w:r>
        <w:rPr>
          <w:b w:val="0"/>
          <w:bCs w:val="0"/>
          <w:caps w:val="0"/>
        </w:rPr>
        <w:fldChar w:fldCharType="separate"/>
      </w:r>
      <w:r>
        <w:rPr>
          <w:rFonts w:hint="eastAsia" w:ascii="黑体" w:hAnsi="黑体" w:eastAsia="黑体"/>
        </w:rPr>
        <w:t>第一部分</w:t>
      </w:r>
      <w:r>
        <w:rPr>
          <w:rFonts w:ascii="黑体" w:hAnsi="黑体" w:eastAsia="黑体"/>
        </w:rPr>
        <w:t xml:space="preserve"> </w:t>
      </w:r>
      <w:r>
        <w:rPr>
          <w:rFonts w:hint="eastAsia" w:ascii="黑体" w:hAnsi="黑体" w:eastAsia="黑体"/>
          <w:bCs w:val="0"/>
        </w:rPr>
        <w:t>部门概况</w:t>
      </w:r>
      <w:r>
        <w:tab/>
      </w:r>
      <w:r>
        <w:fldChar w:fldCharType="begin"/>
      </w:r>
      <w:r>
        <w:instrText xml:space="preserve"> PAGEREF _Toc8314 \h </w:instrText>
      </w:r>
      <w:r>
        <w:fldChar w:fldCharType="separate"/>
      </w:r>
      <w:r>
        <w:t>1</w:t>
      </w:r>
      <w:r>
        <w:fldChar w:fldCharType="end"/>
      </w:r>
    </w:p>
    <w:p>
      <w:pPr>
        <w:pStyle w:val="16"/>
        <w:tabs>
          <w:tab w:val="right" w:leader="dot" w:pos="8306"/>
        </w:tabs>
      </w:pPr>
      <w:r>
        <w:rPr>
          <w:rFonts w:hint="eastAsia" w:ascii="黑体" w:hAnsi="黑体" w:eastAsia="黑体"/>
          <w:color w:val="000000"/>
        </w:rPr>
        <w:t>一、基</w:t>
      </w:r>
      <w:r>
        <w:rPr>
          <w:rFonts w:hint="eastAsia" w:ascii="黑体" w:hAnsi="黑体" w:eastAsia="黑体"/>
          <w:bCs w:val="0"/>
        </w:rPr>
        <w:t>本职能及主要工作</w:t>
      </w:r>
      <w:r>
        <w:tab/>
      </w:r>
      <w:r>
        <w:fldChar w:fldCharType="begin"/>
      </w:r>
      <w:r>
        <w:instrText xml:space="preserve"> PAGEREF _Toc3255 \h </w:instrText>
      </w:r>
      <w:r>
        <w:fldChar w:fldCharType="separate"/>
      </w:r>
      <w:r>
        <w:t>1</w:t>
      </w:r>
      <w:r>
        <w:fldChar w:fldCharType="end"/>
      </w:r>
    </w:p>
    <w:p>
      <w:pPr>
        <w:pStyle w:val="8"/>
        <w:tabs>
          <w:tab w:val="right" w:leader="dot" w:pos="8306"/>
        </w:tabs>
      </w:pPr>
      <w:r>
        <w:rPr>
          <w:rFonts w:hint="eastAsia" w:ascii="仿宋" w:hAnsi="仿宋" w:eastAsia="仿宋"/>
          <w:bCs/>
          <w:color w:val="000000"/>
          <w:szCs w:val="32"/>
        </w:rPr>
        <w:t>（一）主要职能。</w:t>
      </w:r>
      <w:r>
        <w:tab/>
      </w:r>
      <w:r>
        <w:fldChar w:fldCharType="begin"/>
      </w:r>
      <w:r>
        <w:instrText xml:space="preserve"> PAGEREF _Toc26584 \h </w:instrText>
      </w:r>
      <w:r>
        <w:fldChar w:fldCharType="separate"/>
      </w:r>
      <w:r>
        <w:t>1</w:t>
      </w:r>
      <w:r>
        <w:fldChar w:fldCharType="end"/>
      </w:r>
    </w:p>
    <w:p>
      <w:pPr>
        <w:pStyle w:val="8"/>
        <w:tabs>
          <w:tab w:val="right" w:leader="dot" w:pos="8306"/>
        </w:tabs>
      </w:pPr>
      <w:r>
        <w:rPr>
          <w:rFonts w:hint="eastAsia" w:ascii="仿宋_GB2312" w:eastAsia="仿宋_GB2312"/>
          <w:szCs w:val="32"/>
        </w:rPr>
        <w:t>1</w:t>
      </w:r>
      <w:r>
        <w:rPr>
          <w:rFonts w:hint="eastAsia"/>
          <w:szCs w:val="32"/>
          <w:lang w:val="en-US" w:eastAsia="zh-CN"/>
        </w:rPr>
        <w:t>.负责政府门户网站、方正电子公文交换系统的建设、维护、管理工作；负责全县政府信息公开、指导、收集、报送和督促工作；负责县政府及县政府办公室各种信息的收集、撰写和上报下传，编写印发《政务信息》；负责政府办OA系统、网络设备的运行、维护工作；负责“州长信箱”“县长信箱”来件的转办、督办；办理领导交办的其他工作。</w:t>
      </w:r>
      <w:r>
        <w:tab/>
      </w:r>
      <w:r>
        <w:fldChar w:fldCharType="begin"/>
      </w:r>
      <w:r>
        <w:instrText xml:space="preserve"> PAGEREF _Toc31640 \h </w:instrText>
      </w:r>
      <w:r>
        <w:fldChar w:fldCharType="separate"/>
      </w:r>
      <w:r>
        <w:t>1</w:t>
      </w:r>
      <w:r>
        <w:fldChar w:fldCharType="end"/>
      </w:r>
    </w:p>
    <w:p>
      <w:pPr>
        <w:pStyle w:val="8"/>
        <w:tabs>
          <w:tab w:val="right" w:leader="dot" w:pos="8306"/>
        </w:tabs>
      </w:pPr>
      <w:r>
        <w:rPr>
          <w:rFonts w:hint="eastAsia" w:ascii="仿宋" w:hAnsi="仿宋" w:eastAsia="仿宋"/>
          <w:bCs/>
          <w:color w:val="000000"/>
          <w:szCs w:val="32"/>
        </w:rPr>
        <w:t>（二）</w:t>
      </w:r>
      <w:r>
        <w:rPr>
          <w:rFonts w:hint="eastAsia" w:ascii="仿宋" w:hAnsi="仿宋" w:eastAsia="仿宋"/>
          <w:bCs/>
          <w:color w:val="000000"/>
          <w:szCs w:val="32"/>
          <w:lang w:eastAsia="zh-CN"/>
        </w:rPr>
        <w:t>2025年</w:t>
      </w:r>
      <w:r>
        <w:rPr>
          <w:rFonts w:hint="eastAsia" w:ascii="仿宋" w:hAnsi="仿宋" w:eastAsia="仿宋"/>
          <w:bCs/>
          <w:color w:val="000000"/>
          <w:szCs w:val="32"/>
        </w:rPr>
        <w:t>重点工作完成情况。</w:t>
      </w:r>
      <w:r>
        <w:tab/>
      </w:r>
      <w:r>
        <w:fldChar w:fldCharType="begin"/>
      </w:r>
      <w:r>
        <w:instrText xml:space="preserve"> PAGEREF _Toc732 \h </w:instrText>
      </w:r>
      <w:r>
        <w:fldChar w:fldCharType="separate"/>
      </w:r>
      <w:r>
        <w:t>1</w:t>
      </w:r>
      <w:r>
        <w:fldChar w:fldCharType="end"/>
      </w:r>
    </w:p>
    <w:p>
      <w:pPr>
        <w:pStyle w:val="16"/>
        <w:tabs>
          <w:tab w:val="right" w:leader="dot" w:pos="8306"/>
        </w:tabs>
      </w:pPr>
      <w:r>
        <w:rPr>
          <w:rFonts w:hint="eastAsia" w:ascii="仿宋_GB2312" w:eastAsia="仿宋_GB2312"/>
          <w:bCs w:val="0"/>
          <w:color w:val="333333"/>
          <w:szCs w:val="32"/>
          <w:lang w:val="en-US" w:eastAsia="zh-CN"/>
        </w:rPr>
        <w:t>按照政府办信息中心职能职责相关的各项工作及县委、政府交的其他各项工作。</w:t>
      </w:r>
      <w:r>
        <w:tab/>
      </w:r>
      <w:r>
        <w:fldChar w:fldCharType="begin"/>
      </w:r>
      <w:r>
        <w:instrText xml:space="preserve"> PAGEREF _Toc20403 \h </w:instrText>
      </w:r>
      <w:r>
        <w:fldChar w:fldCharType="separate"/>
      </w:r>
      <w:r>
        <w:t>1</w:t>
      </w:r>
      <w:r>
        <w:fldChar w:fldCharType="end"/>
      </w:r>
    </w:p>
    <w:p>
      <w:pPr>
        <w:pStyle w:val="16"/>
        <w:tabs>
          <w:tab w:val="right" w:leader="dot" w:pos="8306"/>
        </w:tabs>
      </w:pPr>
      <w:r>
        <w:rPr>
          <w:rFonts w:hint="eastAsia" w:ascii="黑体" w:eastAsia="黑体"/>
          <w:color w:val="000000"/>
        </w:rPr>
        <w:t>二、</w:t>
      </w:r>
      <w:r>
        <w:rPr>
          <w:rFonts w:hint="eastAsia" w:ascii="黑体" w:hAnsi="黑体" w:eastAsia="黑体"/>
          <w:color w:val="000000"/>
        </w:rPr>
        <w:t>机</w:t>
      </w:r>
      <w:r>
        <w:rPr>
          <w:rFonts w:hint="eastAsia" w:ascii="黑体" w:hAnsi="黑体" w:eastAsia="黑体"/>
          <w:bCs w:val="0"/>
        </w:rPr>
        <w:t>构设置</w:t>
      </w:r>
      <w:r>
        <w:tab/>
      </w:r>
      <w:r>
        <w:fldChar w:fldCharType="begin"/>
      </w:r>
      <w:r>
        <w:instrText xml:space="preserve"> PAGEREF _Toc698 \h </w:instrText>
      </w:r>
      <w:r>
        <w:fldChar w:fldCharType="separate"/>
      </w:r>
      <w:r>
        <w:t>1</w:t>
      </w:r>
      <w:r>
        <w:fldChar w:fldCharType="end"/>
      </w:r>
    </w:p>
    <w:p>
      <w:pPr>
        <w:pStyle w:val="8"/>
        <w:tabs>
          <w:tab w:val="right" w:leader="dot" w:pos="8306"/>
        </w:tabs>
      </w:pPr>
      <w:r>
        <w:rPr>
          <w:rFonts w:hint="eastAsia"/>
          <w:color w:val="000000"/>
          <w:szCs w:val="32"/>
        </w:rPr>
        <w:t>政府下属二级单位0个，其中行政单位0个，参照公务员法管理的事业单位</w:t>
      </w:r>
      <w:r>
        <w:rPr>
          <w:rFonts w:hint="eastAsia"/>
          <w:bCs/>
          <w:color w:val="000000"/>
          <w:szCs w:val="32"/>
        </w:rPr>
        <w:t>0</w:t>
      </w:r>
      <w:r>
        <w:rPr>
          <w:rFonts w:hint="eastAsia"/>
          <w:color w:val="000000"/>
          <w:szCs w:val="32"/>
        </w:rPr>
        <w:t>个，其他事业单位0个。</w:t>
      </w:r>
      <w:r>
        <w:tab/>
      </w:r>
      <w:r>
        <w:fldChar w:fldCharType="begin"/>
      </w:r>
      <w:r>
        <w:instrText xml:space="preserve"> PAGEREF _Toc6323 \h </w:instrText>
      </w:r>
      <w:r>
        <w:fldChar w:fldCharType="separate"/>
      </w:r>
      <w:r>
        <w:t>1</w:t>
      </w:r>
      <w:r>
        <w:fldChar w:fldCharType="end"/>
      </w:r>
    </w:p>
    <w:p>
      <w:pPr>
        <w:pStyle w:val="13"/>
        <w:tabs>
          <w:tab w:val="right" w:leader="dot" w:pos="8306"/>
        </w:tabs>
      </w:pPr>
      <w:r>
        <w:rPr>
          <w:rFonts w:hint="eastAsia" w:ascii="黑体" w:hAnsi="黑体" w:eastAsia="黑体"/>
          <w:color w:val="000000"/>
        </w:rPr>
        <w:t>第二部分</w:t>
      </w:r>
      <w:r>
        <w:rPr>
          <w:rFonts w:ascii="黑体" w:hAnsi="黑体" w:eastAsia="黑体"/>
          <w:color w:val="000000"/>
        </w:rPr>
        <w:t xml:space="preserve"> </w:t>
      </w:r>
      <w:r>
        <w:rPr>
          <w:rFonts w:hint="eastAsia" w:ascii="黑体" w:hAnsi="黑体" w:eastAsia="黑体"/>
          <w:bCs w:val="0"/>
          <w:lang w:eastAsia="zh-CN"/>
        </w:rPr>
        <w:t>2025年</w:t>
      </w:r>
      <w:r>
        <w:rPr>
          <w:rFonts w:hint="eastAsia" w:ascii="黑体" w:hAnsi="黑体" w:eastAsia="黑体"/>
          <w:bCs w:val="0"/>
        </w:rPr>
        <w:t>度部门决算情况说明</w:t>
      </w:r>
      <w:r>
        <w:tab/>
      </w:r>
      <w:r>
        <w:fldChar w:fldCharType="begin"/>
      </w:r>
      <w:r>
        <w:instrText xml:space="preserve"> PAGEREF _Toc5772 \h </w:instrText>
      </w:r>
      <w:r>
        <w:fldChar w:fldCharType="separate"/>
      </w:r>
      <w:r>
        <w:t>1</w:t>
      </w:r>
      <w:r>
        <w:fldChar w:fldCharType="end"/>
      </w:r>
    </w:p>
    <w:p>
      <w:pPr>
        <w:pStyle w:val="16"/>
        <w:tabs>
          <w:tab w:val="right" w:leader="dot" w:pos="8306"/>
        </w:tabs>
      </w:pPr>
      <w:r>
        <w:rPr>
          <w:rFonts w:hint="default" w:ascii="黑体" w:hAnsi="黑体" w:eastAsia="黑体" w:cs="Times New Roman"/>
        </w:rPr>
        <w:t xml:space="preserve">一、 </w:t>
      </w:r>
      <w:r>
        <w:rPr>
          <w:rFonts w:hint="eastAsia" w:ascii="黑体" w:hAnsi="黑体" w:eastAsia="黑体"/>
          <w:color w:val="000000"/>
          <w:szCs w:val="32"/>
        </w:rPr>
        <w:t>收</w:t>
      </w:r>
      <w:r>
        <w:rPr>
          <w:rFonts w:hint="eastAsia" w:ascii="黑体" w:hAnsi="黑体" w:eastAsia="黑体"/>
        </w:rPr>
        <w:t>入支出决算总体情况说明</w:t>
      </w:r>
      <w:r>
        <w:tab/>
      </w:r>
      <w:r>
        <w:fldChar w:fldCharType="begin"/>
      </w:r>
      <w:r>
        <w:instrText xml:space="preserve"> PAGEREF _Toc14051 \h </w:instrText>
      </w:r>
      <w:r>
        <w:fldChar w:fldCharType="separate"/>
      </w:r>
      <w:r>
        <w:t>1</w:t>
      </w:r>
      <w:r>
        <w:fldChar w:fldCharType="end"/>
      </w:r>
    </w:p>
    <w:p>
      <w:pPr>
        <w:pStyle w:val="16"/>
        <w:tabs>
          <w:tab w:val="right" w:leader="dot" w:pos="8306"/>
        </w:tabs>
      </w:pPr>
      <w:r>
        <w:rPr>
          <w:rFonts w:hint="default" w:ascii="黑体" w:hAnsi="黑体" w:eastAsia="黑体" w:cs="Times New Roman"/>
        </w:rPr>
        <w:t xml:space="preserve">二、 </w:t>
      </w:r>
      <w:r>
        <w:rPr>
          <w:rFonts w:hint="eastAsia" w:ascii="黑体" w:hAnsi="黑体" w:eastAsia="黑体"/>
          <w:color w:val="000000"/>
          <w:szCs w:val="32"/>
        </w:rPr>
        <w:t>支</w:t>
      </w:r>
      <w:r>
        <w:rPr>
          <w:rFonts w:hint="eastAsia" w:ascii="黑体" w:hAnsi="黑体" w:eastAsia="黑体"/>
        </w:rPr>
        <w:t>出决算情况说明</w:t>
      </w:r>
      <w:r>
        <w:tab/>
      </w:r>
      <w:r>
        <w:fldChar w:fldCharType="begin"/>
      </w:r>
      <w:r>
        <w:instrText xml:space="preserve"> PAGEREF _Toc15526 \h </w:instrText>
      </w:r>
      <w:r>
        <w:fldChar w:fldCharType="separate"/>
      </w:r>
      <w:r>
        <w:t>1</w:t>
      </w:r>
      <w:r>
        <w:fldChar w:fldCharType="end"/>
      </w:r>
    </w:p>
    <w:p>
      <w:pPr>
        <w:pStyle w:val="16"/>
        <w:tabs>
          <w:tab w:val="right" w:leader="dot" w:pos="8306"/>
        </w:tabs>
      </w:pPr>
      <w:r>
        <w:rPr>
          <w:rFonts w:hint="eastAsia" w:ascii="黑体" w:hAnsi="黑体" w:eastAsia="黑体"/>
          <w:color w:val="000000"/>
          <w:szCs w:val="32"/>
        </w:rPr>
        <w:t>四、财</w:t>
      </w:r>
      <w:r>
        <w:rPr>
          <w:rFonts w:hint="eastAsia" w:ascii="黑体" w:hAnsi="黑体" w:eastAsia="黑体"/>
        </w:rPr>
        <w:t>政拨款收入支出决算总体情况说明</w:t>
      </w:r>
      <w:r>
        <w:tab/>
      </w:r>
      <w:r>
        <w:fldChar w:fldCharType="begin"/>
      </w:r>
      <w:r>
        <w:instrText xml:space="preserve"> PAGEREF _Toc6579 \h </w:instrText>
      </w:r>
      <w:r>
        <w:fldChar w:fldCharType="separate"/>
      </w:r>
      <w:r>
        <w:t>1</w:t>
      </w:r>
      <w:r>
        <w:fldChar w:fldCharType="end"/>
      </w:r>
    </w:p>
    <w:p>
      <w:pPr>
        <w:pStyle w:val="16"/>
        <w:tabs>
          <w:tab w:val="right" w:leader="dot" w:pos="8306"/>
        </w:tabs>
      </w:pPr>
      <w:r>
        <w:rPr>
          <w:rFonts w:hint="eastAsia" w:ascii="黑体" w:hAnsi="黑体" w:eastAsia="黑体"/>
          <w:color w:val="000000"/>
          <w:szCs w:val="32"/>
        </w:rPr>
        <w:t>五、一</w:t>
      </w:r>
      <w:r>
        <w:rPr>
          <w:rFonts w:hint="eastAsia" w:ascii="黑体" w:hAnsi="黑体" w:eastAsia="黑体"/>
        </w:rPr>
        <w:t>般公共预算财政拨款支出决算情况说明</w:t>
      </w:r>
      <w:r>
        <w:tab/>
      </w:r>
      <w:r>
        <w:fldChar w:fldCharType="begin"/>
      </w:r>
      <w:r>
        <w:instrText xml:space="preserve"> PAGEREF _Toc3964 \h </w:instrText>
      </w:r>
      <w:r>
        <w:fldChar w:fldCharType="separate"/>
      </w:r>
      <w:r>
        <w:t>1</w:t>
      </w:r>
      <w:r>
        <w:fldChar w:fldCharType="end"/>
      </w:r>
    </w:p>
    <w:p>
      <w:pPr>
        <w:pStyle w:val="8"/>
        <w:tabs>
          <w:tab w:val="right" w:leader="dot" w:pos="8306"/>
        </w:tabs>
      </w:pPr>
      <w:r>
        <w:rPr>
          <w:rFonts w:hint="eastAsia" w:ascii="仿宋" w:hAnsi="仿宋" w:eastAsia="仿宋"/>
          <w:color w:val="000000"/>
          <w:szCs w:val="32"/>
        </w:rPr>
        <w:t>（一）一般公共预算财政拨款支出决算总体情况</w:t>
      </w:r>
      <w:r>
        <w:tab/>
      </w:r>
      <w:r>
        <w:fldChar w:fldCharType="begin"/>
      </w:r>
      <w:r>
        <w:instrText xml:space="preserve"> PAGEREF _Toc16256 \h </w:instrText>
      </w:r>
      <w:r>
        <w:fldChar w:fldCharType="separate"/>
      </w:r>
      <w:r>
        <w:t>1</w:t>
      </w:r>
      <w:r>
        <w:fldChar w:fldCharType="end"/>
      </w:r>
    </w:p>
    <w:p>
      <w:pPr>
        <w:pStyle w:val="8"/>
        <w:tabs>
          <w:tab w:val="right" w:leader="dot" w:pos="8306"/>
        </w:tabs>
      </w:pPr>
      <w:r>
        <w:rPr>
          <w:rFonts w:hint="eastAsia" w:ascii="仿宋" w:hAnsi="仿宋" w:eastAsia="仿宋"/>
          <w:color w:val="000000"/>
          <w:szCs w:val="32"/>
        </w:rPr>
        <w:t>（二）一般公共预算财政拨款支出决算结构情况</w:t>
      </w:r>
      <w:r>
        <w:tab/>
      </w:r>
      <w:r>
        <w:fldChar w:fldCharType="begin"/>
      </w:r>
      <w:r>
        <w:instrText xml:space="preserve"> PAGEREF _Toc4808 \h </w:instrText>
      </w:r>
      <w:r>
        <w:fldChar w:fldCharType="separate"/>
      </w:r>
      <w:r>
        <w:t>1</w:t>
      </w:r>
      <w:r>
        <w:fldChar w:fldCharType="end"/>
      </w:r>
    </w:p>
    <w:p>
      <w:pPr>
        <w:pStyle w:val="8"/>
        <w:tabs>
          <w:tab w:val="right" w:leader="dot" w:pos="8306"/>
        </w:tabs>
      </w:pPr>
      <w:r>
        <w:rPr>
          <w:rFonts w:hint="eastAsia" w:ascii="仿宋" w:hAnsi="仿宋" w:eastAsia="仿宋"/>
          <w:color w:val="000000"/>
          <w:szCs w:val="32"/>
        </w:rPr>
        <w:t>（图</w:t>
      </w:r>
      <w:r>
        <w:rPr>
          <w:rFonts w:ascii="仿宋" w:hAnsi="仿宋" w:eastAsia="仿宋"/>
          <w:color w:val="000000"/>
          <w:szCs w:val="32"/>
        </w:rPr>
        <w:t>6</w:t>
      </w:r>
      <w:r>
        <w:rPr>
          <w:rFonts w:hint="eastAsia" w:ascii="仿宋" w:hAnsi="仿宋" w:eastAsia="仿宋"/>
          <w:color w:val="000000"/>
          <w:szCs w:val="32"/>
        </w:rPr>
        <w:t>：一般公共预算财政拨款支出决算结构）（饼状图）</w:t>
      </w:r>
      <w:r>
        <w:tab/>
      </w:r>
      <w:r>
        <w:fldChar w:fldCharType="begin"/>
      </w:r>
      <w:r>
        <w:instrText xml:space="preserve"> PAGEREF _Toc26791 \h </w:instrText>
      </w:r>
      <w:r>
        <w:fldChar w:fldCharType="separate"/>
      </w:r>
      <w:r>
        <w:t>1</w:t>
      </w:r>
      <w:r>
        <w:fldChar w:fldCharType="end"/>
      </w:r>
    </w:p>
    <w:p>
      <w:pPr>
        <w:pStyle w:val="8"/>
        <w:tabs>
          <w:tab w:val="right" w:leader="dot" w:pos="8306"/>
        </w:tabs>
      </w:pPr>
      <w:r>
        <w:rPr>
          <w:rFonts w:hint="eastAsia" w:ascii="仿宋" w:hAnsi="仿宋" w:eastAsia="仿宋"/>
          <w:color w:val="000000"/>
          <w:szCs w:val="32"/>
        </w:rPr>
        <w:t>（三）一般公共预算财政拨款支出决算具体情况</w:t>
      </w:r>
      <w:r>
        <w:tab/>
      </w:r>
      <w:r>
        <w:fldChar w:fldCharType="begin"/>
      </w:r>
      <w:r>
        <w:instrText xml:space="preserve"> PAGEREF _Toc19153 \h </w:instrText>
      </w:r>
      <w:r>
        <w:fldChar w:fldCharType="separate"/>
      </w:r>
      <w:r>
        <w:t>1</w:t>
      </w:r>
      <w:r>
        <w:fldChar w:fldCharType="end"/>
      </w:r>
    </w:p>
    <w:p>
      <w:pPr>
        <w:pStyle w:val="16"/>
        <w:tabs>
          <w:tab w:val="right" w:leader="dot" w:pos="8306"/>
        </w:tabs>
      </w:pPr>
      <w:r>
        <w:rPr>
          <w:rFonts w:hint="eastAsia" w:ascii="黑体" w:eastAsia="黑体"/>
          <w:color w:val="000000"/>
          <w:szCs w:val="32"/>
        </w:rPr>
        <w:t>六、</w:t>
      </w:r>
      <w:r>
        <w:rPr>
          <w:rFonts w:hint="eastAsia" w:ascii="黑体" w:hAnsi="黑体" w:eastAsia="黑体"/>
          <w:color w:val="000000"/>
          <w:szCs w:val="32"/>
        </w:rPr>
        <w:t>一</w:t>
      </w:r>
      <w:r>
        <w:rPr>
          <w:rFonts w:hint="eastAsia" w:ascii="黑体" w:hAnsi="黑体" w:eastAsia="黑体"/>
        </w:rPr>
        <w:t>般公共预算财政拨款基本支出决算情况说明</w:t>
      </w:r>
      <w:r>
        <w:tab/>
      </w:r>
      <w:r>
        <w:fldChar w:fldCharType="begin"/>
      </w:r>
      <w:r>
        <w:instrText xml:space="preserve"> PAGEREF _Toc16427 \h </w:instrText>
      </w:r>
      <w:r>
        <w:fldChar w:fldCharType="separate"/>
      </w:r>
      <w:r>
        <w:t>1</w:t>
      </w:r>
      <w:r>
        <w:fldChar w:fldCharType="end"/>
      </w:r>
    </w:p>
    <w:p>
      <w:pPr>
        <w:pStyle w:val="16"/>
        <w:tabs>
          <w:tab w:val="right" w:leader="dot" w:pos="8306"/>
        </w:tabs>
      </w:pPr>
      <w:r>
        <w:rPr>
          <w:rFonts w:hint="eastAsia" w:ascii="黑体" w:eastAsia="黑体"/>
          <w:color w:val="000000"/>
          <w:szCs w:val="32"/>
        </w:rPr>
        <w:t>七、</w:t>
      </w:r>
      <w:r>
        <w:rPr>
          <w:rFonts w:hint="eastAsia" w:ascii="黑体" w:hAnsi="黑体" w:eastAsia="黑体"/>
        </w:rPr>
        <w:t>“三公”经费财政拨款支出决算情况说明</w:t>
      </w:r>
      <w:r>
        <w:tab/>
      </w:r>
      <w:r>
        <w:fldChar w:fldCharType="begin"/>
      </w:r>
      <w:r>
        <w:instrText xml:space="preserve"> PAGEREF _Toc30470 \h </w:instrText>
      </w:r>
      <w:r>
        <w:fldChar w:fldCharType="separate"/>
      </w:r>
      <w:r>
        <w:t>1</w:t>
      </w:r>
      <w:r>
        <w:fldChar w:fldCharType="end"/>
      </w:r>
    </w:p>
    <w:p>
      <w:pPr>
        <w:pStyle w:val="8"/>
        <w:tabs>
          <w:tab w:val="right" w:leader="dot" w:pos="8306"/>
        </w:tabs>
      </w:pPr>
      <w:r>
        <w:rPr>
          <w:rFonts w:hint="eastAsia" w:ascii="仿宋" w:hAnsi="仿宋" w:eastAsia="仿宋"/>
          <w:color w:val="000000"/>
          <w:szCs w:val="32"/>
        </w:rPr>
        <w:t>（一）“三公”经费财政拨款支出决算总体情况说明</w:t>
      </w:r>
      <w:r>
        <w:tab/>
      </w:r>
      <w:r>
        <w:fldChar w:fldCharType="begin"/>
      </w:r>
      <w:r>
        <w:instrText xml:space="preserve"> PAGEREF _Toc3693 \h </w:instrText>
      </w:r>
      <w:r>
        <w:fldChar w:fldCharType="separate"/>
      </w:r>
      <w:r>
        <w:t>1</w:t>
      </w:r>
      <w:r>
        <w:fldChar w:fldCharType="end"/>
      </w:r>
    </w:p>
    <w:p>
      <w:pPr>
        <w:pStyle w:val="8"/>
        <w:tabs>
          <w:tab w:val="right" w:leader="dot" w:pos="8306"/>
        </w:tabs>
      </w:pPr>
      <w:r>
        <w:rPr>
          <w:rFonts w:hint="eastAsia" w:ascii="仿宋" w:hAnsi="仿宋" w:eastAsia="仿宋"/>
          <w:color w:val="000000"/>
          <w:szCs w:val="32"/>
        </w:rPr>
        <w:t>（二）“三公”经费财政拨款支出决算具体情况说明</w:t>
      </w:r>
      <w:r>
        <w:tab/>
      </w:r>
      <w:r>
        <w:fldChar w:fldCharType="begin"/>
      </w:r>
      <w:r>
        <w:instrText xml:space="preserve"> PAGEREF _Toc21061 \h </w:instrText>
      </w:r>
      <w:r>
        <w:fldChar w:fldCharType="separate"/>
      </w:r>
      <w:r>
        <w:t>1</w:t>
      </w:r>
      <w:r>
        <w:fldChar w:fldCharType="end"/>
      </w:r>
    </w:p>
    <w:p>
      <w:pPr>
        <w:pStyle w:val="16"/>
        <w:tabs>
          <w:tab w:val="right" w:leader="dot" w:pos="8306"/>
        </w:tabs>
      </w:pPr>
      <w:r>
        <w:rPr>
          <w:rFonts w:hint="eastAsia" w:ascii="黑体" w:eastAsia="黑体"/>
          <w:color w:val="000000"/>
          <w:szCs w:val="32"/>
        </w:rPr>
        <w:t>八、</w:t>
      </w:r>
      <w:r>
        <w:rPr>
          <w:rFonts w:hint="eastAsia" w:ascii="黑体" w:hAnsi="黑体" w:eastAsia="黑体"/>
        </w:rPr>
        <w:t>政府性基金预算支出决算情况说明</w:t>
      </w:r>
      <w:r>
        <w:tab/>
      </w:r>
      <w:r>
        <w:fldChar w:fldCharType="begin"/>
      </w:r>
      <w:r>
        <w:instrText xml:space="preserve"> PAGEREF _Toc28361 \h </w:instrText>
      </w:r>
      <w:r>
        <w:fldChar w:fldCharType="separate"/>
      </w:r>
      <w:r>
        <w:t>1</w:t>
      </w:r>
      <w:r>
        <w:fldChar w:fldCharType="end"/>
      </w:r>
    </w:p>
    <w:p>
      <w:pPr>
        <w:pStyle w:val="16"/>
        <w:tabs>
          <w:tab w:val="right" w:leader="dot" w:pos="8306"/>
        </w:tabs>
      </w:pPr>
      <w:r>
        <w:rPr>
          <w:rFonts w:hint="eastAsia" w:ascii="黑体" w:hAnsi="黑体" w:eastAsia="黑体" w:cs="Times New Roman"/>
        </w:rPr>
        <w:t xml:space="preserve">九、 </w:t>
      </w:r>
      <w:r>
        <w:rPr>
          <w:rFonts w:hint="eastAsia" w:ascii="黑体" w:hAnsi="黑体" w:eastAsia="黑体"/>
        </w:rPr>
        <w:t>国有资本经营预算支出决算情况说明</w:t>
      </w:r>
      <w:r>
        <w:tab/>
      </w:r>
      <w:r>
        <w:fldChar w:fldCharType="begin"/>
      </w:r>
      <w:r>
        <w:instrText xml:space="preserve"> PAGEREF _Toc3718 \h </w:instrText>
      </w:r>
      <w:r>
        <w:fldChar w:fldCharType="separate"/>
      </w:r>
      <w:r>
        <w:t>1</w:t>
      </w:r>
      <w:r>
        <w:fldChar w:fldCharType="end"/>
      </w:r>
    </w:p>
    <w:p>
      <w:pPr>
        <w:pStyle w:val="16"/>
        <w:tabs>
          <w:tab w:val="right" w:leader="dot" w:pos="8306"/>
        </w:tabs>
      </w:pPr>
      <w:r>
        <w:rPr>
          <w:rFonts w:hint="eastAsia" w:ascii="黑体" w:hAnsi="黑体" w:eastAsia="黑体"/>
          <w:color w:val="000000"/>
          <w:szCs w:val="32"/>
        </w:rPr>
        <w:t>十</w:t>
      </w:r>
      <w:r>
        <w:rPr>
          <w:rFonts w:hint="eastAsia" w:ascii="黑体" w:hAnsi="黑体" w:eastAsia="黑体"/>
        </w:rPr>
        <w:t>、其他重要事项的情况说明</w:t>
      </w:r>
      <w:r>
        <w:tab/>
      </w:r>
      <w:r>
        <w:fldChar w:fldCharType="begin"/>
      </w:r>
      <w:r>
        <w:instrText xml:space="preserve"> PAGEREF _Toc1826 \h </w:instrText>
      </w:r>
      <w:r>
        <w:fldChar w:fldCharType="separate"/>
      </w:r>
      <w:r>
        <w:t>1</w:t>
      </w:r>
      <w:r>
        <w:fldChar w:fldCharType="end"/>
      </w:r>
    </w:p>
    <w:p>
      <w:pPr>
        <w:pStyle w:val="8"/>
        <w:tabs>
          <w:tab w:val="right" w:leader="dot" w:pos="8306"/>
        </w:tabs>
      </w:pPr>
      <w:r>
        <w:rPr>
          <w:rFonts w:hint="eastAsia" w:ascii="仿宋" w:hAnsi="仿宋" w:eastAsia="仿宋"/>
          <w:color w:val="000000"/>
          <w:szCs w:val="32"/>
        </w:rPr>
        <w:t>（一）机关运行经费支出情况</w:t>
      </w:r>
      <w:r>
        <w:tab/>
      </w:r>
      <w:r>
        <w:fldChar w:fldCharType="begin"/>
      </w:r>
      <w:r>
        <w:instrText xml:space="preserve"> PAGEREF _Toc11977 \h </w:instrText>
      </w:r>
      <w:r>
        <w:fldChar w:fldCharType="separate"/>
      </w:r>
      <w:r>
        <w:t>1</w:t>
      </w:r>
      <w:r>
        <w:fldChar w:fldCharType="end"/>
      </w:r>
    </w:p>
    <w:p>
      <w:pPr>
        <w:pStyle w:val="8"/>
        <w:tabs>
          <w:tab w:val="right" w:leader="dot" w:pos="8306"/>
        </w:tabs>
      </w:pPr>
      <w:r>
        <w:rPr>
          <w:rFonts w:hint="eastAsia" w:ascii="仿宋" w:hAnsi="仿宋" w:eastAsia="仿宋"/>
          <w:color w:val="000000"/>
          <w:szCs w:val="32"/>
        </w:rPr>
        <w:t>（二）政府采购支出情况</w:t>
      </w:r>
      <w:r>
        <w:tab/>
      </w:r>
      <w:r>
        <w:fldChar w:fldCharType="begin"/>
      </w:r>
      <w:r>
        <w:instrText xml:space="preserve"> PAGEREF _Toc30865 \h </w:instrText>
      </w:r>
      <w:r>
        <w:fldChar w:fldCharType="separate"/>
      </w:r>
      <w:r>
        <w:t>1</w:t>
      </w:r>
      <w:r>
        <w:fldChar w:fldCharType="end"/>
      </w:r>
    </w:p>
    <w:p>
      <w:pPr>
        <w:pStyle w:val="8"/>
        <w:tabs>
          <w:tab w:val="right" w:leader="dot" w:pos="8306"/>
        </w:tabs>
      </w:pPr>
      <w:r>
        <w:rPr>
          <w:rFonts w:hint="eastAsia" w:ascii="仿宋" w:hAnsi="仿宋" w:eastAsia="仿宋"/>
          <w:color w:val="000000"/>
          <w:szCs w:val="32"/>
        </w:rPr>
        <w:t>（三）国有资产占有使用情况</w:t>
      </w:r>
      <w:r>
        <w:tab/>
      </w:r>
      <w:r>
        <w:fldChar w:fldCharType="begin"/>
      </w:r>
      <w:r>
        <w:instrText xml:space="preserve"> PAGEREF _Toc14704 \h </w:instrText>
      </w:r>
      <w:r>
        <w:fldChar w:fldCharType="separate"/>
      </w:r>
      <w:r>
        <w:t>1</w:t>
      </w:r>
      <w:r>
        <w:fldChar w:fldCharType="end"/>
      </w:r>
    </w:p>
    <w:p>
      <w:pPr>
        <w:pStyle w:val="8"/>
        <w:tabs>
          <w:tab w:val="right" w:leader="dot" w:pos="8306"/>
        </w:tabs>
      </w:pPr>
      <w:r>
        <w:rPr>
          <w:rFonts w:hint="eastAsia" w:ascii="仿宋" w:hAnsi="仿宋" w:eastAsia="仿宋"/>
          <w:color w:val="000000"/>
          <w:szCs w:val="32"/>
        </w:rPr>
        <w:t>（四）预算绩效管理情况。</w:t>
      </w:r>
      <w:r>
        <w:tab/>
      </w:r>
      <w:r>
        <w:fldChar w:fldCharType="begin"/>
      </w:r>
      <w:r>
        <w:instrText xml:space="preserve"> PAGEREF _Toc15068 \h </w:instrText>
      </w:r>
      <w:r>
        <w:fldChar w:fldCharType="separate"/>
      </w:r>
      <w:r>
        <w:t>1</w:t>
      </w:r>
      <w:r>
        <w:fldChar w:fldCharType="end"/>
      </w:r>
    </w:p>
    <w:p>
      <w:pPr>
        <w:pStyle w:val="13"/>
        <w:tabs>
          <w:tab w:val="right" w:leader="dot" w:pos="8306"/>
        </w:tabs>
      </w:pPr>
      <w:r>
        <w:rPr>
          <w:rFonts w:hint="eastAsia" w:ascii="黑体" w:hAnsi="黑体" w:eastAsia="黑体" w:cs="Times New Roman"/>
        </w:rPr>
        <w:t xml:space="preserve">第三部分 </w:t>
      </w:r>
      <w:r>
        <w:rPr>
          <w:rFonts w:hint="eastAsia" w:ascii="黑体" w:hAnsi="黑体" w:eastAsia="黑体"/>
          <w:color w:val="000000"/>
          <w:szCs w:val="44"/>
        </w:rPr>
        <w:t>名</w:t>
      </w:r>
      <w:r>
        <w:rPr>
          <w:rFonts w:hint="eastAsia" w:ascii="黑体" w:hAnsi="黑体" w:eastAsia="黑体"/>
        </w:rPr>
        <w:t>词解释</w:t>
      </w:r>
      <w:r>
        <w:tab/>
      </w:r>
      <w:r>
        <w:fldChar w:fldCharType="begin"/>
      </w:r>
      <w:r>
        <w:instrText xml:space="preserve"> PAGEREF _Toc20078 \h </w:instrText>
      </w:r>
      <w:r>
        <w:fldChar w:fldCharType="separate"/>
      </w:r>
      <w:r>
        <w:t>1</w:t>
      </w:r>
      <w:r>
        <w:fldChar w:fldCharType="end"/>
      </w:r>
    </w:p>
    <w:p>
      <w:pPr>
        <w:pStyle w:val="13"/>
        <w:tabs>
          <w:tab w:val="right" w:leader="dot" w:pos="8306"/>
        </w:tabs>
      </w:pPr>
      <w:r>
        <w:rPr>
          <w:rFonts w:hint="eastAsia" w:ascii="黑体" w:hAnsi="黑体" w:eastAsia="黑体"/>
          <w:color w:val="000000"/>
          <w:szCs w:val="44"/>
        </w:rPr>
        <w:t>第</w:t>
      </w:r>
      <w:r>
        <w:rPr>
          <w:rFonts w:hint="eastAsia" w:ascii="黑体" w:hAnsi="黑体" w:eastAsia="黑体"/>
        </w:rPr>
        <w:t>四部分</w:t>
      </w:r>
      <w:r>
        <w:rPr>
          <w:rFonts w:ascii="黑体" w:hAnsi="黑体" w:eastAsia="黑体"/>
        </w:rPr>
        <w:t xml:space="preserve"> </w:t>
      </w:r>
      <w:r>
        <w:rPr>
          <w:rFonts w:hint="eastAsia" w:ascii="黑体" w:hAnsi="黑体" w:eastAsia="黑体"/>
        </w:rPr>
        <w:t>附件</w:t>
      </w:r>
      <w:r>
        <w:tab/>
      </w:r>
      <w:r>
        <w:fldChar w:fldCharType="begin"/>
      </w:r>
      <w:r>
        <w:instrText xml:space="preserve"> PAGEREF _Toc24675 \h </w:instrText>
      </w:r>
      <w:r>
        <w:fldChar w:fldCharType="separate"/>
      </w:r>
      <w:r>
        <w:t>1</w:t>
      </w:r>
      <w:r>
        <w:fldChar w:fldCharType="end"/>
      </w:r>
    </w:p>
    <w:p>
      <w:pPr>
        <w:pStyle w:val="13"/>
        <w:tabs>
          <w:tab w:val="right" w:leader="dot" w:pos="8306"/>
        </w:tabs>
      </w:pPr>
      <w:r>
        <w:rPr>
          <w:rFonts w:hint="eastAsia" w:ascii="黑体" w:hAnsi="黑体" w:eastAsia="黑体" w:cs="黑体"/>
          <w:szCs w:val="32"/>
        </w:rPr>
        <w:t>附件</w:t>
      </w:r>
      <w:r>
        <w:rPr>
          <w:rFonts w:ascii="黑体" w:hAnsi="黑体" w:eastAsia="黑体" w:cs="黑体"/>
          <w:szCs w:val="32"/>
        </w:rPr>
        <w:t>1</w:t>
      </w:r>
      <w:r>
        <w:tab/>
      </w:r>
      <w:r>
        <w:fldChar w:fldCharType="begin"/>
      </w:r>
      <w:r>
        <w:instrText xml:space="preserve"> PAGEREF _Toc18421 \h </w:instrText>
      </w:r>
      <w:r>
        <w:fldChar w:fldCharType="separate"/>
      </w:r>
      <w:r>
        <w:t>1</w:t>
      </w:r>
      <w:r>
        <w:fldChar w:fldCharType="end"/>
      </w:r>
    </w:p>
    <w:p>
      <w:pPr>
        <w:pStyle w:val="13"/>
        <w:tabs>
          <w:tab w:val="right" w:leader="dot" w:pos="8306"/>
        </w:tabs>
      </w:pPr>
      <w:r>
        <w:rPr>
          <w:rFonts w:hint="eastAsia" w:ascii="方正小标宋简体" w:hAnsi="黑体" w:eastAsia="方正小标宋简体" w:cs="黑体"/>
          <w:szCs w:val="44"/>
          <w:lang w:eastAsia="zh-CN"/>
        </w:rPr>
        <w:t>小金县政府办信息中心</w:t>
      </w:r>
      <w:r>
        <w:tab/>
      </w:r>
      <w:r>
        <w:fldChar w:fldCharType="begin"/>
      </w:r>
      <w:r>
        <w:instrText xml:space="preserve"> PAGEREF _Toc28316 \h </w:instrText>
      </w:r>
      <w:r>
        <w:fldChar w:fldCharType="separate"/>
      </w:r>
      <w:r>
        <w:t>1</w:t>
      </w:r>
      <w:r>
        <w:fldChar w:fldCharType="end"/>
      </w:r>
    </w:p>
    <w:p>
      <w:pPr>
        <w:pStyle w:val="13"/>
        <w:tabs>
          <w:tab w:val="right" w:leader="dot" w:pos="8306"/>
        </w:tabs>
      </w:pPr>
      <w:r>
        <w:rPr>
          <w:rFonts w:hint="eastAsia" w:ascii="方正小标宋简体" w:hAnsi="黑体" w:eastAsia="方正小标宋简体" w:cs="黑体"/>
          <w:szCs w:val="44"/>
          <w:lang w:eastAsia="zh-CN"/>
        </w:rPr>
        <w:t>2025年</w:t>
      </w:r>
      <w:r>
        <w:rPr>
          <w:rFonts w:hint="eastAsia" w:ascii="方正小标宋简体" w:hAnsi="黑体" w:eastAsia="方正小标宋简体" w:cs="黑体"/>
          <w:szCs w:val="44"/>
        </w:rPr>
        <w:t>部门整体支出绩效评价报告</w:t>
      </w:r>
      <w:r>
        <w:tab/>
      </w:r>
      <w:r>
        <w:fldChar w:fldCharType="begin"/>
      </w:r>
      <w:r>
        <w:instrText xml:space="preserve"> PAGEREF _Toc389 \h </w:instrText>
      </w:r>
      <w:r>
        <w:fldChar w:fldCharType="separate"/>
      </w:r>
      <w:r>
        <w:t>1</w:t>
      </w:r>
      <w:r>
        <w:fldChar w:fldCharType="end"/>
      </w:r>
    </w:p>
    <w:p>
      <w:pPr>
        <w:pStyle w:val="16"/>
        <w:tabs>
          <w:tab w:val="right" w:leader="dot" w:pos="8306"/>
        </w:tabs>
      </w:pPr>
      <w:r>
        <w:rPr>
          <w:rFonts w:hint="eastAsia" w:ascii="仿宋_GB2312" w:hAnsi="仿宋_GB2312" w:eastAsia="仿宋_GB2312" w:cs="仿宋_GB2312"/>
          <w:bCs w:val="0"/>
          <w:szCs w:val="32"/>
        </w:rPr>
        <w:t>十四、国有资本经营预算财政拨款支出决算表</w:t>
      </w:r>
      <w:r>
        <w:tab/>
      </w:r>
      <w:r>
        <w:fldChar w:fldCharType="begin"/>
      </w:r>
      <w:r>
        <w:instrText xml:space="preserve"> PAGEREF _Toc5980 \h </w:instrText>
      </w:r>
      <w:r>
        <w:fldChar w:fldCharType="separate"/>
      </w:r>
      <w:r>
        <w:t>1</w:t>
      </w:r>
      <w:r>
        <w:fldChar w:fldCharType="end"/>
      </w:r>
    </w:p>
    <w:p>
      <w:r>
        <w:rPr>
          <w:rFonts w:asciiTheme="minorHAnsi" w:eastAsiaTheme="minorHAnsi"/>
          <w:bCs/>
          <w:caps/>
          <w:szCs w:val="20"/>
        </w:rPr>
        <w:fldChar w:fldCharType="end"/>
      </w:r>
    </w:p>
    <w:p>
      <w:pPr>
        <w:widowControl/>
        <w:spacing w:line="440" w:lineRule="exact"/>
        <w:jc w:val="left"/>
        <w:rPr>
          <w:rFonts w:ascii="仿宋" w:hAnsi="仿宋" w:eastAsia="仿宋"/>
          <w:bCs/>
          <w:kern w:val="44"/>
          <w:sz w:val="24"/>
        </w:rPr>
      </w:pPr>
      <w:bookmarkStart w:id="12" w:name="_Toc15396599"/>
      <w:bookmarkStart w:id="13" w:name="_Toc15377196"/>
      <w:r>
        <w:rPr>
          <w:rFonts w:ascii="仿宋" w:hAnsi="仿宋" w:eastAsia="仿宋"/>
          <w:b/>
          <w:sz w:val="24"/>
        </w:rPr>
        <w:br w:type="page"/>
      </w:r>
    </w:p>
    <w:p>
      <w:pPr>
        <w:pStyle w:val="2"/>
        <w:jc w:val="center"/>
        <w:rPr>
          <w:rStyle w:val="23"/>
          <w:rFonts w:ascii="黑体" w:hAnsi="黑体" w:eastAsia="黑体"/>
          <w:b/>
          <w:bCs w:val="0"/>
        </w:rPr>
      </w:pPr>
      <w:bookmarkStart w:id="14" w:name="_Toc79163601"/>
      <w:bookmarkStart w:id="15" w:name="_Toc8314"/>
      <w:r>
        <w:rPr>
          <w:rFonts w:hint="eastAsia" w:ascii="黑体" w:hAnsi="黑体" w:eastAsia="黑体"/>
          <w:b w:val="0"/>
        </w:rPr>
        <w:t>第一部分</w:t>
      </w:r>
      <w:r>
        <w:rPr>
          <w:rFonts w:ascii="黑体" w:hAnsi="黑体" w:eastAsia="黑体"/>
          <w:b w:val="0"/>
        </w:rPr>
        <w:t xml:space="preserve"> </w:t>
      </w:r>
      <w:r>
        <w:rPr>
          <w:rStyle w:val="23"/>
          <w:rFonts w:hint="eastAsia" w:ascii="黑体" w:hAnsi="黑体" w:eastAsia="黑体"/>
          <w:b w:val="0"/>
          <w:bCs w:val="0"/>
        </w:rPr>
        <w:t>部门概况</w:t>
      </w:r>
      <w:bookmarkEnd w:id="12"/>
      <w:bookmarkEnd w:id="13"/>
      <w:bookmarkEnd w:id="14"/>
      <w:bookmarkEnd w:id="15"/>
    </w:p>
    <w:p>
      <w:pPr>
        <w:widowControl/>
        <w:jc w:val="left"/>
        <w:rPr>
          <w:rFonts w:ascii="黑体" w:eastAsia="黑体"/>
          <w:color w:val="000000"/>
          <w:sz w:val="32"/>
          <w:szCs w:val="32"/>
        </w:rPr>
      </w:pPr>
    </w:p>
    <w:p>
      <w:pPr>
        <w:pStyle w:val="3"/>
        <w:rPr>
          <w:rStyle w:val="24"/>
          <w:rFonts w:ascii="仿宋" w:hAnsi="仿宋" w:eastAsia="仿宋"/>
          <w:b w:val="0"/>
          <w:bCs w:val="0"/>
        </w:rPr>
      </w:pPr>
      <w:bookmarkStart w:id="16" w:name="_Toc15396600"/>
      <w:bookmarkStart w:id="17" w:name="_Toc79163602"/>
      <w:bookmarkStart w:id="18" w:name="_Toc15377197"/>
      <w:bookmarkStart w:id="19" w:name="_Toc3255"/>
      <w:r>
        <w:rPr>
          <w:rFonts w:hint="eastAsia" w:ascii="黑体" w:hAnsi="黑体" w:eastAsia="黑体"/>
          <w:b w:val="0"/>
          <w:color w:val="000000"/>
        </w:rPr>
        <w:t>一、基</w:t>
      </w:r>
      <w:r>
        <w:rPr>
          <w:rStyle w:val="24"/>
          <w:rFonts w:hint="eastAsia" w:ascii="黑体" w:hAnsi="黑体" w:eastAsia="黑体"/>
          <w:b w:val="0"/>
          <w:bCs w:val="0"/>
        </w:rPr>
        <w:t>本职能及主要工作</w:t>
      </w:r>
      <w:bookmarkEnd w:id="16"/>
      <w:bookmarkEnd w:id="17"/>
      <w:bookmarkEnd w:id="18"/>
      <w:bookmarkEnd w:id="19"/>
    </w:p>
    <w:p>
      <w:pPr>
        <w:pStyle w:val="6"/>
        <w:adjustRightInd w:val="0"/>
        <w:snapToGrid w:val="0"/>
        <w:spacing w:before="93" w:line="600" w:lineRule="exact"/>
        <w:ind w:firstLine="640" w:firstLineChars="200"/>
        <w:outlineLvl w:val="2"/>
        <w:rPr>
          <w:rFonts w:ascii="仿宋" w:hAnsi="仿宋" w:eastAsia="仿宋"/>
          <w:bCs/>
          <w:color w:val="000000"/>
          <w:sz w:val="32"/>
          <w:szCs w:val="32"/>
        </w:rPr>
      </w:pPr>
      <w:bookmarkStart w:id="20" w:name="_Toc79163603"/>
      <w:bookmarkStart w:id="21" w:name="_Toc26584"/>
      <w:bookmarkStart w:id="22" w:name="_Toc15377198"/>
      <w:bookmarkStart w:id="23" w:name="_Toc15378445"/>
      <w:r>
        <w:rPr>
          <w:rFonts w:hint="eastAsia" w:ascii="仿宋" w:hAnsi="仿宋" w:eastAsia="仿宋"/>
          <w:bCs/>
          <w:color w:val="000000"/>
          <w:sz w:val="32"/>
          <w:szCs w:val="32"/>
        </w:rPr>
        <w:t>（一）主要职能。</w:t>
      </w:r>
      <w:bookmarkEnd w:id="20"/>
      <w:bookmarkEnd w:id="21"/>
    </w:p>
    <w:p>
      <w:pPr>
        <w:pStyle w:val="6"/>
        <w:adjustRightInd w:val="0"/>
        <w:snapToGrid w:val="0"/>
        <w:spacing w:before="93" w:line="600" w:lineRule="exact"/>
        <w:ind w:firstLine="672" w:firstLineChars="210"/>
        <w:outlineLvl w:val="2"/>
        <w:rPr>
          <w:rFonts w:hint="default" w:ascii="仿宋_GB2312" w:eastAsia="仿宋_GB2312"/>
          <w:sz w:val="32"/>
          <w:szCs w:val="32"/>
          <w:lang w:val="en-US" w:eastAsia="zh-CN"/>
        </w:rPr>
      </w:pPr>
      <w:bookmarkStart w:id="24" w:name="_Toc31640"/>
      <w:r>
        <w:rPr>
          <w:rFonts w:hint="eastAsia" w:ascii="仿宋_GB2312" w:eastAsia="仿宋_GB2312"/>
          <w:sz w:val="32"/>
          <w:szCs w:val="32"/>
        </w:rPr>
        <w:t>1</w:t>
      </w:r>
      <w:r>
        <w:rPr>
          <w:rFonts w:hint="eastAsia"/>
          <w:sz w:val="32"/>
          <w:szCs w:val="32"/>
          <w:lang w:val="en-US" w:eastAsia="zh-CN"/>
        </w:rPr>
        <w:t>.负责政府门户网站、方正电子公文交换系统的建设、维护、管理工作；负责全县政府信息公开、指导、收集、报送和督促工作；负责县政府及县政府办公室各种信息的收集、撰写和上报下传，编写印发《政务信息》；负责政府办OA系统、网络设备的运行、维护工作；负责“州长信箱”“县长信箱”来件的转办、督办；办理领导交办的其他工作。</w:t>
      </w:r>
      <w:bookmarkEnd w:id="24"/>
    </w:p>
    <w:p>
      <w:pPr>
        <w:pStyle w:val="6"/>
        <w:adjustRightInd w:val="0"/>
        <w:snapToGrid w:val="0"/>
        <w:spacing w:before="93" w:line="600" w:lineRule="exact"/>
        <w:ind w:firstLine="640" w:firstLineChars="200"/>
        <w:outlineLvl w:val="2"/>
        <w:rPr>
          <w:rFonts w:hint="eastAsia" w:ascii="仿宋" w:hAnsi="仿宋" w:eastAsia="仿宋"/>
          <w:bCs/>
          <w:color w:val="000000"/>
          <w:sz w:val="32"/>
          <w:szCs w:val="32"/>
        </w:rPr>
      </w:pPr>
      <w:bookmarkStart w:id="25" w:name="_Toc732"/>
      <w:r>
        <w:rPr>
          <w:rFonts w:hint="eastAsia" w:ascii="仿宋" w:hAnsi="仿宋" w:eastAsia="仿宋"/>
          <w:bCs/>
          <w:color w:val="000000"/>
          <w:sz w:val="32"/>
          <w:szCs w:val="32"/>
        </w:rPr>
        <w:t>（二）</w:t>
      </w:r>
      <w:r>
        <w:rPr>
          <w:rFonts w:hint="eastAsia" w:ascii="仿宋" w:hAnsi="仿宋" w:eastAsia="仿宋"/>
          <w:bCs/>
          <w:color w:val="000000"/>
          <w:sz w:val="32"/>
          <w:szCs w:val="32"/>
          <w:lang w:eastAsia="zh-CN"/>
        </w:rPr>
        <w:t>2025年</w:t>
      </w:r>
      <w:r>
        <w:rPr>
          <w:rFonts w:hint="eastAsia" w:ascii="仿宋" w:hAnsi="仿宋" w:eastAsia="仿宋"/>
          <w:bCs/>
          <w:color w:val="000000"/>
          <w:sz w:val="32"/>
          <w:szCs w:val="32"/>
        </w:rPr>
        <w:t>重点工作完成情况。</w:t>
      </w:r>
      <w:bookmarkEnd w:id="25"/>
    </w:p>
    <w:p>
      <w:pPr>
        <w:pStyle w:val="3"/>
        <w:ind w:firstLine="640" w:firstLineChars="200"/>
        <w:rPr>
          <w:rFonts w:hint="eastAsia" w:ascii="仿宋_GB2312" w:eastAsia="仿宋_GB2312"/>
          <w:b w:val="0"/>
          <w:bCs w:val="0"/>
          <w:color w:val="333333"/>
          <w:sz w:val="32"/>
          <w:szCs w:val="32"/>
          <w:lang w:val="en-US" w:eastAsia="zh-CN"/>
        </w:rPr>
      </w:pPr>
      <w:bookmarkStart w:id="26" w:name="_Toc20403"/>
      <w:r>
        <w:rPr>
          <w:rFonts w:hint="eastAsia" w:ascii="仿宋_GB2312" w:eastAsia="仿宋_GB2312"/>
          <w:b w:val="0"/>
          <w:bCs w:val="0"/>
          <w:color w:val="333333"/>
          <w:sz w:val="32"/>
          <w:szCs w:val="32"/>
          <w:lang w:val="en-US" w:eastAsia="zh-CN"/>
        </w:rPr>
        <w:t>按照政府办信息中心职能职责相关的各项工作及县委、政府交的其他各项工作。</w:t>
      </w:r>
      <w:bookmarkEnd w:id="26"/>
    </w:p>
    <w:p>
      <w:pPr>
        <w:pStyle w:val="3"/>
        <w:rPr>
          <w:rStyle w:val="24"/>
          <w:b w:val="0"/>
          <w:bCs w:val="0"/>
        </w:rPr>
      </w:pPr>
      <w:bookmarkStart w:id="27" w:name="_Toc698"/>
      <w:r>
        <w:rPr>
          <w:rFonts w:hint="eastAsia" w:ascii="黑体" w:eastAsia="黑体"/>
          <w:b w:val="0"/>
          <w:color w:val="000000"/>
        </w:rPr>
        <w:t>二、</w:t>
      </w:r>
      <w:r>
        <w:rPr>
          <w:rFonts w:hint="eastAsia" w:ascii="黑体" w:hAnsi="黑体" w:eastAsia="黑体"/>
          <w:b w:val="0"/>
          <w:color w:val="000000"/>
        </w:rPr>
        <w:t>机</w:t>
      </w:r>
      <w:r>
        <w:rPr>
          <w:rStyle w:val="24"/>
          <w:rFonts w:hint="eastAsia" w:ascii="黑体" w:hAnsi="黑体" w:eastAsia="黑体"/>
          <w:b w:val="0"/>
          <w:bCs w:val="0"/>
        </w:rPr>
        <w:t>构设置</w:t>
      </w:r>
      <w:bookmarkEnd w:id="27"/>
    </w:p>
    <w:p>
      <w:pPr>
        <w:pStyle w:val="6"/>
        <w:numPr>
          <w:ilvl w:val="0"/>
          <w:numId w:val="0"/>
        </w:numPr>
        <w:adjustRightInd w:val="0"/>
        <w:snapToGrid w:val="0"/>
        <w:spacing w:before="93" w:line="600" w:lineRule="exact"/>
        <w:ind w:firstLine="640" w:firstLineChars="200"/>
        <w:outlineLvl w:val="2"/>
        <w:rPr>
          <w:rFonts w:ascii="仿宋" w:hAnsi="仿宋" w:eastAsia="仿宋"/>
          <w:sz w:val="32"/>
          <w:szCs w:val="32"/>
        </w:rPr>
      </w:pPr>
      <w:bookmarkStart w:id="28" w:name="_Toc6323"/>
      <w:r>
        <w:rPr>
          <w:rFonts w:hint="eastAsia"/>
          <w:color w:val="000000"/>
          <w:sz w:val="32"/>
          <w:szCs w:val="32"/>
        </w:rPr>
        <w:t>政府下属二级单位</w:t>
      </w:r>
      <w:r>
        <w:rPr>
          <w:rFonts w:hint="eastAsia"/>
          <w:color w:val="000000"/>
          <w:sz w:val="32"/>
          <w:szCs w:val="32"/>
          <w:lang w:val="en-US" w:eastAsia="zh-CN"/>
        </w:rPr>
        <w:t>1</w:t>
      </w:r>
      <w:r>
        <w:rPr>
          <w:rFonts w:hint="eastAsia"/>
          <w:color w:val="000000"/>
          <w:sz w:val="32"/>
          <w:szCs w:val="32"/>
        </w:rPr>
        <w:t>个，其中行政单位0个，参照公务员法管理的事业单位</w:t>
      </w:r>
      <w:r>
        <w:rPr>
          <w:rFonts w:hint="eastAsia"/>
          <w:bCs/>
          <w:color w:val="000000"/>
          <w:sz w:val="32"/>
          <w:szCs w:val="32"/>
        </w:rPr>
        <w:t>0</w:t>
      </w:r>
      <w:r>
        <w:rPr>
          <w:rFonts w:hint="eastAsia"/>
          <w:color w:val="000000"/>
          <w:sz w:val="32"/>
          <w:szCs w:val="32"/>
        </w:rPr>
        <w:t>个，其他事业单位</w:t>
      </w:r>
      <w:r>
        <w:rPr>
          <w:rFonts w:hint="eastAsia"/>
          <w:color w:val="000000"/>
          <w:sz w:val="32"/>
          <w:szCs w:val="32"/>
          <w:lang w:val="en-US" w:eastAsia="zh-CN"/>
        </w:rPr>
        <w:t>1</w:t>
      </w:r>
      <w:r>
        <w:rPr>
          <w:rFonts w:hint="eastAsia"/>
          <w:color w:val="000000"/>
          <w:sz w:val="32"/>
          <w:szCs w:val="32"/>
        </w:rPr>
        <w:t>个。</w:t>
      </w:r>
      <w:bookmarkEnd w:id="22"/>
      <w:bookmarkEnd w:id="23"/>
      <w:bookmarkEnd w:id="28"/>
    </w:p>
    <w:p>
      <w:pPr>
        <w:widowControl/>
        <w:jc w:val="left"/>
        <w:rPr>
          <w:rFonts w:ascii="仿宋" w:hAnsi="仿宋" w:eastAsia="仿宋"/>
          <w:color w:val="000000"/>
          <w:kern w:val="0"/>
          <w:sz w:val="32"/>
          <w:szCs w:val="32"/>
        </w:rPr>
      </w:pPr>
    </w:p>
    <w:p>
      <w:pPr>
        <w:widowControl/>
        <w:jc w:val="left"/>
        <w:rPr>
          <w:rFonts w:ascii="仿宋" w:hAnsi="仿宋" w:eastAsia="仿宋"/>
          <w:color w:val="000000"/>
          <w:kern w:val="0"/>
          <w:sz w:val="32"/>
          <w:szCs w:val="32"/>
        </w:rPr>
      </w:pPr>
    </w:p>
    <w:p>
      <w:pPr>
        <w:widowControl/>
        <w:jc w:val="left"/>
        <w:rPr>
          <w:rFonts w:ascii="仿宋" w:hAnsi="仿宋" w:eastAsia="仿宋"/>
          <w:color w:val="000000"/>
          <w:kern w:val="0"/>
          <w:sz w:val="32"/>
          <w:szCs w:val="32"/>
        </w:rPr>
      </w:pPr>
    </w:p>
    <w:p>
      <w:pPr>
        <w:pStyle w:val="2"/>
        <w:ind w:right="440"/>
        <w:jc w:val="right"/>
        <w:rPr>
          <w:rStyle w:val="23"/>
          <w:rFonts w:ascii="黑体" w:hAnsi="黑体" w:eastAsia="黑体"/>
          <w:b w:val="0"/>
          <w:bCs w:val="0"/>
        </w:rPr>
      </w:pPr>
      <w:bookmarkStart w:id="29" w:name="_Toc79163609"/>
      <w:bookmarkStart w:id="30" w:name="_Toc5772"/>
      <w:bookmarkStart w:id="31" w:name="_Toc15396602"/>
      <w:bookmarkStart w:id="32" w:name="_Toc15377204"/>
      <w:r>
        <w:rPr>
          <w:rFonts w:hint="eastAsia" w:ascii="黑体" w:hAnsi="黑体" w:eastAsia="黑体"/>
          <w:b w:val="0"/>
          <w:color w:val="000000"/>
        </w:rPr>
        <w:t>第二部分</w:t>
      </w:r>
      <w:r>
        <w:rPr>
          <w:rFonts w:ascii="黑体" w:hAnsi="黑体" w:eastAsia="黑体"/>
          <w:color w:val="000000"/>
        </w:rPr>
        <w:t xml:space="preserve"> </w:t>
      </w:r>
      <w:r>
        <w:rPr>
          <w:rStyle w:val="23"/>
          <w:rFonts w:hint="eastAsia" w:ascii="黑体" w:hAnsi="黑体" w:eastAsia="黑体"/>
          <w:b w:val="0"/>
          <w:bCs w:val="0"/>
          <w:lang w:eastAsia="zh-CN"/>
        </w:rPr>
        <w:t>2025年</w:t>
      </w:r>
      <w:r>
        <w:rPr>
          <w:rStyle w:val="23"/>
          <w:rFonts w:hint="eastAsia" w:ascii="黑体" w:hAnsi="黑体" w:eastAsia="黑体"/>
          <w:b w:val="0"/>
          <w:bCs w:val="0"/>
        </w:rPr>
        <w:t>度部门决算情况说明</w:t>
      </w:r>
      <w:bookmarkEnd w:id="29"/>
      <w:bookmarkEnd w:id="30"/>
      <w:bookmarkEnd w:id="31"/>
      <w:bookmarkEnd w:id="32"/>
    </w:p>
    <w:p>
      <w:r>
        <w:rPr>
          <w:rFonts w:hint="eastAsia" w:eastAsia="宋体"/>
          <w:lang w:eastAsia="zh-CN"/>
        </w:rPr>
        <w:drawing>
          <wp:anchor distT="0" distB="0" distL="114300" distR="114300" simplePos="0" relativeHeight="251661312" behindDoc="1" locked="0" layoutInCell="1" allowOverlap="1">
            <wp:simplePos x="0" y="0"/>
            <wp:positionH relativeFrom="column">
              <wp:posOffset>-31750</wp:posOffset>
            </wp:positionH>
            <wp:positionV relativeFrom="paragraph">
              <wp:posOffset>1842135</wp:posOffset>
            </wp:positionV>
            <wp:extent cx="5256530" cy="2988310"/>
            <wp:effectExtent l="5080" t="4445" r="15240" b="17145"/>
            <wp:wrapTight wrapText="bothSides">
              <wp:wrapPolygon>
                <wp:start x="-21" y="-32"/>
                <wp:lineTo x="-21" y="21449"/>
                <wp:lineTo x="21506" y="21449"/>
                <wp:lineTo x="21506" y="-32"/>
                <wp:lineTo x="-21" y="-32"/>
              </wp:wrapPolygon>
            </wp:wrapTight>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pPr>
        <w:pStyle w:val="34"/>
        <w:numPr>
          <w:ilvl w:val="0"/>
          <w:numId w:val="1"/>
        </w:numPr>
        <w:spacing w:line="600" w:lineRule="exact"/>
        <w:ind w:firstLineChars="0"/>
        <w:outlineLvl w:val="1"/>
        <w:rPr>
          <w:rStyle w:val="24"/>
          <w:rFonts w:ascii="黑体" w:hAnsi="黑体" w:eastAsia="黑体"/>
          <w:b w:val="0"/>
        </w:rPr>
      </w:pPr>
      <w:bookmarkStart w:id="33" w:name="_Toc15396603"/>
      <w:bookmarkStart w:id="34" w:name="_Toc79163610"/>
      <w:bookmarkStart w:id="35" w:name="_Toc15377205"/>
      <w:bookmarkStart w:id="36" w:name="_Toc14051"/>
      <w:r>
        <w:rPr>
          <w:rFonts w:hint="eastAsia" w:ascii="黑体" w:hAnsi="黑体" w:eastAsia="黑体"/>
          <w:color w:val="000000"/>
          <w:sz w:val="32"/>
          <w:szCs w:val="32"/>
        </w:rPr>
        <w:t>收</w:t>
      </w:r>
      <w:r>
        <w:rPr>
          <w:rStyle w:val="24"/>
          <w:rFonts w:hint="eastAsia" w:ascii="黑体" w:hAnsi="黑体" w:eastAsia="黑体"/>
          <w:b w:val="0"/>
        </w:rPr>
        <w:t>入支出决算总体情况说明</w:t>
      </w:r>
      <w:bookmarkEnd w:id="33"/>
      <w:bookmarkEnd w:id="34"/>
      <w:bookmarkEnd w:id="35"/>
      <w:bookmarkEnd w:id="36"/>
    </w:p>
    <w:p>
      <w:pPr>
        <w:spacing w:line="600" w:lineRule="exact"/>
        <w:ind w:firstLine="640" w:firstLineChars="200"/>
        <w:rPr>
          <w:rFonts w:hint="eastAsia" w:ascii="仿宋" w:hAnsi="仿宋" w:eastAsia="仿宋"/>
          <w:color w:val="000000"/>
          <w:sz w:val="32"/>
          <w:szCs w:val="32"/>
          <w:lang w:eastAsia="zh-CN"/>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度收、支总计</w:t>
      </w:r>
      <w:r>
        <w:rPr>
          <w:rFonts w:hint="eastAsia" w:ascii="仿宋" w:hAnsi="仿宋" w:eastAsia="仿宋"/>
          <w:color w:val="000000"/>
          <w:sz w:val="32"/>
          <w:szCs w:val="32"/>
          <w:lang w:val="en-US" w:eastAsia="zh-CN"/>
        </w:rPr>
        <w:t>127.15</w:t>
      </w:r>
      <w:r>
        <w:rPr>
          <w:rFonts w:hint="eastAsia" w:ascii="仿宋" w:hAnsi="仿宋" w:eastAsia="仿宋"/>
          <w:color w:val="000000"/>
          <w:sz w:val="32"/>
          <w:szCs w:val="32"/>
        </w:rPr>
        <w:t>万元。与</w:t>
      </w:r>
      <w:r>
        <w:rPr>
          <w:rFonts w:hint="eastAsia" w:ascii="仿宋" w:hAnsi="仿宋" w:eastAsia="仿宋"/>
          <w:color w:val="000000"/>
          <w:sz w:val="32"/>
          <w:szCs w:val="32"/>
          <w:lang w:val="en-US" w:eastAsia="zh-CN"/>
        </w:rPr>
        <w:t>2024年134.35万元</w:t>
      </w:r>
      <w:r>
        <w:rPr>
          <w:rFonts w:hint="eastAsia" w:ascii="仿宋" w:hAnsi="仿宋" w:eastAsia="仿宋"/>
          <w:color w:val="000000"/>
          <w:sz w:val="32"/>
          <w:szCs w:val="32"/>
        </w:rPr>
        <w:t>相比，收、支总计</w:t>
      </w:r>
      <w:r>
        <w:rPr>
          <w:rFonts w:hint="eastAsia" w:ascii="仿宋" w:hAnsi="仿宋" w:eastAsia="仿宋"/>
          <w:color w:val="000000"/>
          <w:sz w:val="32"/>
          <w:szCs w:val="32"/>
          <w:lang w:eastAsia="zh-CN"/>
        </w:rPr>
        <w:t>各</w:t>
      </w:r>
      <w:r>
        <w:rPr>
          <w:rFonts w:hint="eastAsia" w:ascii="仿宋" w:hAnsi="仿宋" w:eastAsia="仿宋"/>
          <w:color w:val="000000"/>
          <w:sz w:val="32"/>
          <w:szCs w:val="32"/>
          <w:lang w:val="en-US" w:eastAsia="zh-CN"/>
        </w:rPr>
        <w:t>减少7.2</w:t>
      </w:r>
      <w:r>
        <w:rPr>
          <w:rFonts w:hint="eastAsia" w:ascii="仿宋" w:hAnsi="仿宋" w:eastAsia="仿宋"/>
          <w:color w:val="000000"/>
          <w:sz w:val="32"/>
          <w:szCs w:val="32"/>
        </w:rPr>
        <w:t>万元，</w:t>
      </w:r>
      <w:r>
        <w:rPr>
          <w:rFonts w:hint="eastAsia" w:ascii="仿宋" w:hAnsi="仿宋" w:eastAsia="仿宋"/>
          <w:color w:val="000000"/>
          <w:sz w:val="32"/>
          <w:szCs w:val="32"/>
          <w:lang w:val="en-US" w:eastAsia="zh-CN"/>
        </w:rPr>
        <w:t>减少5.35</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eastAsia="zh-CN"/>
        </w:rPr>
        <w:t>厉行节约。</w:t>
      </w:r>
    </w:p>
    <w:p>
      <w:pPr>
        <w:spacing w:line="600" w:lineRule="exact"/>
        <w:ind w:firstLine="640" w:firstLineChars="200"/>
        <w:rPr>
          <w:rFonts w:hint="eastAsia" w:ascii="黑体" w:hAnsi="黑体" w:eastAsia="黑体" w:cs="黑体"/>
          <w:color w:val="000000"/>
          <w:sz w:val="32"/>
          <w:szCs w:val="32"/>
          <w:lang w:eastAsia="zh-CN"/>
        </w:rPr>
      </w:pPr>
      <w:r>
        <w:rPr>
          <w:rFonts w:hint="eastAsia" w:ascii="仿宋" w:hAnsi="仿宋" w:eastAsia="仿宋"/>
          <w:color w:val="000000"/>
          <w:sz w:val="32"/>
          <w:szCs w:val="32"/>
          <w:lang w:val="en-US" w:eastAsia="zh-CN"/>
        </w:rPr>
        <w:t xml:space="preserve">  </w:t>
      </w:r>
      <w:bookmarkStart w:id="37" w:name="_Toc79163611"/>
      <w:bookmarkStart w:id="38" w:name="_Toc15377206"/>
      <w:bookmarkStart w:id="39" w:name="_Toc15396604"/>
      <w:r>
        <w:rPr>
          <w:rFonts w:hint="eastAsia" w:ascii="仿宋" w:hAnsi="仿宋" w:eastAsia="仿宋"/>
          <w:color w:val="000000"/>
          <w:sz w:val="32"/>
          <w:szCs w:val="32"/>
        </w:rPr>
        <w:t>（图</w:t>
      </w:r>
      <w:r>
        <w:rPr>
          <w:rFonts w:ascii="仿宋" w:hAnsi="仿宋" w:eastAsia="仿宋"/>
          <w:color w:val="000000"/>
          <w:sz w:val="32"/>
          <w:szCs w:val="32"/>
        </w:rPr>
        <w:t>1</w:t>
      </w:r>
      <w:r>
        <w:rPr>
          <w:rFonts w:hint="eastAsia" w:ascii="仿宋" w:hAnsi="仿宋" w:eastAsia="仿宋"/>
          <w:color w:val="000000"/>
          <w:sz w:val="32"/>
          <w:szCs w:val="32"/>
        </w:rPr>
        <w:t>：收、支决算总计变动情况图）（柱状图）</w:t>
      </w:r>
    </w:p>
    <w:p>
      <w:pPr>
        <w:spacing w:line="600" w:lineRule="exact"/>
        <w:ind w:firstLine="640" w:firstLineChars="200"/>
        <w:rPr>
          <w:rStyle w:val="24"/>
          <w:rFonts w:hint="eastAsia" w:ascii="黑体" w:hAnsi="黑体" w:eastAsia="黑体" w:cs="黑体"/>
          <w:b w:val="0"/>
        </w:rPr>
      </w:pPr>
      <w:r>
        <w:rPr>
          <w:rFonts w:hint="eastAsia" w:ascii="黑体" w:hAnsi="黑体" w:eastAsia="黑体" w:cs="黑体"/>
          <w:color w:val="000000"/>
          <w:sz w:val="32"/>
          <w:szCs w:val="32"/>
          <w:lang w:eastAsia="zh-CN"/>
        </w:rPr>
        <w:t>二、</w:t>
      </w:r>
      <w:r>
        <w:rPr>
          <w:rFonts w:hint="eastAsia" w:ascii="黑体" w:hAnsi="黑体" w:eastAsia="黑体" w:cs="黑体"/>
          <w:color w:val="000000"/>
          <w:sz w:val="32"/>
          <w:szCs w:val="32"/>
        </w:rPr>
        <w:t>收</w:t>
      </w:r>
      <w:r>
        <w:rPr>
          <w:rStyle w:val="24"/>
          <w:rFonts w:hint="eastAsia" w:ascii="黑体" w:hAnsi="黑体" w:eastAsia="黑体" w:cs="黑体"/>
          <w:b w:val="0"/>
        </w:rPr>
        <w:t>入决算情况说明</w:t>
      </w:r>
      <w:bookmarkEnd w:id="37"/>
      <w:bookmarkEnd w:id="38"/>
      <w:bookmarkEnd w:id="39"/>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本年收入合计</w:t>
      </w:r>
      <w:r>
        <w:rPr>
          <w:rFonts w:hint="eastAsia" w:ascii="仿宋" w:hAnsi="仿宋" w:eastAsia="仿宋"/>
          <w:color w:val="000000"/>
          <w:sz w:val="32"/>
          <w:szCs w:val="32"/>
          <w:lang w:val="en-US" w:eastAsia="zh-CN"/>
        </w:rPr>
        <w:t>127.15</w:t>
      </w:r>
      <w:r>
        <w:rPr>
          <w:rFonts w:hint="eastAsia" w:ascii="仿宋" w:hAnsi="仿宋" w:eastAsia="仿宋"/>
          <w:color w:val="000000"/>
          <w:sz w:val="32"/>
          <w:szCs w:val="32"/>
        </w:rPr>
        <w:t>万元，其中：一般公共预算财政拨款收入</w:t>
      </w:r>
      <w:r>
        <w:rPr>
          <w:rFonts w:hint="eastAsia" w:ascii="仿宋" w:hAnsi="仿宋" w:eastAsia="仿宋"/>
          <w:color w:val="000000"/>
          <w:sz w:val="32"/>
          <w:szCs w:val="32"/>
          <w:lang w:val="en-US" w:eastAsia="zh-CN"/>
        </w:rPr>
        <w:t>127.15</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；政府性基金预算财政拨款收入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；上级补助收入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；事业收入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；经营收入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；附属单位上缴收入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；其他收入</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w:t>
      </w:r>
    </w:p>
    <w:p>
      <w:pPr>
        <w:spacing w:line="600" w:lineRule="exact"/>
        <w:ind w:firstLine="640" w:firstLineChars="200"/>
        <w:rPr>
          <w:rFonts w:ascii="仿宋" w:hAnsi="仿宋" w:eastAsia="仿宋"/>
          <w:color w:val="000000"/>
          <w:sz w:val="32"/>
          <w:szCs w:val="32"/>
        </w:rPr>
      </w:pPr>
      <w:r>
        <w:rPr>
          <w:rFonts w:hint="eastAsia" w:ascii="仿宋_GB2312" w:eastAsia="仿宋_GB2312"/>
          <w:color w:val="FF0000"/>
          <w:sz w:val="32"/>
          <w:szCs w:val="32"/>
          <w:lang w:eastAsia="zh-CN"/>
        </w:rPr>
        <w:drawing>
          <wp:anchor distT="0" distB="0" distL="114300" distR="114300" simplePos="0" relativeHeight="251659264" behindDoc="0" locked="0" layoutInCell="1" allowOverlap="1">
            <wp:simplePos x="0" y="0"/>
            <wp:positionH relativeFrom="column">
              <wp:posOffset>334645</wp:posOffset>
            </wp:positionH>
            <wp:positionV relativeFrom="paragraph">
              <wp:posOffset>775970</wp:posOffset>
            </wp:positionV>
            <wp:extent cx="4594860" cy="2810510"/>
            <wp:effectExtent l="4445" t="4445" r="10795" b="23495"/>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eastAsia" w:ascii="仿宋" w:hAnsi="仿宋" w:eastAsia="仿宋"/>
          <w:color w:val="000000"/>
          <w:sz w:val="32"/>
          <w:szCs w:val="32"/>
        </w:rPr>
        <w:t>（图</w:t>
      </w:r>
      <w:r>
        <w:rPr>
          <w:rFonts w:ascii="仿宋" w:hAnsi="仿宋" w:eastAsia="仿宋"/>
          <w:color w:val="000000"/>
          <w:sz w:val="32"/>
          <w:szCs w:val="32"/>
        </w:rPr>
        <w:t>2</w:t>
      </w:r>
      <w:r>
        <w:rPr>
          <w:rFonts w:hint="eastAsia" w:ascii="仿宋" w:hAnsi="仿宋" w:eastAsia="仿宋"/>
          <w:color w:val="000000"/>
          <w:sz w:val="32"/>
          <w:szCs w:val="32"/>
        </w:rPr>
        <w:t>：收入决算结构图）（饼状图）</w:t>
      </w:r>
    </w:p>
    <w:p>
      <w:pPr>
        <w:spacing w:line="600" w:lineRule="exact"/>
        <w:rPr>
          <w:rFonts w:hint="eastAsia" w:ascii="仿宋_GB2312" w:eastAsia="仿宋_GB2312"/>
          <w:color w:val="FF0000"/>
          <w:sz w:val="32"/>
          <w:szCs w:val="32"/>
          <w:lang w:eastAsia="zh-CN"/>
        </w:rPr>
      </w:pPr>
    </w:p>
    <w:p>
      <w:pPr>
        <w:pStyle w:val="34"/>
        <w:numPr>
          <w:ilvl w:val="0"/>
          <w:numId w:val="1"/>
        </w:numPr>
        <w:spacing w:line="600" w:lineRule="exact"/>
        <w:ind w:firstLineChars="0"/>
        <w:outlineLvl w:val="1"/>
        <w:rPr>
          <w:rStyle w:val="24"/>
          <w:rFonts w:ascii="黑体" w:hAnsi="黑体" w:eastAsia="黑体"/>
          <w:b w:val="0"/>
        </w:rPr>
      </w:pPr>
      <w:bookmarkStart w:id="40" w:name="_Toc79163612"/>
      <w:bookmarkStart w:id="41" w:name="_Toc15526"/>
      <w:bookmarkStart w:id="42" w:name="_Toc15396605"/>
      <w:bookmarkStart w:id="43" w:name="_Toc15377207"/>
      <w:r>
        <w:rPr>
          <w:rFonts w:hint="eastAsia" w:ascii="黑体" w:hAnsi="黑体" w:eastAsia="黑体"/>
          <w:color w:val="000000"/>
          <w:sz w:val="32"/>
          <w:szCs w:val="32"/>
        </w:rPr>
        <w:t>支</w:t>
      </w:r>
      <w:r>
        <w:rPr>
          <w:rStyle w:val="24"/>
          <w:rFonts w:hint="eastAsia" w:ascii="黑体" w:hAnsi="黑体" w:eastAsia="黑体"/>
          <w:b w:val="0"/>
        </w:rPr>
        <w:t>出决算情况说明</w:t>
      </w:r>
      <w:bookmarkEnd w:id="40"/>
      <w:bookmarkEnd w:id="41"/>
      <w:bookmarkEnd w:id="42"/>
      <w:bookmarkEnd w:id="43"/>
    </w:p>
    <w:p>
      <w:pPr>
        <w:spacing w:line="600" w:lineRule="exact"/>
        <w:ind w:firstLine="640" w:firstLineChars="200"/>
        <w:rPr>
          <w:rFonts w:ascii="仿宋_GB2312" w:eastAsia="仿宋_GB2312"/>
          <w:sz w:val="32"/>
          <w:szCs w:val="32"/>
        </w:rPr>
      </w:pPr>
      <w:r>
        <w:rPr>
          <w:rFonts w:hint="eastAsia" w:ascii="仿宋_GB2312" w:eastAsia="仿宋_GB2312"/>
          <w:sz w:val="32"/>
          <w:szCs w:val="32"/>
          <w:lang w:eastAsia="zh-CN"/>
        </w:rPr>
        <w:t>2025年</w:t>
      </w:r>
      <w:r>
        <w:rPr>
          <w:rFonts w:hint="eastAsia" w:ascii="仿宋_GB2312" w:eastAsia="仿宋_GB2312"/>
          <w:sz w:val="32"/>
          <w:szCs w:val="32"/>
        </w:rPr>
        <w:t>本年支出合计</w:t>
      </w:r>
      <w:r>
        <w:rPr>
          <w:rFonts w:hint="eastAsia" w:ascii="仿宋" w:hAnsi="仿宋" w:eastAsia="仿宋"/>
          <w:color w:val="000000"/>
          <w:sz w:val="32"/>
          <w:szCs w:val="32"/>
          <w:lang w:val="en-US" w:eastAsia="zh-CN"/>
        </w:rPr>
        <w:t>127.15</w:t>
      </w:r>
      <w:r>
        <w:rPr>
          <w:rFonts w:hint="eastAsia" w:ascii="仿宋_GB2312" w:eastAsia="仿宋_GB2312"/>
          <w:sz w:val="32"/>
          <w:szCs w:val="32"/>
        </w:rPr>
        <w:t>万元，其中：基本支出</w:t>
      </w:r>
      <w:r>
        <w:rPr>
          <w:rFonts w:hint="eastAsia" w:ascii="仿宋" w:hAnsi="仿宋" w:eastAsia="仿宋"/>
          <w:color w:val="000000"/>
          <w:sz w:val="32"/>
          <w:szCs w:val="32"/>
          <w:lang w:val="en-US" w:eastAsia="zh-CN"/>
        </w:rPr>
        <w:t>127.15</w:t>
      </w:r>
      <w:r>
        <w:rPr>
          <w:rFonts w:hint="eastAsia" w:ascii="仿宋_GB2312" w:eastAsia="仿宋_GB2312"/>
          <w:sz w:val="32"/>
          <w:szCs w:val="32"/>
        </w:rPr>
        <w:t>万元，占</w:t>
      </w:r>
      <w:r>
        <w:rPr>
          <w:rFonts w:hint="eastAsia" w:ascii="仿宋_GB2312" w:eastAsia="仿宋_GB2312"/>
          <w:sz w:val="32"/>
          <w:szCs w:val="32"/>
          <w:lang w:val="en-US" w:eastAsia="zh-CN"/>
        </w:rPr>
        <w:t>100</w:t>
      </w:r>
      <w:r>
        <w:rPr>
          <w:rFonts w:ascii="仿宋_GB2312" w:eastAsia="仿宋_GB2312"/>
          <w:sz w:val="32"/>
          <w:szCs w:val="32"/>
        </w:rPr>
        <w:t>%</w:t>
      </w:r>
      <w:r>
        <w:rPr>
          <w:rFonts w:hint="eastAsia" w:ascii="仿宋_GB2312" w:eastAsia="仿宋_GB2312"/>
          <w:sz w:val="32"/>
          <w:szCs w:val="32"/>
        </w:rPr>
        <w:t>；项目支出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；上缴上级支出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；经营支出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；对附属单位补助支出</w:t>
      </w:r>
      <w:r>
        <w:rPr>
          <w:rFonts w:hint="eastAsia" w:ascii="仿宋_GB2312" w:eastAsia="仿宋_GB2312"/>
          <w:sz w:val="32"/>
          <w:szCs w:val="32"/>
          <w:lang w:val="en-US" w:eastAsia="zh-CN"/>
        </w:rPr>
        <w:t>0</w:t>
      </w:r>
      <w:r>
        <w:rPr>
          <w:rFonts w:hint="eastAsia" w:ascii="仿宋_GB2312" w:eastAsia="仿宋_GB2312"/>
          <w:sz w:val="32"/>
          <w:szCs w:val="32"/>
        </w:rPr>
        <w:t>万元，占</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w:t>
      </w:r>
    </w:p>
    <w:p>
      <w:pPr>
        <w:spacing w:line="600" w:lineRule="exact"/>
        <w:rPr>
          <w:rFonts w:ascii="仿宋" w:hAnsi="仿宋" w:eastAsia="仿宋"/>
          <w:color w:val="000000"/>
          <w:sz w:val="32"/>
          <w:szCs w:val="32"/>
        </w:rPr>
      </w:pPr>
      <w:r>
        <w:rPr>
          <w:rFonts w:hint="eastAsia" w:ascii="仿宋" w:hAnsi="仿宋" w:eastAsia="仿宋"/>
          <w:color w:val="000000"/>
          <w:sz w:val="32"/>
          <w:szCs w:val="32"/>
        </w:rPr>
        <w:t>（图</w:t>
      </w:r>
      <w:r>
        <w:rPr>
          <w:rFonts w:ascii="仿宋" w:hAnsi="仿宋" w:eastAsia="仿宋"/>
          <w:color w:val="000000"/>
          <w:sz w:val="32"/>
          <w:szCs w:val="32"/>
        </w:rPr>
        <w:t>3</w:t>
      </w:r>
      <w:r>
        <w:rPr>
          <w:rFonts w:hint="eastAsia" w:ascii="仿宋" w:hAnsi="仿宋" w:eastAsia="仿宋"/>
          <w:color w:val="000000"/>
          <w:sz w:val="32"/>
          <w:szCs w:val="32"/>
        </w:rPr>
        <w:t>：支出决算结构图）（饼状图）</w:t>
      </w:r>
    </w:p>
    <w:p>
      <w:pPr>
        <w:spacing w:line="600" w:lineRule="exact"/>
        <w:ind w:firstLine="640" w:firstLineChars="200"/>
        <w:rPr>
          <w:rFonts w:ascii="仿宋_GB2312" w:eastAsia="仿宋_GB2312"/>
          <w:color w:val="FF0000"/>
          <w:sz w:val="32"/>
          <w:szCs w:val="32"/>
        </w:rPr>
      </w:pPr>
      <w:r>
        <w:rPr>
          <w:rFonts w:hint="eastAsia" w:ascii="仿宋_GB2312" w:eastAsia="仿宋_GB2312"/>
          <w:color w:val="FF0000"/>
          <w:sz w:val="32"/>
          <w:szCs w:val="32"/>
          <w:lang w:eastAsia="zh-CN"/>
        </w:rPr>
        <w:drawing>
          <wp:anchor distT="0" distB="0" distL="114300" distR="114300" simplePos="0" relativeHeight="251660288" behindDoc="0" locked="0" layoutInCell="1" allowOverlap="1">
            <wp:simplePos x="0" y="0"/>
            <wp:positionH relativeFrom="column">
              <wp:posOffset>97155</wp:posOffset>
            </wp:positionH>
            <wp:positionV relativeFrom="paragraph">
              <wp:posOffset>125095</wp:posOffset>
            </wp:positionV>
            <wp:extent cx="4175125" cy="2351405"/>
            <wp:effectExtent l="4445" t="4445" r="11430" b="6350"/>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spacing w:line="600" w:lineRule="exact"/>
        <w:ind w:firstLine="640" w:firstLineChars="200"/>
        <w:rPr>
          <w:rFonts w:ascii="仿宋_GB2312" w:eastAsia="仿宋_GB2312"/>
          <w:color w:val="FF0000"/>
          <w:sz w:val="32"/>
          <w:szCs w:val="32"/>
        </w:rPr>
      </w:pPr>
    </w:p>
    <w:p>
      <w:pPr>
        <w:spacing w:line="600" w:lineRule="exact"/>
        <w:ind w:firstLine="640" w:firstLineChars="200"/>
        <w:rPr>
          <w:rFonts w:ascii="仿宋_GB2312" w:eastAsia="仿宋_GB2312"/>
          <w:color w:val="FF0000"/>
          <w:sz w:val="32"/>
          <w:szCs w:val="32"/>
        </w:rPr>
      </w:pPr>
    </w:p>
    <w:p>
      <w:pPr>
        <w:spacing w:line="600" w:lineRule="exact"/>
        <w:ind w:firstLine="640" w:firstLineChars="200"/>
        <w:rPr>
          <w:rFonts w:ascii="仿宋_GB2312" w:eastAsia="仿宋_GB2312"/>
          <w:color w:val="FF0000"/>
          <w:sz w:val="32"/>
          <w:szCs w:val="32"/>
        </w:rPr>
      </w:pPr>
    </w:p>
    <w:p>
      <w:pPr>
        <w:spacing w:line="600" w:lineRule="exact"/>
        <w:ind w:firstLine="640" w:firstLineChars="200"/>
        <w:rPr>
          <w:rFonts w:ascii="仿宋_GB2312" w:eastAsia="仿宋_GB2312"/>
          <w:color w:val="FF0000"/>
          <w:sz w:val="32"/>
          <w:szCs w:val="32"/>
        </w:rPr>
      </w:pPr>
    </w:p>
    <w:p>
      <w:pPr>
        <w:spacing w:line="600" w:lineRule="exact"/>
        <w:ind w:firstLine="640" w:firstLineChars="200"/>
        <w:rPr>
          <w:rFonts w:ascii="仿宋_GB2312" w:eastAsia="仿宋_GB2312"/>
          <w:color w:val="FF0000"/>
          <w:sz w:val="32"/>
          <w:szCs w:val="32"/>
        </w:rPr>
      </w:pPr>
    </w:p>
    <w:p>
      <w:pPr>
        <w:spacing w:line="600" w:lineRule="exact"/>
        <w:rPr>
          <w:rFonts w:hint="eastAsia" w:ascii="仿宋_GB2312" w:eastAsia="仿宋_GB2312"/>
          <w:color w:val="FF0000"/>
          <w:sz w:val="32"/>
          <w:szCs w:val="32"/>
          <w:lang w:eastAsia="zh-CN"/>
        </w:rPr>
      </w:pPr>
    </w:p>
    <w:p>
      <w:pPr>
        <w:spacing w:line="600" w:lineRule="exact"/>
        <w:ind w:firstLine="640" w:firstLineChars="200"/>
        <w:rPr>
          <w:rFonts w:ascii="仿宋_GB2312" w:eastAsia="仿宋_GB2312"/>
          <w:color w:val="FF0000"/>
          <w:sz w:val="32"/>
          <w:szCs w:val="32"/>
        </w:rPr>
      </w:pPr>
    </w:p>
    <w:p>
      <w:pPr>
        <w:spacing w:line="600" w:lineRule="exact"/>
        <w:ind w:firstLine="640" w:firstLineChars="200"/>
        <w:outlineLvl w:val="1"/>
        <w:rPr>
          <w:rStyle w:val="24"/>
          <w:rFonts w:ascii="黑体" w:hAnsi="黑体" w:eastAsia="黑体"/>
          <w:b w:val="0"/>
        </w:rPr>
      </w:pPr>
      <w:bookmarkStart w:id="44" w:name="_Toc15396606"/>
      <w:bookmarkStart w:id="45" w:name="_Toc79163613"/>
      <w:bookmarkStart w:id="46" w:name="_Toc15377208"/>
      <w:bookmarkStart w:id="47" w:name="_Toc6579"/>
      <w:r>
        <w:rPr>
          <w:rFonts w:hint="eastAsia" w:ascii="黑体" w:hAnsi="黑体" w:eastAsia="黑体"/>
          <w:color w:val="000000"/>
          <w:sz w:val="32"/>
          <w:szCs w:val="32"/>
        </w:rPr>
        <w:t>四、财</w:t>
      </w:r>
      <w:r>
        <w:rPr>
          <w:rStyle w:val="24"/>
          <w:rFonts w:hint="eastAsia" w:ascii="黑体" w:hAnsi="黑体" w:eastAsia="黑体"/>
          <w:b w:val="0"/>
        </w:rPr>
        <w:t>政拨款收入支出决算总体情况说明</w:t>
      </w:r>
      <w:bookmarkEnd w:id="44"/>
      <w:bookmarkEnd w:id="45"/>
      <w:bookmarkEnd w:id="46"/>
      <w:bookmarkEnd w:id="47"/>
    </w:p>
    <w:p>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财政拨款收、支总计</w:t>
      </w:r>
      <w:r>
        <w:rPr>
          <w:rFonts w:hint="eastAsia" w:ascii="仿宋" w:hAnsi="仿宋" w:eastAsia="仿宋"/>
          <w:color w:val="000000"/>
          <w:sz w:val="32"/>
          <w:szCs w:val="32"/>
          <w:lang w:val="en-US" w:eastAsia="zh-CN"/>
        </w:rPr>
        <w:t>127.15</w:t>
      </w:r>
      <w:r>
        <w:rPr>
          <w:rFonts w:hint="eastAsia" w:ascii="仿宋" w:hAnsi="仿宋" w:eastAsia="仿宋"/>
          <w:color w:val="000000"/>
          <w:sz w:val="32"/>
          <w:szCs w:val="32"/>
        </w:rPr>
        <w:t>万元。与</w:t>
      </w:r>
      <w:r>
        <w:rPr>
          <w:rFonts w:hint="eastAsia" w:ascii="仿宋" w:hAnsi="仿宋" w:eastAsia="仿宋"/>
          <w:color w:val="000000"/>
          <w:sz w:val="32"/>
          <w:szCs w:val="32"/>
          <w:lang w:val="en-US" w:eastAsia="zh-CN"/>
        </w:rPr>
        <w:t>2024年134.35万元</w:t>
      </w:r>
      <w:r>
        <w:rPr>
          <w:rFonts w:hint="eastAsia" w:ascii="仿宋" w:hAnsi="仿宋" w:eastAsia="仿宋"/>
          <w:color w:val="000000"/>
          <w:sz w:val="32"/>
          <w:szCs w:val="32"/>
        </w:rPr>
        <w:t>相比，财政拨款收、支总计各</w:t>
      </w:r>
      <w:r>
        <w:rPr>
          <w:rFonts w:hint="eastAsia" w:ascii="仿宋" w:hAnsi="仿宋" w:eastAsia="仿宋"/>
          <w:color w:val="000000"/>
          <w:sz w:val="32"/>
          <w:szCs w:val="32"/>
          <w:lang w:val="en-US" w:eastAsia="zh-CN"/>
        </w:rPr>
        <w:t>减少7.2</w:t>
      </w:r>
      <w:r>
        <w:rPr>
          <w:rFonts w:hint="eastAsia" w:ascii="仿宋" w:hAnsi="仿宋" w:eastAsia="仿宋"/>
          <w:color w:val="000000"/>
          <w:sz w:val="32"/>
          <w:szCs w:val="32"/>
        </w:rPr>
        <w:t>万元，</w:t>
      </w:r>
      <w:r>
        <w:rPr>
          <w:rFonts w:hint="eastAsia" w:ascii="仿宋" w:hAnsi="仿宋" w:eastAsia="仿宋"/>
          <w:color w:val="000000"/>
          <w:sz w:val="32"/>
          <w:szCs w:val="32"/>
          <w:lang w:val="en-US" w:eastAsia="zh-CN"/>
        </w:rPr>
        <w:t>减少5.35</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eastAsia="zh-CN"/>
        </w:rPr>
        <w:t>厉行节约。</w:t>
      </w:r>
    </w:p>
    <w:p>
      <w:pPr>
        <w:spacing w:line="600" w:lineRule="exact"/>
        <w:rPr>
          <w:rFonts w:ascii="仿宋" w:hAnsi="仿宋" w:eastAsia="仿宋"/>
          <w:color w:val="000000"/>
          <w:sz w:val="32"/>
          <w:szCs w:val="32"/>
        </w:rPr>
      </w:pPr>
      <w:r>
        <w:rPr>
          <w:rFonts w:hint="eastAsia" w:ascii="仿宋" w:hAnsi="仿宋" w:eastAsia="仿宋"/>
          <w:color w:val="000000"/>
          <w:sz w:val="32"/>
          <w:szCs w:val="32"/>
          <w:lang w:eastAsia="zh-CN"/>
        </w:rPr>
        <w:drawing>
          <wp:anchor distT="0" distB="0" distL="114300" distR="114300" simplePos="0" relativeHeight="251662336" behindDoc="1" locked="0" layoutInCell="1" allowOverlap="1">
            <wp:simplePos x="0" y="0"/>
            <wp:positionH relativeFrom="column">
              <wp:posOffset>327660</wp:posOffset>
            </wp:positionH>
            <wp:positionV relativeFrom="paragraph">
              <wp:posOffset>174625</wp:posOffset>
            </wp:positionV>
            <wp:extent cx="4753610" cy="2178685"/>
            <wp:effectExtent l="5080" t="5080" r="22860" b="6985"/>
            <wp:wrapTight wrapText="bothSides">
              <wp:wrapPolygon>
                <wp:start x="-23" y="-50"/>
                <wp:lineTo x="-23" y="21480"/>
                <wp:lineTo x="21531" y="21480"/>
                <wp:lineTo x="21531" y="-50"/>
                <wp:lineTo x="-23" y="-50"/>
              </wp:wrapPolygon>
            </wp:wrapTight>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spacing w:line="600" w:lineRule="exact"/>
        <w:rPr>
          <w:rFonts w:ascii="仿宋" w:hAnsi="仿宋" w:eastAsia="仿宋"/>
          <w:b/>
          <w:color w:val="00B050"/>
          <w:sz w:val="32"/>
          <w:szCs w:val="32"/>
        </w:rPr>
      </w:pPr>
    </w:p>
    <w:p>
      <w:pPr>
        <w:spacing w:line="600" w:lineRule="exact"/>
        <w:rPr>
          <w:rFonts w:ascii="仿宋" w:hAnsi="仿宋" w:eastAsia="仿宋"/>
          <w:b/>
          <w:color w:val="00B050"/>
          <w:sz w:val="32"/>
          <w:szCs w:val="32"/>
        </w:rPr>
      </w:pPr>
    </w:p>
    <w:p>
      <w:pPr>
        <w:spacing w:line="600" w:lineRule="exact"/>
        <w:rPr>
          <w:rFonts w:ascii="仿宋" w:hAnsi="仿宋" w:eastAsia="仿宋"/>
          <w:b/>
          <w:color w:val="00B050"/>
          <w:sz w:val="32"/>
          <w:szCs w:val="32"/>
        </w:rPr>
      </w:pPr>
    </w:p>
    <w:p>
      <w:pPr>
        <w:spacing w:line="600" w:lineRule="exact"/>
        <w:rPr>
          <w:rFonts w:ascii="仿宋" w:hAnsi="仿宋" w:eastAsia="仿宋"/>
          <w:b/>
          <w:color w:val="00B050"/>
          <w:sz w:val="32"/>
          <w:szCs w:val="32"/>
        </w:rPr>
      </w:pPr>
    </w:p>
    <w:p>
      <w:pPr>
        <w:spacing w:line="600" w:lineRule="exact"/>
        <w:ind w:firstLine="320" w:firstLineChars="100"/>
        <w:rPr>
          <w:rFonts w:hint="eastAsia" w:ascii="仿宋" w:hAnsi="仿宋" w:eastAsia="仿宋"/>
          <w:b/>
          <w:color w:val="00B050"/>
          <w:sz w:val="32"/>
          <w:szCs w:val="32"/>
          <w:lang w:eastAsia="zh-CN"/>
        </w:rPr>
      </w:pPr>
      <w:r>
        <w:rPr>
          <w:rFonts w:hint="eastAsia" w:ascii="仿宋" w:hAnsi="仿宋" w:eastAsia="仿宋"/>
          <w:color w:val="000000"/>
          <w:sz w:val="32"/>
          <w:szCs w:val="32"/>
        </w:rPr>
        <w:t>（图</w:t>
      </w:r>
      <w:r>
        <w:rPr>
          <w:rFonts w:ascii="仿宋" w:hAnsi="仿宋" w:eastAsia="仿宋"/>
          <w:color w:val="000000"/>
          <w:sz w:val="32"/>
          <w:szCs w:val="32"/>
        </w:rPr>
        <w:t>4</w:t>
      </w:r>
      <w:r>
        <w:rPr>
          <w:rFonts w:hint="eastAsia" w:ascii="仿宋" w:hAnsi="仿宋" w:eastAsia="仿宋"/>
          <w:color w:val="000000"/>
          <w:sz w:val="32"/>
          <w:szCs w:val="32"/>
        </w:rPr>
        <w:t>：财政拨款收、支决算总计变动情况）（柱状图）</w:t>
      </w:r>
    </w:p>
    <w:p>
      <w:pPr>
        <w:spacing w:line="600" w:lineRule="exact"/>
        <w:ind w:firstLine="640" w:firstLineChars="200"/>
        <w:outlineLvl w:val="1"/>
        <w:rPr>
          <w:rStyle w:val="24"/>
          <w:rFonts w:ascii="黑体" w:hAnsi="黑体" w:eastAsia="黑体"/>
          <w:b w:val="0"/>
        </w:rPr>
      </w:pPr>
      <w:bookmarkStart w:id="48" w:name="_Toc15396607"/>
      <w:bookmarkStart w:id="49" w:name="_Toc15377209"/>
      <w:bookmarkStart w:id="50" w:name="_Toc79163614"/>
      <w:bookmarkStart w:id="51" w:name="_Toc3964"/>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4"/>
          <w:rFonts w:hint="eastAsia" w:ascii="黑体" w:hAnsi="黑体" w:eastAsia="黑体"/>
          <w:b w:val="0"/>
        </w:rPr>
        <w:t>般公共预算财政拨款支出决算情况说明</w:t>
      </w:r>
      <w:bookmarkEnd w:id="48"/>
      <w:bookmarkEnd w:id="49"/>
      <w:bookmarkEnd w:id="50"/>
      <w:bookmarkEnd w:id="51"/>
    </w:p>
    <w:p>
      <w:pPr>
        <w:spacing w:line="600" w:lineRule="exact"/>
        <w:ind w:firstLine="643" w:firstLineChars="200"/>
        <w:outlineLvl w:val="2"/>
        <w:rPr>
          <w:rFonts w:ascii="仿宋" w:hAnsi="仿宋" w:eastAsia="仿宋"/>
          <w:b/>
          <w:color w:val="000000"/>
          <w:sz w:val="32"/>
          <w:szCs w:val="32"/>
        </w:rPr>
      </w:pPr>
      <w:bookmarkStart w:id="52" w:name="_Toc79163615"/>
      <w:bookmarkStart w:id="53" w:name="_Toc15377210"/>
      <w:bookmarkStart w:id="54" w:name="_Toc16256"/>
      <w:r>
        <w:rPr>
          <w:rFonts w:hint="eastAsia" w:ascii="仿宋" w:hAnsi="仿宋" w:eastAsia="仿宋"/>
          <w:b/>
          <w:color w:val="000000"/>
          <w:sz w:val="32"/>
          <w:szCs w:val="32"/>
        </w:rPr>
        <w:t>（一）一般公共预算财政拨款支出决算总体情况</w:t>
      </w:r>
      <w:bookmarkEnd w:id="52"/>
      <w:bookmarkEnd w:id="53"/>
      <w:bookmarkEnd w:id="54"/>
    </w:p>
    <w:p>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lang w:val="en-US" w:eastAsia="zh-CN"/>
        </w:rPr>
        <w:t>2025年</w:t>
      </w:r>
      <w:r>
        <w:rPr>
          <w:rFonts w:hint="eastAsia" w:ascii="仿宋" w:hAnsi="仿宋" w:eastAsia="仿宋"/>
          <w:color w:val="000000"/>
          <w:sz w:val="32"/>
          <w:szCs w:val="32"/>
        </w:rPr>
        <w:t>一般公共预算财政拨款支出</w:t>
      </w:r>
      <w:r>
        <w:rPr>
          <w:rFonts w:hint="eastAsia" w:ascii="仿宋" w:hAnsi="仿宋" w:eastAsia="仿宋"/>
          <w:color w:val="000000"/>
          <w:sz w:val="32"/>
          <w:szCs w:val="32"/>
          <w:lang w:val="en-US" w:eastAsia="zh-CN"/>
        </w:rPr>
        <w:t>127.15</w:t>
      </w:r>
      <w:r>
        <w:rPr>
          <w:rFonts w:hint="eastAsia" w:ascii="仿宋" w:hAnsi="仿宋" w:eastAsia="仿宋"/>
          <w:color w:val="000000"/>
          <w:sz w:val="32"/>
          <w:szCs w:val="32"/>
        </w:rPr>
        <w:t>万元，占本年支出合计的</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。与</w:t>
      </w:r>
      <w:r>
        <w:rPr>
          <w:rFonts w:hint="eastAsia" w:ascii="仿宋" w:hAnsi="仿宋" w:eastAsia="仿宋"/>
          <w:color w:val="000000"/>
          <w:sz w:val="32"/>
          <w:szCs w:val="32"/>
          <w:lang w:val="en-US" w:eastAsia="zh-CN"/>
        </w:rPr>
        <w:t>2024年</w:t>
      </w:r>
      <w:r>
        <w:rPr>
          <w:rFonts w:hint="eastAsia" w:ascii="仿宋" w:hAnsi="仿宋" w:eastAsia="仿宋"/>
          <w:color w:val="000000"/>
          <w:sz w:val="32"/>
          <w:szCs w:val="32"/>
        </w:rPr>
        <w:t>相比，一般公共预算财政拨款</w:t>
      </w:r>
      <w:r>
        <w:rPr>
          <w:rFonts w:hint="eastAsia" w:ascii="仿宋" w:hAnsi="仿宋" w:eastAsia="仿宋"/>
          <w:color w:val="000000"/>
          <w:sz w:val="32"/>
          <w:szCs w:val="32"/>
          <w:lang w:val="en-US" w:eastAsia="zh-CN"/>
        </w:rPr>
        <w:t>减少7.2</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减少</w:t>
      </w:r>
      <w:r>
        <w:rPr>
          <w:rFonts w:hint="eastAsia" w:ascii="仿宋" w:hAnsi="仿宋" w:eastAsia="仿宋"/>
          <w:color w:val="000000"/>
          <w:sz w:val="32"/>
          <w:szCs w:val="32"/>
          <w:lang w:val="en-US" w:eastAsia="zh-CN"/>
        </w:rPr>
        <w:t>5.35</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eastAsia="zh-CN"/>
        </w:rPr>
        <w:t>厉行节约。</w:t>
      </w:r>
    </w:p>
    <w:p>
      <w:pPr>
        <w:spacing w:line="600" w:lineRule="exact"/>
        <w:rPr>
          <w:rFonts w:ascii="仿宋" w:hAnsi="仿宋" w:eastAsia="仿宋"/>
          <w:color w:val="000000"/>
          <w:sz w:val="32"/>
          <w:szCs w:val="32"/>
        </w:rPr>
      </w:pPr>
      <w:r>
        <w:rPr>
          <w:rFonts w:hint="eastAsia" w:ascii="仿宋" w:hAnsi="仿宋" w:eastAsia="仿宋"/>
          <w:color w:val="000000"/>
          <w:sz w:val="32"/>
          <w:szCs w:val="32"/>
          <w:lang w:eastAsia="zh-CN"/>
        </w:rPr>
        <w:drawing>
          <wp:anchor distT="0" distB="0" distL="114300" distR="114300" simplePos="0" relativeHeight="251663360" behindDoc="1" locked="0" layoutInCell="1" allowOverlap="1">
            <wp:simplePos x="0" y="0"/>
            <wp:positionH relativeFrom="column">
              <wp:posOffset>385445</wp:posOffset>
            </wp:positionH>
            <wp:positionV relativeFrom="paragraph">
              <wp:posOffset>48895</wp:posOffset>
            </wp:positionV>
            <wp:extent cx="4647565" cy="2141855"/>
            <wp:effectExtent l="4445" t="4445" r="15240" b="6350"/>
            <wp:wrapTight wrapText="bothSides">
              <wp:wrapPolygon>
                <wp:start x="-21" y="-45"/>
                <wp:lineTo x="-21" y="21472"/>
                <wp:lineTo x="21494" y="21472"/>
                <wp:lineTo x="21494" y="-45"/>
                <wp:lineTo x="-21" y="-45"/>
              </wp:wrapPolygon>
            </wp:wrapTight>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spacing w:line="600" w:lineRule="exact"/>
        <w:ind w:firstLine="640" w:firstLineChars="200"/>
        <w:rPr>
          <w:rFonts w:hint="eastAsia" w:ascii="仿宋" w:hAnsi="仿宋" w:eastAsia="仿宋"/>
          <w:color w:val="000000"/>
          <w:sz w:val="32"/>
          <w:szCs w:val="32"/>
          <w:lang w:eastAsia="zh-CN"/>
        </w:rPr>
      </w:pPr>
    </w:p>
    <w:p>
      <w:pPr>
        <w:spacing w:line="600" w:lineRule="exact"/>
        <w:rPr>
          <w:rFonts w:hint="eastAsia" w:ascii="仿宋" w:hAnsi="仿宋" w:eastAsia="仿宋"/>
          <w:color w:val="000000"/>
          <w:sz w:val="28"/>
          <w:szCs w:val="28"/>
        </w:rPr>
      </w:pPr>
    </w:p>
    <w:p>
      <w:pPr>
        <w:spacing w:line="600" w:lineRule="exact"/>
        <w:ind w:firstLine="640" w:firstLineChars="200"/>
        <w:rPr>
          <w:rFonts w:ascii="仿宋" w:hAnsi="仿宋" w:eastAsia="仿宋"/>
          <w:color w:val="000000"/>
          <w:sz w:val="32"/>
          <w:szCs w:val="32"/>
        </w:rPr>
      </w:pPr>
    </w:p>
    <w:p>
      <w:pPr>
        <w:spacing w:line="600" w:lineRule="exact"/>
        <w:ind w:firstLine="560" w:firstLineChars="200"/>
        <w:rPr>
          <w:rFonts w:hint="eastAsia" w:ascii="仿宋" w:hAnsi="仿宋" w:eastAsia="仿宋"/>
          <w:color w:val="000000"/>
          <w:sz w:val="28"/>
          <w:szCs w:val="28"/>
        </w:rPr>
      </w:pPr>
    </w:p>
    <w:p>
      <w:pPr>
        <w:spacing w:line="600" w:lineRule="exact"/>
        <w:rPr>
          <w:rFonts w:ascii="仿宋" w:hAnsi="仿宋" w:eastAsia="仿宋"/>
          <w:color w:val="000000"/>
          <w:sz w:val="32"/>
          <w:szCs w:val="32"/>
        </w:rPr>
      </w:pPr>
      <w:r>
        <w:rPr>
          <w:rFonts w:hint="eastAsia" w:ascii="仿宋" w:hAnsi="仿宋" w:eastAsia="仿宋"/>
          <w:color w:val="000000"/>
          <w:sz w:val="28"/>
          <w:szCs w:val="28"/>
        </w:rPr>
        <w:t>（图</w:t>
      </w:r>
      <w:r>
        <w:rPr>
          <w:rFonts w:ascii="仿宋" w:hAnsi="仿宋" w:eastAsia="仿宋"/>
          <w:color w:val="000000"/>
          <w:sz w:val="28"/>
          <w:szCs w:val="28"/>
        </w:rPr>
        <w:t>5</w:t>
      </w:r>
      <w:r>
        <w:rPr>
          <w:rFonts w:hint="eastAsia" w:ascii="仿宋" w:hAnsi="仿宋" w:eastAsia="仿宋"/>
          <w:color w:val="000000"/>
          <w:sz w:val="28"/>
          <w:szCs w:val="28"/>
        </w:rPr>
        <w:t>：一般公共预算财政拨款支出决算变动情况）（柱状图）</w:t>
      </w:r>
    </w:p>
    <w:p>
      <w:pPr>
        <w:spacing w:line="600" w:lineRule="exact"/>
        <w:rPr>
          <w:rFonts w:ascii="仿宋" w:hAnsi="仿宋" w:eastAsia="仿宋"/>
          <w:color w:val="000000"/>
          <w:sz w:val="32"/>
          <w:szCs w:val="32"/>
        </w:rPr>
      </w:pPr>
    </w:p>
    <w:p>
      <w:pPr>
        <w:spacing w:line="600" w:lineRule="exact"/>
        <w:ind w:firstLine="643" w:firstLineChars="200"/>
        <w:outlineLvl w:val="2"/>
        <w:rPr>
          <w:rFonts w:ascii="仿宋" w:hAnsi="仿宋" w:eastAsia="仿宋"/>
          <w:b/>
          <w:color w:val="000000"/>
          <w:sz w:val="32"/>
          <w:szCs w:val="32"/>
        </w:rPr>
      </w:pPr>
      <w:bookmarkStart w:id="55" w:name="_Toc79163616"/>
      <w:bookmarkStart w:id="56" w:name="_Toc15377211"/>
      <w:bookmarkStart w:id="57" w:name="_Toc4808"/>
      <w:r>
        <w:rPr>
          <w:rFonts w:hint="eastAsia" w:ascii="仿宋" w:hAnsi="仿宋" w:eastAsia="仿宋"/>
          <w:b/>
          <w:color w:val="000000"/>
          <w:sz w:val="32"/>
          <w:szCs w:val="32"/>
        </w:rPr>
        <w:t>（二）一般公共预算财政拨款支出决算结构情况</w:t>
      </w:r>
      <w:bookmarkEnd w:id="55"/>
      <w:bookmarkEnd w:id="56"/>
      <w:bookmarkEnd w:id="57"/>
    </w:p>
    <w:p>
      <w:pPr>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lang w:val="en-US" w:eastAsia="zh-CN"/>
        </w:rPr>
        <w:t>2025年</w:t>
      </w:r>
      <w:r>
        <w:rPr>
          <w:rFonts w:hint="eastAsia" w:ascii="仿宋" w:hAnsi="仿宋" w:eastAsia="仿宋"/>
          <w:color w:val="000000"/>
          <w:sz w:val="32"/>
          <w:szCs w:val="32"/>
        </w:rPr>
        <w:t>一般公共预算财政拨款支出</w:t>
      </w:r>
      <w:r>
        <w:rPr>
          <w:rFonts w:hint="eastAsia" w:ascii="仿宋" w:hAnsi="仿宋" w:eastAsia="仿宋"/>
          <w:color w:val="000000"/>
          <w:sz w:val="32"/>
          <w:szCs w:val="32"/>
          <w:lang w:val="en-US" w:eastAsia="zh-CN"/>
        </w:rPr>
        <w:t>127.15</w:t>
      </w:r>
      <w:r>
        <w:rPr>
          <w:rFonts w:hint="eastAsia" w:ascii="仿宋" w:hAnsi="仿宋" w:eastAsia="仿宋"/>
          <w:color w:val="000000"/>
          <w:sz w:val="32"/>
          <w:szCs w:val="32"/>
        </w:rPr>
        <w:t>万元，主要用于以下方面</w:t>
      </w:r>
      <w:r>
        <w:rPr>
          <w:rFonts w:ascii="仿宋" w:hAnsi="仿宋" w:eastAsia="仿宋"/>
          <w:color w:val="000000"/>
          <w:sz w:val="32"/>
          <w:szCs w:val="32"/>
        </w:rPr>
        <w:t>:</w:t>
      </w:r>
      <w:r>
        <w:rPr>
          <w:rFonts w:hint="eastAsia" w:ascii="仿宋" w:hAnsi="仿宋" w:eastAsia="仿宋"/>
          <w:b/>
          <w:color w:val="000000"/>
          <w:sz w:val="32"/>
          <w:szCs w:val="32"/>
        </w:rPr>
        <w:t>一般公共服务（类）</w:t>
      </w:r>
      <w:r>
        <w:rPr>
          <w:rFonts w:hint="eastAsia" w:ascii="仿宋" w:hAnsi="仿宋" w:eastAsia="仿宋"/>
          <w:color w:val="000000"/>
          <w:sz w:val="32"/>
          <w:szCs w:val="32"/>
        </w:rPr>
        <w:t>支出</w:t>
      </w:r>
      <w:r>
        <w:rPr>
          <w:rFonts w:hint="eastAsia" w:ascii="仿宋" w:hAnsi="仿宋" w:eastAsia="仿宋"/>
          <w:color w:val="000000"/>
          <w:sz w:val="32"/>
          <w:szCs w:val="32"/>
          <w:lang w:val="en-US" w:eastAsia="zh-CN"/>
        </w:rPr>
        <w:t>101.43</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79.77</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b/>
          <w:color w:val="000000"/>
          <w:sz w:val="32"/>
          <w:szCs w:val="32"/>
        </w:rPr>
        <w:t>教育支出（类）</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b/>
          <w:color w:val="000000"/>
          <w:sz w:val="32"/>
          <w:szCs w:val="32"/>
        </w:rPr>
        <w:t>科学技术（类）</w:t>
      </w:r>
      <w:r>
        <w:rPr>
          <w:rFonts w:hint="eastAsia" w:ascii="仿宋" w:hAnsi="仿宋" w:eastAsia="仿宋"/>
          <w:color w:val="000000"/>
          <w:sz w:val="32"/>
          <w:szCs w:val="32"/>
        </w:rPr>
        <w:t>支出</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b/>
          <w:bCs/>
          <w:color w:val="000000"/>
          <w:sz w:val="32"/>
          <w:szCs w:val="32"/>
        </w:rPr>
        <w:t>文化旅游体育与传媒（类）支出</w:t>
      </w:r>
      <w:r>
        <w:rPr>
          <w:rFonts w:hint="eastAsia" w:ascii="仿宋" w:hAnsi="仿宋" w:eastAsia="仿宋"/>
          <w:b/>
          <w:bCs/>
          <w:color w:val="000000"/>
          <w:sz w:val="32"/>
          <w:szCs w:val="32"/>
          <w:lang w:val="en-US" w:eastAsia="zh-CN"/>
        </w:rPr>
        <w:t>0</w:t>
      </w:r>
      <w:r>
        <w:rPr>
          <w:rFonts w:hint="eastAsia" w:ascii="仿宋" w:hAnsi="仿宋" w:eastAsia="仿宋"/>
          <w:b/>
          <w:bCs/>
          <w:color w:val="000000"/>
          <w:sz w:val="32"/>
          <w:szCs w:val="32"/>
        </w:rPr>
        <w:t>万元，占</w:t>
      </w:r>
      <w:r>
        <w:rPr>
          <w:rFonts w:hint="eastAsia" w:ascii="仿宋" w:hAnsi="仿宋" w:eastAsia="仿宋"/>
          <w:b/>
          <w:bCs/>
          <w:color w:val="000000"/>
          <w:sz w:val="32"/>
          <w:szCs w:val="32"/>
          <w:lang w:val="en-US" w:eastAsia="zh-CN"/>
        </w:rPr>
        <w:t>0</w:t>
      </w:r>
      <w:r>
        <w:rPr>
          <w:rFonts w:ascii="仿宋" w:hAnsi="仿宋" w:eastAsia="仿宋"/>
          <w:b/>
          <w:bCs/>
          <w:color w:val="000000"/>
          <w:sz w:val="32"/>
          <w:szCs w:val="32"/>
        </w:rPr>
        <w:t>%</w:t>
      </w:r>
      <w:r>
        <w:rPr>
          <w:rFonts w:hint="eastAsia" w:ascii="仿宋" w:hAnsi="仿宋" w:eastAsia="仿宋"/>
          <w:color w:val="000000"/>
          <w:sz w:val="32"/>
          <w:szCs w:val="32"/>
        </w:rPr>
        <w:t>；</w:t>
      </w:r>
      <w:r>
        <w:rPr>
          <w:rFonts w:hint="eastAsia" w:ascii="仿宋" w:hAnsi="仿宋" w:eastAsia="仿宋"/>
          <w:b/>
          <w:color w:val="000000"/>
          <w:sz w:val="32"/>
          <w:szCs w:val="32"/>
        </w:rPr>
        <w:t>社会保障和就业（类）</w:t>
      </w:r>
      <w:r>
        <w:rPr>
          <w:rFonts w:hint="eastAsia" w:ascii="仿宋" w:hAnsi="仿宋" w:eastAsia="仿宋"/>
          <w:color w:val="000000"/>
          <w:sz w:val="32"/>
          <w:szCs w:val="32"/>
        </w:rPr>
        <w:t>支出</w:t>
      </w:r>
      <w:r>
        <w:rPr>
          <w:rFonts w:hint="eastAsia" w:ascii="仿宋" w:hAnsi="仿宋" w:eastAsia="仿宋"/>
          <w:color w:val="000000"/>
          <w:sz w:val="32"/>
          <w:szCs w:val="32"/>
          <w:lang w:val="en-US" w:eastAsia="zh-CN"/>
        </w:rPr>
        <w:t>15.07</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11.85</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b/>
          <w:bCs/>
          <w:color w:val="000000"/>
          <w:sz w:val="32"/>
          <w:szCs w:val="32"/>
        </w:rPr>
        <w:t>卫生健康支出</w:t>
      </w:r>
      <w:r>
        <w:rPr>
          <w:rFonts w:hint="eastAsia" w:ascii="仿宋" w:hAnsi="仿宋" w:eastAsia="仿宋"/>
          <w:color w:val="000000"/>
          <w:sz w:val="32"/>
          <w:szCs w:val="32"/>
          <w:lang w:val="en-US" w:eastAsia="zh-CN"/>
        </w:rPr>
        <w:t>3.87</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3.04</w:t>
      </w:r>
      <w:r>
        <w:rPr>
          <w:rFonts w:ascii="仿宋" w:hAnsi="仿宋" w:eastAsia="仿宋"/>
          <w:color w:val="000000"/>
          <w:sz w:val="32"/>
          <w:szCs w:val="32"/>
        </w:rPr>
        <w:t>%</w:t>
      </w:r>
      <w:r>
        <w:rPr>
          <w:rFonts w:hint="eastAsia" w:ascii="仿宋" w:hAnsi="仿宋" w:eastAsia="仿宋"/>
          <w:color w:val="000000"/>
          <w:sz w:val="32"/>
          <w:szCs w:val="32"/>
        </w:rPr>
        <w:t>；住房保障支出</w:t>
      </w:r>
      <w:r>
        <w:rPr>
          <w:rFonts w:hint="eastAsia" w:ascii="仿宋" w:hAnsi="仿宋" w:eastAsia="仿宋"/>
          <w:color w:val="000000"/>
          <w:sz w:val="32"/>
          <w:szCs w:val="32"/>
          <w:lang w:val="en-US" w:eastAsia="zh-CN"/>
        </w:rPr>
        <w:t>6.78</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5.33</w:t>
      </w:r>
      <w:r>
        <w:rPr>
          <w:rFonts w:ascii="仿宋" w:hAnsi="仿宋" w:eastAsia="仿宋"/>
          <w:color w:val="000000"/>
          <w:sz w:val="32"/>
          <w:szCs w:val="32"/>
        </w:rPr>
        <w:t>%</w:t>
      </w:r>
      <w:r>
        <w:rPr>
          <w:rFonts w:hint="eastAsia" w:ascii="仿宋" w:hAnsi="仿宋" w:eastAsia="仿宋"/>
          <w:color w:val="000000"/>
          <w:sz w:val="32"/>
          <w:szCs w:val="32"/>
          <w:lang w:eastAsia="zh-CN"/>
        </w:rPr>
        <w:t>。</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eastAsia="zh-CN"/>
        </w:rPr>
        <w:drawing>
          <wp:anchor distT="0" distB="0" distL="114300" distR="114300" simplePos="0" relativeHeight="251664384" behindDoc="0" locked="0" layoutInCell="1" allowOverlap="1">
            <wp:simplePos x="0" y="0"/>
            <wp:positionH relativeFrom="column">
              <wp:posOffset>397510</wp:posOffset>
            </wp:positionH>
            <wp:positionV relativeFrom="paragraph">
              <wp:posOffset>245110</wp:posOffset>
            </wp:positionV>
            <wp:extent cx="4067810" cy="2022475"/>
            <wp:effectExtent l="4445" t="4445" r="23495" b="11430"/>
            <wp:wrapSquare wrapText="bothSides"/>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spacing w:line="600" w:lineRule="exact"/>
        <w:ind w:firstLine="640" w:firstLineChars="200"/>
        <w:rPr>
          <w:rFonts w:ascii="仿宋" w:hAnsi="仿宋" w:eastAsia="仿宋"/>
          <w:color w:val="000000"/>
          <w:sz w:val="32"/>
          <w:szCs w:val="32"/>
        </w:rPr>
      </w:pPr>
    </w:p>
    <w:p>
      <w:pPr>
        <w:spacing w:line="600" w:lineRule="exact"/>
        <w:ind w:firstLine="640" w:firstLineChars="200"/>
        <w:rPr>
          <w:rFonts w:ascii="仿宋" w:hAnsi="仿宋" w:eastAsia="仿宋"/>
          <w:color w:val="000000"/>
          <w:sz w:val="32"/>
          <w:szCs w:val="32"/>
        </w:rPr>
      </w:pPr>
    </w:p>
    <w:p>
      <w:pPr>
        <w:spacing w:line="600" w:lineRule="exact"/>
        <w:rPr>
          <w:rFonts w:ascii="仿宋" w:hAnsi="仿宋" w:eastAsia="仿宋"/>
          <w:color w:val="000000"/>
          <w:sz w:val="32"/>
          <w:szCs w:val="32"/>
        </w:rPr>
      </w:pPr>
    </w:p>
    <w:p>
      <w:pPr>
        <w:spacing w:line="600" w:lineRule="exact"/>
        <w:rPr>
          <w:rFonts w:ascii="仿宋" w:hAnsi="仿宋" w:eastAsia="仿宋"/>
          <w:color w:val="000000"/>
          <w:sz w:val="32"/>
          <w:szCs w:val="32"/>
        </w:rPr>
      </w:pPr>
    </w:p>
    <w:p>
      <w:pPr>
        <w:spacing w:line="600" w:lineRule="exact"/>
        <w:outlineLvl w:val="2"/>
        <w:rPr>
          <w:rFonts w:hint="eastAsia" w:ascii="仿宋" w:hAnsi="仿宋" w:eastAsia="仿宋"/>
          <w:b/>
          <w:color w:val="000000"/>
          <w:sz w:val="32"/>
          <w:szCs w:val="32"/>
        </w:rPr>
      </w:pPr>
      <w:bookmarkStart w:id="58" w:name="_Toc15377212"/>
      <w:bookmarkStart w:id="59" w:name="_Toc79163617"/>
    </w:p>
    <w:p>
      <w:pPr>
        <w:spacing w:line="600" w:lineRule="exact"/>
        <w:outlineLvl w:val="2"/>
        <w:rPr>
          <w:rFonts w:hint="eastAsia" w:ascii="仿宋" w:hAnsi="仿宋" w:eastAsia="仿宋"/>
          <w:b/>
          <w:color w:val="000000"/>
          <w:sz w:val="32"/>
          <w:szCs w:val="32"/>
        </w:rPr>
      </w:pPr>
      <w:bookmarkStart w:id="60" w:name="_Toc26791"/>
      <w:r>
        <w:rPr>
          <w:rFonts w:hint="eastAsia" w:ascii="仿宋" w:hAnsi="仿宋" w:eastAsia="仿宋"/>
          <w:color w:val="000000"/>
          <w:sz w:val="32"/>
          <w:szCs w:val="32"/>
        </w:rPr>
        <w:t>（图</w:t>
      </w:r>
      <w:r>
        <w:rPr>
          <w:rFonts w:ascii="仿宋" w:hAnsi="仿宋" w:eastAsia="仿宋"/>
          <w:color w:val="000000"/>
          <w:sz w:val="32"/>
          <w:szCs w:val="32"/>
        </w:rPr>
        <w:t>6</w:t>
      </w:r>
      <w:r>
        <w:rPr>
          <w:rFonts w:hint="eastAsia" w:ascii="仿宋" w:hAnsi="仿宋" w:eastAsia="仿宋"/>
          <w:color w:val="000000"/>
          <w:sz w:val="32"/>
          <w:szCs w:val="32"/>
        </w:rPr>
        <w:t>：一般公共预算财政拨款支出决算结构）（饼状图）</w:t>
      </w:r>
      <w:bookmarkEnd w:id="60"/>
    </w:p>
    <w:p>
      <w:pPr>
        <w:spacing w:line="600" w:lineRule="exact"/>
        <w:ind w:firstLine="643" w:firstLineChars="200"/>
        <w:outlineLvl w:val="2"/>
        <w:rPr>
          <w:rFonts w:hint="eastAsia" w:ascii="仿宋" w:hAnsi="仿宋" w:eastAsia="仿宋"/>
          <w:b/>
          <w:color w:val="000000"/>
          <w:sz w:val="32"/>
          <w:szCs w:val="32"/>
        </w:rPr>
      </w:pPr>
      <w:bookmarkStart w:id="61" w:name="_Toc19153"/>
      <w:r>
        <w:rPr>
          <w:rFonts w:hint="eastAsia" w:ascii="仿宋" w:hAnsi="仿宋" w:eastAsia="仿宋"/>
          <w:b/>
          <w:color w:val="000000"/>
          <w:sz w:val="32"/>
          <w:szCs w:val="32"/>
        </w:rPr>
        <w:t>（三）一般公共预算财政拨款支出决算具体情况</w:t>
      </w:r>
      <w:bookmarkEnd w:id="58"/>
      <w:bookmarkEnd w:id="59"/>
      <w:bookmarkEnd w:id="61"/>
    </w:p>
    <w:p>
      <w:pPr>
        <w:spacing w:line="600" w:lineRule="exact"/>
        <w:ind w:firstLine="643" w:firstLineChars="200"/>
        <w:rPr>
          <w:rFonts w:ascii="仿宋_GB2312" w:eastAsia="仿宋_GB2312"/>
          <w:b/>
          <w:bCs/>
          <w:sz w:val="32"/>
          <w:szCs w:val="32"/>
        </w:rPr>
      </w:pPr>
      <w:bookmarkStart w:id="62" w:name="_Toc15377213"/>
      <w:bookmarkStart w:id="63" w:name="_Toc15377444"/>
      <w:bookmarkStart w:id="64" w:name="_Toc15378460"/>
      <w:r>
        <w:rPr>
          <w:rFonts w:hint="eastAsia" w:ascii="仿宋_GB2312" w:eastAsia="仿宋_GB2312"/>
          <w:b/>
          <w:bCs/>
          <w:sz w:val="32"/>
          <w:szCs w:val="32"/>
          <w:lang w:eastAsia="zh-CN"/>
        </w:rPr>
        <w:t>2025年</w:t>
      </w:r>
      <w:r>
        <w:rPr>
          <w:rFonts w:hint="eastAsia" w:ascii="仿宋_GB2312" w:eastAsia="仿宋_GB2312"/>
          <w:b/>
          <w:bCs/>
          <w:sz w:val="32"/>
          <w:szCs w:val="32"/>
        </w:rPr>
        <w:t>一般公共预算支出决算数为</w:t>
      </w:r>
      <w:r>
        <w:rPr>
          <w:rFonts w:hint="eastAsia" w:ascii="仿宋_GB2312" w:eastAsia="仿宋_GB2312"/>
          <w:b/>
          <w:bCs/>
          <w:sz w:val="32"/>
          <w:szCs w:val="32"/>
          <w:lang w:val="en-US" w:eastAsia="zh-CN"/>
        </w:rPr>
        <w:t>127.15万元</w:t>
      </w:r>
      <w:r>
        <w:rPr>
          <w:rFonts w:hint="eastAsia" w:ascii="仿宋_GB2312" w:eastAsia="仿宋_GB2312"/>
          <w:b/>
          <w:bCs/>
          <w:sz w:val="32"/>
          <w:szCs w:val="32"/>
        </w:rPr>
        <w:t>，完成预算</w:t>
      </w:r>
      <w:r>
        <w:rPr>
          <w:rFonts w:hint="eastAsia" w:ascii="仿宋_GB2312" w:eastAsia="仿宋_GB2312"/>
          <w:b/>
          <w:bCs/>
          <w:sz w:val="32"/>
          <w:szCs w:val="32"/>
          <w:lang w:val="en-US" w:eastAsia="zh-CN"/>
        </w:rPr>
        <w:t>100</w:t>
      </w:r>
      <w:r>
        <w:rPr>
          <w:rFonts w:ascii="仿宋_GB2312" w:eastAsia="仿宋_GB2312"/>
          <w:b/>
          <w:bCs/>
          <w:sz w:val="32"/>
          <w:szCs w:val="32"/>
        </w:rPr>
        <w:t>%</w:t>
      </w:r>
      <w:r>
        <w:rPr>
          <w:rFonts w:hint="eastAsia" w:ascii="仿宋_GB2312" w:eastAsia="仿宋_GB2312"/>
          <w:b/>
          <w:bCs/>
          <w:sz w:val="32"/>
          <w:szCs w:val="32"/>
        </w:rPr>
        <w:t>。其中：</w:t>
      </w:r>
      <w:bookmarkEnd w:id="62"/>
      <w:bookmarkEnd w:id="63"/>
      <w:bookmarkEnd w:id="64"/>
    </w:p>
    <w:p>
      <w:pPr>
        <w:spacing w:line="600" w:lineRule="exact"/>
        <w:ind w:firstLine="643" w:firstLineChars="200"/>
        <w:rPr>
          <w:rFonts w:ascii="仿宋" w:hAnsi="仿宋" w:eastAsia="仿宋"/>
          <w:b/>
          <w:color w:val="000000"/>
          <w:sz w:val="32"/>
          <w:szCs w:val="32"/>
        </w:rPr>
      </w:pPr>
      <w:r>
        <w:rPr>
          <w:rStyle w:val="21"/>
          <w:rFonts w:ascii="仿宋" w:hAnsi="仿宋" w:eastAsia="仿宋"/>
          <w:bCs/>
          <w:color w:val="000000"/>
          <w:sz w:val="32"/>
          <w:szCs w:val="32"/>
        </w:rPr>
        <w:t>1.</w:t>
      </w:r>
      <w:r>
        <w:rPr>
          <w:rStyle w:val="21"/>
          <w:rFonts w:hint="eastAsia" w:ascii="仿宋" w:hAnsi="仿宋" w:eastAsia="仿宋"/>
          <w:bCs/>
          <w:color w:val="000000"/>
          <w:sz w:val="32"/>
          <w:szCs w:val="32"/>
        </w:rPr>
        <w:t>一般公共服务</w:t>
      </w:r>
      <w:r>
        <w:rPr>
          <w:rStyle w:val="21"/>
          <w:rFonts w:hint="eastAsia" w:ascii="仿宋" w:hAnsi="仿宋" w:eastAsia="仿宋"/>
          <w:bCs/>
          <w:color w:val="000000"/>
          <w:sz w:val="32"/>
          <w:szCs w:val="32"/>
          <w:lang w:eastAsia="zh-CN"/>
        </w:rPr>
        <w:t>（</w:t>
      </w:r>
      <w:r>
        <w:rPr>
          <w:rStyle w:val="21"/>
          <w:rFonts w:hint="eastAsia" w:ascii="仿宋" w:hAnsi="仿宋" w:eastAsia="仿宋"/>
          <w:bCs/>
          <w:color w:val="000000"/>
          <w:sz w:val="32"/>
          <w:szCs w:val="32"/>
          <w:lang w:val="en-US" w:eastAsia="zh-CN"/>
        </w:rPr>
        <w:t>201</w:t>
      </w:r>
      <w:r>
        <w:rPr>
          <w:rStyle w:val="21"/>
          <w:rFonts w:hint="eastAsia" w:ascii="仿宋" w:hAnsi="仿宋" w:eastAsia="仿宋"/>
          <w:bCs/>
          <w:color w:val="000000"/>
          <w:sz w:val="32"/>
          <w:szCs w:val="32"/>
          <w:lang w:eastAsia="zh-CN"/>
        </w:rPr>
        <w:t>）政府办公厅及相关机构服务（</w:t>
      </w:r>
      <w:r>
        <w:rPr>
          <w:rStyle w:val="21"/>
          <w:rFonts w:hint="eastAsia" w:ascii="仿宋" w:hAnsi="仿宋" w:eastAsia="仿宋"/>
          <w:bCs/>
          <w:color w:val="000000"/>
          <w:sz w:val="32"/>
          <w:szCs w:val="32"/>
          <w:lang w:val="en-US" w:eastAsia="zh-CN"/>
        </w:rPr>
        <w:t>20103</w:t>
      </w:r>
      <w:r>
        <w:rPr>
          <w:rStyle w:val="21"/>
          <w:rFonts w:hint="eastAsia" w:ascii="仿宋" w:hAnsi="仿宋" w:eastAsia="仿宋"/>
          <w:bCs/>
          <w:color w:val="000000"/>
          <w:sz w:val="32"/>
          <w:szCs w:val="32"/>
          <w:lang w:eastAsia="zh-CN"/>
        </w:rPr>
        <w:t>）事业运行（</w:t>
      </w:r>
      <w:r>
        <w:rPr>
          <w:rStyle w:val="21"/>
          <w:rFonts w:hint="eastAsia" w:ascii="仿宋" w:hAnsi="仿宋" w:eastAsia="仿宋"/>
          <w:bCs/>
          <w:color w:val="000000"/>
          <w:sz w:val="32"/>
          <w:szCs w:val="32"/>
          <w:lang w:val="en-US" w:eastAsia="zh-CN"/>
        </w:rPr>
        <w:t>2010350</w:t>
      </w:r>
      <w:r>
        <w:rPr>
          <w:rStyle w:val="21"/>
          <w:rFonts w:hint="eastAsia" w:ascii="仿宋" w:hAnsi="仿宋" w:eastAsia="仿宋"/>
          <w:bCs/>
          <w:color w:val="000000"/>
          <w:sz w:val="32"/>
          <w:szCs w:val="32"/>
          <w:lang w:eastAsia="zh-CN"/>
        </w:rPr>
        <w:t>）</w:t>
      </w:r>
      <w:r>
        <w:rPr>
          <w:rStyle w:val="21"/>
          <w:rFonts w:ascii="仿宋" w:hAnsi="仿宋" w:eastAsia="仿宋"/>
          <w:bCs/>
          <w:color w:val="000000"/>
          <w:sz w:val="32"/>
          <w:szCs w:val="32"/>
        </w:rPr>
        <w:t>:</w:t>
      </w:r>
      <w:r>
        <w:rPr>
          <w:rStyle w:val="21"/>
          <w:rFonts w:ascii="仿宋" w:hAnsi="仿宋" w:eastAsia="仿宋"/>
          <w:b w:val="0"/>
          <w:bCs/>
          <w:color w:val="000000"/>
          <w:sz w:val="32"/>
          <w:szCs w:val="32"/>
        </w:rPr>
        <w:t xml:space="preserve"> </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101.43</w:t>
      </w:r>
      <w:r>
        <w:rPr>
          <w:rStyle w:val="21"/>
          <w:rFonts w:hint="eastAsia" w:ascii="仿宋" w:hAnsi="仿宋" w:eastAsia="仿宋"/>
          <w:b w:val="0"/>
          <w:bCs/>
          <w:color w:val="000000"/>
          <w:sz w:val="32"/>
          <w:szCs w:val="32"/>
        </w:rPr>
        <w:t>万元，完成预算</w:t>
      </w:r>
      <w:r>
        <w:rPr>
          <w:rStyle w:val="21"/>
          <w:rFonts w:hint="eastAsia" w:ascii="仿宋" w:hAnsi="仿宋" w:eastAsia="仿宋"/>
          <w:b w:val="0"/>
          <w:bCs/>
          <w:color w:val="000000"/>
          <w:sz w:val="32"/>
          <w:szCs w:val="32"/>
          <w:lang w:val="en-US" w:eastAsia="zh-CN"/>
        </w:rPr>
        <w:t>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，决算数</w:t>
      </w:r>
      <w:r>
        <w:rPr>
          <w:rStyle w:val="21"/>
          <w:rFonts w:hint="eastAsia" w:ascii="仿宋" w:hAnsi="仿宋" w:eastAsia="仿宋"/>
          <w:b w:val="0"/>
          <w:bCs/>
          <w:color w:val="000000"/>
          <w:sz w:val="32"/>
          <w:szCs w:val="32"/>
          <w:lang w:eastAsia="zh-CN"/>
        </w:rPr>
        <w:t>等于</w:t>
      </w:r>
      <w:r>
        <w:rPr>
          <w:rStyle w:val="21"/>
          <w:rFonts w:hint="eastAsia" w:ascii="仿宋" w:hAnsi="仿宋" w:eastAsia="仿宋"/>
          <w:b w:val="0"/>
          <w:bCs/>
          <w:color w:val="000000"/>
          <w:sz w:val="32"/>
          <w:szCs w:val="32"/>
        </w:rPr>
        <w:t>预算数的主要原因是</w:t>
      </w:r>
      <w:r>
        <w:rPr>
          <w:rStyle w:val="21"/>
          <w:rFonts w:hint="eastAsia" w:ascii="仿宋" w:hAnsi="仿宋" w:eastAsia="仿宋"/>
          <w:b w:val="0"/>
          <w:bCs/>
          <w:color w:val="000000"/>
          <w:sz w:val="32"/>
          <w:szCs w:val="32"/>
          <w:lang w:eastAsia="zh-CN"/>
        </w:rPr>
        <w:t>调资</w:t>
      </w:r>
      <w:r>
        <w:rPr>
          <w:rStyle w:val="21"/>
          <w:rFonts w:hint="eastAsia" w:ascii="仿宋" w:hAnsi="仿宋" w:eastAsia="仿宋"/>
          <w:b w:val="0"/>
          <w:bCs/>
          <w:color w:val="000000"/>
          <w:sz w:val="32"/>
          <w:szCs w:val="32"/>
        </w:rPr>
        <w:t>。</w:t>
      </w:r>
    </w:p>
    <w:p>
      <w:pPr>
        <w:spacing w:line="600" w:lineRule="exact"/>
        <w:ind w:firstLine="643" w:firstLineChars="200"/>
        <w:rPr>
          <w:rFonts w:ascii="仿宋" w:hAnsi="仿宋" w:eastAsia="仿宋"/>
          <w:b/>
          <w:color w:val="000000"/>
          <w:sz w:val="32"/>
          <w:szCs w:val="32"/>
        </w:rPr>
      </w:pPr>
      <w:r>
        <w:rPr>
          <w:rStyle w:val="21"/>
          <w:rFonts w:hint="eastAsia" w:ascii="仿宋" w:hAnsi="仿宋" w:eastAsia="仿宋"/>
          <w:bCs/>
          <w:color w:val="000000"/>
          <w:sz w:val="32"/>
          <w:szCs w:val="32"/>
          <w:lang w:val="en-US" w:eastAsia="zh-CN"/>
        </w:rPr>
        <w:t>2</w:t>
      </w:r>
      <w:r>
        <w:rPr>
          <w:rStyle w:val="21"/>
          <w:rFonts w:ascii="仿宋" w:hAnsi="仿宋" w:eastAsia="仿宋"/>
          <w:bCs/>
          <w:color w:val="000000"/>
          <w:sz w:val="32"/>
          <w:szCs w:val="32"/>
        </w:rPr>
        <w:t>.</w:t>
      </w:r>
      <w:r>
        <w:rPr>
          <w:rStyle w:val="21"/>
          <w:rFonts w:hint="eastAsia" w:ascii="仿宋" w:hAnsi="仿宋" w:eastAsia="仿宋"/>
          <w:bCs/>
          <w:color w:val="000000"/>
          <w:sz w:val="32"/>
          <w:szCs w:val="32"/>
        </w:rPr>
        <w:t>社会保障和就业（</w:t>
      </w:r>
      <w:r>
        <w:rPr>
          <w:rStyle w:val="21"/>
          <w:rFonts w:hint="eastAsia" w:ascii="仿宋" w:hAnsi="仿宋" w:eastAsia="仿宋"/>
          <w:bCs/>
          <w:color w:val="000000"/>
          <w:sz w:val="32"/>
          <w:szCs w:val="32"/>
          <w:lang w:val="en-US" w:eastAsia="zh-CN"/>
        </w:rPr>
        <w:t>208</w:t>
      </w:r>
      <w:r>
        <w:rPr>
          <w:rStyle w:val="21"/>
          <w:rFonts w:hint="eastAsia" w:ascii="仿宋" w:hAnsi="仿宋" w:eastAsia="仿宋"/>
          <w:bCs/>
          <w:color w:val="000000"/>
          <w:sz w:val="32"/>
          <w:szCs w:val="32"/>
        </w:rPr>
        <w:t>）</w:t>
      </w:r>
      <w:r>
        <w:rPr>
          <w:rStyle w:val="21"/>
          <w:rFonts w:hint="eastAsia" w:ascii="仿宋" w:hAnsi="仿宋" w:eastAsia="仿宋"/>
          <w:bCs/>
          <w:color w:val="000000"/>
          <w:sz w:val="32"/>
          <w:szCs w:val="32"/>
          <w:lang w:eastAsia="zh-CN"/>
        </w:rPr>
        <w:t>行政事业单位养老支出</w:t>
      </w:r>
      <w:r>
        <w:rPr>
          <w:rStyle w:val="21"/>
          <w:rFonts w:hint="eastAsia" w:ascii="仿宋" w:hAnsi="仿宋" w:eastAsia="仿宋"/>
          <w:bCs/>
          <w:color w:val="000000"/>
          <w:sz w:val="32"/>
          <w:szCs w:val="32"/>
        </w:rPr>
        <w:t>（</w:t>
      </w:r>
      <w:r>
        <w:rPr>
          <w:rStyle w:val="21"/>
          <w:rFonts w:hint="eastAsia" w:ascii="仿宋" w:hAnsi="仿宋" w:eastAsia="仿宋"/>
          <w:bCs/>
          <w:color w:val="000000"/>
          <w:sz w:val="32"/>
          <w:szCs w:val="32"/>
          <w:lang w:val="en-US" w:eastAsia="zh-CN"/>
        </w:rPr>
        <w:t>20805</w:t>
      </w:r>
      <w:r>
        <w:rPr>
          <w:rStyle w:val="21"/>
          <w:rFonts w:hint="eastAsia" w:ascii="仿宋" w:hAnsi="仿宋" w:eastAsia="仿宋"/>
          <w:bCs/>
          <w:color w:val="000000"/>
          <w:sz w:val="32"/>
          <w:szCs w:val="32"/>
        </w:rPr>
        <w:t>）机关事业单位基本养老保险缴费支出（</w:t>
      </w:r>
      <w:r>
        <w:rPr>
          <w:rStyle w:val="21"/>
          <w:rFonts w:hint="eastAsia" w:ascii="仿宋" w:hAnsi="仿宋" w:eastAsia="仿宋"/>
          <w:bCs/>
          <w:color w:val="000000"/>
          <w:sz w:val="32"/>
          <w:szCs w:val="32"/>
          <w:lang w:val="en-US" w:eastAsia="zh-CN"/>
        </w:rPr>
        <w:t>2080505</w:t>
      </w:r>
      <w:r>
        <w:rPr>
          <w:rStyle w:val="21"/>
          <w:rFonts w:hint="eastAsia" w:ascii="仿宋" w:hAnsi="仿宋" w:eastAsia="仿宋"/>
          <w:bCs/>
          <w:color w:val="000000"/>
          <w:sz w:val="32"/>
          <w:szCs w:val="32"/>
        </w:rPr>
        <w:t>）</w:t>
      </w:r>
      <w:r>
        <w:rPr>
          <w:rStyle w:val="21"/>
          <w:rFonts w:hint="eastAsia" w:ascii="仿宋" w:hAnsi="仿宋" w:eastAsia="仿宋"/>
          <w:bCs/>
          <w:color w:val="000000"/>
          <w:sz w:val="32"/>
          <w:szCs w:val="32"/>
          <w:lang w:eastAsia="zh-CN"/>
        </w:rPr>
        <w:t>、</w:t>
      </w:r>
      <w:r>
        <w:rPr>
          <w:rStyle w:val="21"/>
          <w:rFonts w:hint="eastAsia" w:ascii="仿宋" w:hAnsi="仿宋" w:eastAsia="仿宋"/>
          <w:bCs/>
          <w:color w:val="000000"/>
          <w:sz w:val="32"/>
          <w:szCs w:val="32"/>
        </w:rPr>
        <w:t>机关事业单位职业年金缴费支出</w:t>
      </w:r>
      <w:r>
        <w:rPr>
          <w:rStyle w:val="21"/>
          <w:rFonts w:hint="eastAsia" w:ascii="仿宋" w:hAnsi="仿宋" w:eastAsia="仿宋"/>
          <w:bCs/>
          <w:color w:val="000000"/>
          <w:sz w:val="32"/>
          <w:szCs w:val="32"/>
          <w:lang w:eastAsia="zh-CN"/>
        </w:rPr>
        <w:t>（</w:t>
      </w:r>
      <w:r>
        <w:rPr>
          <w:rStyle w:val="21"/>
          <w:rFonts w:hint="eastAsia" w:ascii="仿宋" w:hAnsi="仿宋" w:eastAsia="仿宋"/>
          <w:bCs/>
          <w:color w:val="000000"/>
          <w:sz w:val="32"/>
          <w:szCs w:val="32"/>
          <w:lang w:val="en-US" w:eastAsia="zh-CN"/>
        </w:rPr>
        <w:t>2080506</w:t>
      </w:r>
      <w:r>
        <w:rPr>
          <w:rStyle w:val="21"/>
          <w:rFonts w:hint="eastAsia" w:ascii="仿宋" w:hAnsi="仿宋" w:eastAsia="仿宋"/>
          <w:bCs/>
          <w:color w:val="000000"/>
          <w:sz w:val="32"/>
          <w:szCs w:val="32"/>
          <w:lang w:eastAsia="zh-CN"/>
        </w:rPr>
        <w:t>）</w:t>
      </w:r>
      <w:r>
        <w:rPr>
          <w:rStyle w:val="21"/>
          <w:rFonts w:ascii="仿宋" w:hAnsi="仿宋" w:eastAsia="仿宋"/>
          <w:bCs/>
          <w:color w:val="000000"/>
          <w:sz w:val="32"/>
          <w:szCs w:val="32"/>
        </w:rPr>
        <w:t>:</w:t>
      </w:r>
      <w:r>
        <w:rPr>
          <w:rStyle w:val="21"/>
          <w:rFonts w:ascii="仿宋" w:hAnsi="仿宋" w:eastAsia="仿宋"/>
          <w:b w:val="0"/>
          <w:bCs/>
          <w:color w:val="000000"/>
          <w:sz w:val="32"/>
          <w:szCs w:val="32"/>
        </w:rPr>
        <w:t xml:space="preserve"> </w:t>
      </w:r>
      <w:r>
        <w:rPr>
          <w:rStyle w:val="21"/>
          <w:rFonts w:hint="eastAsia" w:ascii="仿宋" w:hAnsi="仿宋" w:eastAsia="仿宋"/>
          <w:b w:val="0"/>
          <w:bCs/>
          <w:color w:val="000000"/>
          <w:sz w:val="32"/>
          <w:szCs w:val="32"/>
        </w:rPr>
        <w:t>支出决算为</w:t>
      </w:r>
      <w:r>
        <w:rPr>
          <w:rFonts w:hint="eastAsia" w:ascii="仿宋" w:hAnsi="仿宋" w:eastAsia="仿宋"/>
          <w:color w:val="000000"/>
          <w:sz w:val="32"/>
          <w:szCs w:val="32"/>
          <w:lang w:val="en-US" w:eastAsia="zh-CN"/>
        </w:rPr>
        <w:t>15.07</w:t>
      </w:r>
      <w:r>
        <w:rPr>
          <w:rFonts w:hint="eastAsia" w:ascii="仿宋" w:hAnsi="仿宋" w:eastAsia="仿宋"/>
          <w:color w:val="000000"/>
          <w:sz w:val="32"/>
          <w:szCs w:val="32"/>
        </w:rPr>
        <w:t>万</w:t>
      </w:r>
      <w:r>
        <w:rPr>
          <w:rStyle w:val="21"/>
          <w:rFonts w:hint="eastAsia" w:ascii="仿宋" w:hAnsi="仿宋" w:eastAsia="仿宋"/>
          <w:b w:val="0"/>
          <w:bCs/>
          <w:color w:val="000000"/>
          <w:sz w:val="32"/>
          <w:szCs w:val="32"/>
        </w:rPr>
        <w:t>元，完成预算</w:t>
      </w:r>
      <w:r>
        <w:rPr>
          <w:rStyle w:val="21"/>
          <w:rFonts w:hint="eastAsia" w:ascii="仿宋" w:hAnsi="仿宋" w:eastAsia="仿宋"/>
          <w:b w:val="0"/>
          <w:bCs/>
          <w:color w:val="000000"/>
          <w:sz w:val="32"/>
          <w:szCs w:val="32"/>
          <w:lang w:val="en-US" w:eastAsia="zh-CN"/>
        </w:rPr>
        <w:t>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，决算数</w:t>
      </w:r>
      <w:r>
        <w:rPr>
          <w:rStyle w:val="21"/>
          <w:rFonts w:hint="eastAsia" w:ascii="仿宋" w:hAnsi="仿宋" w:eastAsia="仿宋"/>
          <w:b w:val="0"/>
          <w:bCs/>
          <w:color w:val="000000"/>
          <w:sz w:val="32"/>
          <w:szCs w:val="32"/>
          <w:lang w:eastAsia="zh-CN"/>
        </w:rPr>
        <w:t>等于</w:t>
      </w:r>
      <w:r>
        <w:rPr>
          <w:rStyle w:val="21"/>
          <w:rFonts w:hint="eastAsia" w:ascii="仿宋" w:hAnsi="仿宋" w:eastAsia="仿宋"/>
          <w:b w:val="0"/>
          <w:bCs/>
          <w:color w:val="000000"/>
          <w:sz w:val="32"/>
          <w:szCs w:val="32"/>
        </w:rPr>
        <w:t>预算数的主要原因是</w:t>
      </w:r>
      <w:r>
        <w:rPr>
          <w:rStyle w:val="21"/>
          <w:rFonts w:hint="eastAsia" w:ascii="仿宋" w:hAnsi="仿宋" w:eastAsia="仿宋"/>
          <w:b w:val="0"/>
          <w:bCs/>
          <w:color w:val="000000"/>
          <w:sz w:val="32"/>
          <w:szCs w:val="32"/>
          <w:lang w:eastAsia="zh-CN"/>
        </w:rPr>
        <w:t>调资</w:t>
      </w:r>
      <w:r>
        <w:rPr>
          <w:rStyle w:val="21"/>
          <w:rFonts w:hint="eastAsia" w:ascii="仿宋" w:hAnsi="仿宋" w:eastAsia="仿宋"/>
          <w:b w:val="0"/>
          <w:bCs/>
          <w:color w:val="000000"/>
          <w:sz w:val="32"/>
          <w:szCs w:val="32"/>
        </w:rPr>
        <w:t>。</w:t>
      </w:r>
    </w:p>
    <w:p>
      <w:pPr>
        <w:spacing w:line="600" w:lineRule="exact"/>
        <w:ind w:firstLine="643" w:firstLineChars="200"/>
        <w:rPr>
          <w:rFonts w:ascii="仿宋" w:hAnsi="仿宋" w:eastAsia="仿宋"/>
          <w:b/>
          <w:color w:val="000000"/>
          <w:sz w:val="32"/>
          <w:szCs w:val="32"/>
        </w:rPr>
      </w:pPr>
      <w:r>
        <w:rPr>
          <w:rStyle w:val="21"/>
          <w:rFonts w:hint="eastAsia" w:ascii="仿宋" w:hAnsi="仿宋" w:eastAsia="仿宋"/>
          <w:bCs/>
          <w:color w:val="000000"/>
          <w:sz w:val="32"/>
          <w:szCs w:val="32"/>
          <w:lang w:val="en-US" w:eastAsia="zh-CN"/>
        </w:rPr>
        <w:t>3</w:t>
      </w:r>
      <w:r>
        <w:rPr>
          <w:rStyle w:val="21"/>
          <w:rFonts w:ascii="仿宋" w:hAnsi="仿宋" w:eastAsia="仿宋"/>
          <w:bCs/>
          <w:color w:val="000000"/>
          <w:sz w:val="32"/>
          <w:szCs w:val="32"/>
        </w:rPr>
        <w:t>.</w:t>
      </w:r>
      <w:r>
        <w:rPr>
          <w:rFonts w:hint="eastAsia" w:ascii="仿宋" w:hAnsi="仿宋" w:eastAsia="仿宋"/>
          <w:b/>
          <w:bCs/>
          <w:color w:val="000000"/>
          <w:sz w:val="32"/>
          <w:szCs w:val="32"/>
        </w:rPr>
        <w:t>卫生健康</w:t>
      </w:r>
      <w:r>
        <w:rPr>
          <w:rStyle w:val="21"/>
          <w:rFonts w:hint="eastAsia" w:ascii="仿宋" w:hAnsi="仿宋" w:eastAsia="仿宋"/>
          <w:bCs/>
          <w:color w:val="000000"/>
          <w:sz w:val="32"/>
          <w:szCs w:val="32"/>
        </w:rPr>
        <w:t>（</w:t>
      </w:r>
      <w:r>
        <w:rPr>
          <w:rStyle w:val="21"/>
          <w:rFonts w:hint="eastAsia" w:ascii="仿宋" w:hAnsi="仿宋" w:eastAsia="仿宋"/>
          <w:bCs/>
          <w:color w:val="000000"/>
          <w:sz w:val="32"/>
          <w:szCs w:val="32"/>
          <w:lang w:val="en-US" w:eastAsia="zh-CN"/>
        </w:rPr>
        <w:t>201</w:t>
      </w:r>
      <w:r>
        <w:rPr>
          <w:rStyle w:val="21"/>
          <w:rFonts w:hint="eastAsia" w:ascii="仿宋" w:hAnsi="仿宋" w:eastAsia="仿宋"/>
          <w:bCs/>
          <w:color w:val="000000"/>
          <w:sz w:val="32"/>
          <w:szCs w:val="32"/>
        </w:rPr>
        <w:t>）行政事业单位医疗（</w:t>
      </w:r>
      <w:r>
        <w:rPr>
          <w:rStyle w:val="21"/>
          <w:rFonts w:hint="eastAsia" w:ascii="仿宋" w:hAnsi="仿宋" w:eastAsia="仿宋"/>
          <w:bCs/>
          <w:color w:val="000000"/>
          <w:sz w:val="32"/>
          <w:szCs w:val="32"/>
          <w:lang w:val="en-US" w:eastAsia="zh-CN"/>
        </w:rPr>
        <w:t>21011</w:t>
      </w:r>
      <w:r>
        <w:rPr>
          <w:rStyle w:val="21"/>
          <w:rFonts w:hint="eastAsia" w:ascii="仿宋" w:hAnsi="仿宋" w:eastAsia="仿宋"/>
          <w:bCs/>
          <w:color w:val="000000"/>
          <w:sz w:val="32"/>
          <w:szCs w:val="32"/>
        </w:rPr>
        <w:t>）事业单位医疗</w:t>
      </w:r>
      <w:r>
        <w:rPr>
          <w:rStyle w:val="21"/>
          <w:rFonts w:hint="eastAsia" w:ascii="仿宋" w:hAnsi="仿宋" w:eastAsia="仿宋"/>
          <w:bCs/>
          <w:color w:val="000000"/>
          <w:sz w:val="32"/>
          <w:szCs w:val="32"/>
          <w:lang w:val="en-US" w:eastAsia="zh-CN"/>
        </w:rPr>
        <w:t>（2101102）</w:t>
      </w:r>
      <w:r>
        <w:rPr>
          <w:rStyle w:val="21"/>
          <w:rFonts w:hint="eastAsia" w:ascii="仿宋" w:hAnsi="仿宋" w:eastAsia="仿宋"/>
          <w:bCs/>
          <w:color w:val="000000"/>
          <w:sz w:val="32"/>
          <w:szCs w:val="32"/>
          <w:lang w:eastAsia="zh-CN"/>
        </w:rPr>
        <w:t>、其他行政事业单位医疗支出</w:t>
      </w:r>
      <w:r>
        <w:rPr>
          <w:rStyle w:val="21"/>
          <w:rFonts w:hint="eastAsia" w:ascii="仿宋" w:hAnsi="仿宋" w:eastAsia="仿宋"/>
          <w:bCs/>
          <w:color w:val="000000"/>
          <w:sz w:val="32"/>
          <w:szCs w:val="32"/>
        </w:rPr>
        <w:t>（</w:t>
      </w:r>
      <w:r>
        <w:rPr>
          <w:rStyle w:val="21"/>
          <w:rFonts w:hint="eastAsia" w:ascii="仿宋" w:hAnsi="仿宋" w:eastAsia="仿宋"/>
          <w:bCs/>
          <w:color w:val="000000"/>
          <w:sz w:val="32"/>
          <w:szCs w:val="32"/>
          <w:lang w:val="en-US" w:eastAsia="zh-CN"/>
        </w:rPr>
        <w:t>2101199</w:t>
      </w:r>
      <w:r>
        <w:rPr>
          <w:rStyle w:val="21"/>
          <w:rFonts w:hint="eastAsia" w:ascii="仿宋" w:hAnsi="仿宋" w:eastAsia="仿宋"/>
          <w:bCs/>
          <w:color w:val="000000"/>
          <w:sz w:val="32"/>
          <w:szCs w:val="32"/>
        </w:rPr>
        <w:t>）</w:t>
      </w:r>
      <w:r>
        <w:rPr>
          <w:rStyle w:val="21"/>
          <w:rFonts w:ascii="仿宋" w:hAnsi="仿宋" w:eastAsia="仿宋"/>
          <w:bCs/>
          <w:color w:val="000000"/>
          <w:sz w:val="32"/>
          <w:szCs w:val="32"/>
        </w:rPr>
        <w:t>:</w:t>
      </w:r>
      <w:r>
        <w:rPr>
          <w:rStyle w:val="21"/>
          <w:rFonts w:hint="eastAsia" w:ascii="仿宋" w:hAnsi="仿宋" w:eastAsia="仿宋"/>
          <w:b w:val="0"/>
          <w:bCs/>
          <w:color w:val="000000"/>
          <w:sz w:val="32"/>
          <w:szCs w:val="32"/>
        </w:rPr>
        <w:t>支出决算为</w:t>
      </w:r>
      <w:r>
        <w:rPr>
          <w:rStyle w:val="21"/>
          <w:rFonts w:hint="eastAsia" w:ascii="仿宋" w:hAnsi="仿宋" w:eastAsia="仿宋"/>
          <w:b w:val="0"/>
          <w:bCs/>
          <w:color w:val="000000"/>
          <w:sz w:val="32"/>
          <w:szCs w:val="32"/>
          <w:lang w:val="en-US" w:eastAsia="zh-CN"/>
        </w:rPr>
        <w:t>3.87</w:t>
      </w:r>
      <w:r>
        <w:rPr>
          <w:rStyle w:val="21"/>
          <w:rFonts w:hint="eastAsia" w:ascii="仿宋" w:hAnsi="仿宋" w:eastAsia="仿宋"/>
          <w:b w:val="0"/>
          <w:bCs/>
          <w:color w:val="000000"/>
          <w:sz w:val="32"/>
          <w:szCs w:val="32"/>
        </w:rPr>
        <w:t>万元，完成预算</w:t>
      </w:r>
      <w:r>
        <w:rPr>
          <w:rStyle w:val="21"/>
          <w:rFonts w:hint="eastAsia" w:ascii="仿宋" w:hAnsi="仿宋" w:eastAsia="仿宋"/>
          <w:b w:val="0"/>
          <w:bCs/>
          <w:color w:val="000000"/>
          <w:sz w:val="32"/>
          <w:szCs w:val="32"/>
          <w:lang w:val="en-US" w:eastAsia="zh-CN"/>
        </w:rPr>
        <w:t>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，决算数等于预算数的主要原因是</w:t>
      </w:r>
      <w:r>
        <w:rPr>
          <w:rStyle w:val="21"/>
          <w:rFonts w:hint="eastAsia" w:ascii="仿宋" w:hAnsi="仿宋" w:eastAsia="仿宋"/>
          <w:b w:val="0"/>
          <w:bCs/>
          <w:color w:val="000000"/>
          <w:sz w:val="32"/>
          <w:szCs w:val="32"/>
          <w:lang w:eastAsia="zh-CN"/>
        </w:rPr>
        <w:t>厉行节约</w:t>
      </w:r>
      <w:r>
        <w:rPr>
          <w:rStyle w:val="21"/>
          <w:rFonts w:hint="eastAsia" w:ascii="仿宋" w:hAnsi="仿宋" w:eastAsia="仿宋"/>
          <w:b w:val="0"/>
          <w:bCs/>
          <w:color w:val="000000"/>
          <w:sz w:val="32"/>
          <w:szCs w:val="32"/>
        </w:rPr>
        <w:t>。</w:t>
      </w:r>
    </w:p>
    <w:p>
      <w:pPr>
        <w:spacing w:line="600" w:lineRule="exact"/>
        <w:ind w:firstLine="643" w:firstLineChars="200"/>
        <w:rPr>
          <w:rFonts w:ascii="仿宋" w:hAnsi="仿宋" w:eastAsia="仿宋"/>
          <w:b/>
          <w:color w:val="000000"/>
          <w:sz w:val="32"/>
          <w:szCs w:val="32"/>
        </w:rPr>
      </w:pPr>
      <w:r>
        <w:rPr>
          <w:rFonts w:hint="eastAsia" w:ascii="仿宋" w:hAnsi="仿宋" w:eastAsia="仿宋"/>
          <w:b/>
          <w:bCs/>
          <w:color w:val="000000"/>
          <w:sz w:val="32"/>
          <w:szCs w:val="32"/>
          <w:lang w:val="en-US" w:eastAsia="zh-CN"/>
        </w:rPr>
        <w:t>4.住房保障支出（221）住房改革支出（22102）住房公积金（2210201）：</w:t>
      </w:r>
      <w:r>
        <w:rPr>
          <w:rStyle w:val="21"/>
          <w:rFonts w:hint="eastAsia" w:ascii="仿宋" w:hAnsi="仿宋" w:eastAsia="仿宋"/>
          <w:b w:val="0"/>
          <w:bCs/>
          <w:color w:val="000000"/>
          <w:sz w:val="32"/>
          <w:szCs w:val="32"/>
        </w:rPr>
        <w:t>支出决算</w:t>
      </w:r>
      <w:r>
        <w:rPr>
          <w:rStyle w:val="21"/>
          <w:rFonts w:hint="eastAsia" w:ascii="仿宋" w:hAnsi="仿宋" w:eastAsia="仿宋"/>
          <w:b w:val="0"/>
          <w:bCs/>
          <w:color w:val="000000"/>
          <w:sz w:val="32"/>
          <w:szCs w:val="32"/>
          <w:lang w:val="en-US" w:eastAsia="zh-CN"/>
        </w:rPr>
        <w:t>6.78</w:t>
      </w:r>
      <w:r>
        <w:rPr>
          <w:rStyle w:val="21"/>
          <w:rFonts w:hint="eastAsia" w:ascii="仿宋" w:hAnsi="仿宋" w:eastAsia="仿宋"/>
          <w:b w:val="0"/>
          <w:bCs/>
          <w:color w:val="000000"/>
          <w:sz w:val="32"/>
          <w:szCs w:val="32"/>
        </w:rPr>
        <w:t>万元，完成预算</w:t>
      </w:r>
      <w:r>
        <w:rPr>
          <w:rStyle w:val="21"/>
          <w:rFonts w:hint="eastAsia" w:ascii="仿宋" w:hAnsi="仿宋" w:eastAsia="仿宋"/>
          <w:b w:val="0"/>
          <w:bCs/>
          <w:color w:val="000000"/>
          <w:sz w:val="32"/>
          <w:szCs w:val="32"/>
          <w:lang w:val="en-US" w:eastAsia="zh-CN"/>
        </w:rPr>
        <w:t>100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，决算数</w:t>
      </w:r>
      <w:r>
        <w:rPr>
          <w:rStyle w:val="21"/>
          <w:rFonts w:hint="eastAsia" w:ascii="仿宋" w:hAnsi="仿宋" w:eastAsia="仿宋"/>
          <w:b w:val="0"/>
          <w:bCs/>
          <w:color w:val="000000"/>
          <w:sz w:val="32"/>
          <w:szCs w:val="32"/>
          <w:lang w:eastAsia="zh-CN"/>
        </w:rPr>
        <w:t>等于</w:t>
      </w:r>
      <w:r>
        <w:rPr>
          <w:rStyle w:val="21"/>
          <w:rFonts w:hint="eastAsia" w:ascii="仿宋" w:hAnsi="仿宋" w:eastAsia="仿宋"/>
          <w:b w:val="0"/>
          <w:bCs/>
          <w:color w:val="000000"/>
          <w:sz w:val="32"/>
          <w:szCs w:val="32"/>
        </w:rPr>
        <w:t>预算数的主要原因是</w:t>
      </w:r>
      <w:r>
        <w:rPr>
          <w:rStyle w:val="21"/>
          <w:rFonts w:hint="eastAsia" w:ascii="仿宋" w:hAnsi="仿宋" w:eastAsia="仿宋"/>
          <w:b w:val="0"/>
          <w:bCs/>
          <w:color w:val="000000"/>
          <w:sz w:val="32"/>
          <w:szCs w:val="32"/>
          <w:lang w:eastAsia="zh-CN"/>
        </w:rPr>
        <w:t>厉行节约</w:t>
      </w:r>
      <w:r>
        <w:rPr>
          <w:rStyle w:val="21"/>
          <w:rFonts w:hint="eastAsia" w:ascii="仿宋" w:hAnsi="仿宋" w:eastAsia="仿宋"/>
          <w:b w:val="0"/>
          <w:bCs/>
          <w:color w:val="000000"/>
          <w:sz w:val="32"/>
          <w:szCs w:val="32"/>
        </w:rPr>
        <w:t>。</w:t>
      </w:r>
    </w:p>
    <w:p>
      <w:pPr>
        <w:tabs>
          <w:tab w:val="right" w:pos="8306"/>
        </w:tabs>
        <w:spacing w:line="600" w:lineRule="exact"/>
        <w:ind w:firstLine="640"/>
        <w:outlineLvl w:val="1"/>
        <w:rPr>
          <w:rStyle w:val="24"/>
        </w:rPr>
      </w:pPr>
      <w:bookmarkStart w:id="65" w:name="_Toc15396608"/>
      <w:bookmarkStart w:id="66" w:name="_Toc79163618"/>
      <w:bookmarkStart w:id="67" w:name="_Toc15377214"/>
      <w:bookmarkStart w:id="68" w:name="_Toc16427"/>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4"/>
          <w:rFonts w:hint="eastAsia" w:ascii="黑体" w:hAnsi="黑体" w:eastAsia="黑体"/>
          <w:b w:val="0"/>
        </w:rPr>
        <w:t>般公共预算财政拨款基本支出决算情况说明</w:t>
      </w:r>
      <w:bookmarkEnd w:id="65"/>
      <w:bookmarkEnd w:id="66"/>
      <w:bookmarkEnd w:id="67"/>
      <w:bookmarkEnd w:id="68"/>
      <w:r>
        <w:rPr>
          <w:rStyle w:val="24"/>
          <w:rFonts w:ascii="黑体" w:hAnsi="黑体" w:eastAsia="黑体"/>
          <w:b w:val="0"/>
        </w:rPr>
        <w:tab/>
      </w:r>
    </w:p>
    <w:p>
      <w:pPr>
        <w:spacing w:line="600" w:lineRule="exact"/>
        <w:ind w:firstLine="645"/>
        <w:rPr>
          <w:rFonts w:ascii="仿宋" w:hAnsi="仿宋" w:eastAsia="仿宋"/>
          <w:color w:val="auto"/>
          <w:sz w:val="32"/>
          <w:szCs w:val="32"/>
        </w:rPr>
      </w:pPr>
      <w:r>
        <w:rPr>
          <w:rFonts w:hint="eastAsia" w:ascii="仿宋" w:hAnsi="仿宋" w:eastAsia="仿宋"/>
          <w:color w:val="auto"/>
          <w:sz w:val="32"/>
          <w:szCs w:val="32"/>
          <w:lang w:eastAsia="zh-CN"/>
        </w:rPr>
        <w:t>2025年</w:t>
      </w:r>
      <w:r>
        <w:rPr>
          <w:rFonts w:hint="eastAsia" w:ascii="仿宋" w:hAnsi="仿宋" w:eastAsia="仿宋"/>
          <w:color w:val="auto"/>
          <w:sz w:val="32"/>
          <w:szCs w:val="32"/>
        </w:rPr>
        <w:t>一般公共预算财政拨款基本支出</w:t>
      </w:r>
      <w:r>
        <w:rPr>
          <w:rFonts w:hint="eastAsia" w:ascii="仿宋" w:hAnsi="仿宋" w:eastAsia="仿宋"/>
          <w:color w:val="auto"/>
          <w:sz w:val="32"/>
          <w:szCs w:val="32"/>
          <w:lang w:val="en-US" w:eastAsia="zh-CN"/>
        </w:rPr>
        <w:t>127.15</w:t>
      </w:r>
      <w:r>
        <w:rPr>
          <w:rFonts w:hint="eastAsia" w:ascii="仿宋" w:hAnsi="仿宋" w:eastAsia="仿宋"/>
          <w:color w:val="auto"/>
          <w:sz w:val="32"/>
          <w:szCs w:val="32"/>
        </w:rPr>
        <w:t>万元，其中：</w:t>
      </w:r>
    </w:p>
    <w:p>
      <w:pPr>
        <w:spacing w:line="600" w:lineRule="exact"/>
        <w:ind w:firstLine="645"/>
        <w:rPr>
          <w:rFonts w:hint="eastAsia" w:ascii="仿宋" w:hAnsi="仿宋" w:eastAsia="仿宋"/>
          <w:color w:val="000000"/>
          <w:sz w:val="32"/>
          <w:szCs w:val="32"/>
        </w:rPr>
      </w:pPr>
      <w:r>
        <w:rPr>
          <w:rFonts w:hint="eastAsia" w:ascii="仿宋" w:hAnsi="仿宋" w:eastAsia="仿宋"/>
          <w:color w:val="000000"/>
          <w:sz w:val="32"/>
          <w:szCs w:val="32"/>
        </w:rPr>
        <w:t>人员经费</w:t>
      </w:r>
      <w:r>
        <w:rPr>
          <w:rFonts w:hint="eastAsia" w:ascii="仿宋" w:hAnsi="仿宋" w:eastAsia="仿宋"/>
          <w:color w:val="000000"/>
          <w:sz w:val="32"/>
          <w:szCs w:val="32"/>
          <w:lang w:val="en-US" w:eastAsia="zh-CN"/>
        </w:rPr>
        <w:t>111.91</w:t>
      </w:r>
      <w:r>
        <w:rPr>
          <w:rFonts w:hint="eastAsia" w:ascii="仿宋" w:hAnsi="仿宋" w:eastAsia="仿宋"/>
          <w:color w:val="000000"/>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pPr>
        <w:spacing w:line="600" w:lineRule="exact"/>
        <w:ind w:firstLine="645"/>
        <w:rPr>
          <w:rFonts w:ascii="仿宋" w:hAnsi="仿宋" w:eastAsia="仿宋"/>
          <w:b/>
          <w:color w:val="FF0000"/>
          <w:sz w:val="32"/>
          <w:szCs w:val="32"/>
        </w:rPr>
      </w:pPr>
      <w:r>
        <w:rPr>
          <w:rFonts w:hint="eastAsia" w:ascii="仿宋" w:hAnsi="仿宋" w:eastAsia="仿宋"/>
          <w:color w:val="000000"/>
          <w:sz w:val="32"/>
          <w:szCs w:val="32"/>
        </w:rPr>
        <w:t>日常公用经费</w:t>
      </w:r>
      <w:r>
        <w:rPr>
          <w:rFonts w:hint="eastAsia" w:ascii="仿宋" w:hAnsi="仿宋" w:eastAsia="仿宋"/>
          <w:color w:val="000000"/>
          <w:sz w:val="32"/>
          <w:szCs w:val="32"/>
          <w:lang w:val="en-US" w:eastAsia="zh-CN"/>
        </w:rPr>
        <w:t>15.24</w:t>
      </w:r>
      <w:r>
        <w:rPr>
          <w:rFonts w:hint="eastAsia" w:ascii="仿宋" w:hAnsi="仿宋" w:eastAsia="仿宋"/>
          <w:color w:val="000000"/>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24"/>
          <w:rFonts w:ascii="黑体" w:hAnsi="黑体" w:eastAsia="黑体"/>
          <w:b w:val="0"/>
        </w:rPr>
      </w:pPr>
      <w:bookmarkStart w:id="69" w:name="_Toc15377215"/>
      <w:bookmarkStart w:id="70" w:name="_Toc15396609"/>
      <w:bookmarkStart w:id="71" w:name="_Toc79163619"/>
      <w:bookmarkStart w:id="72" w:name="_Toc30470"/>
      <w:r>
        <w:rPr>
          <w:rFonts w:hint="eastAsia" w:ascii="黑体" w:eastAsia="黑体"/>
          <w:color w:val="000000"/>
          <w:sz w:val="32"/>
          <w:szCs w:val="32"/>
        </w:rPr>
        <w:t>七、</w:t>
      </w:r>
      <w:r>
        <w:rPr>
          <w:rStyle w:val="24"/>
          <w:rFonts w:hint="eastAsia" w:ascii="黑体" w:hAnsi="黑体" w:eastAsia="黑体"/>
        </w:rPr>
        <w:t>“</w:t>
      </w:r>
      <w:r>
        <w:rPr>
          <w:rStyle w:val="24"/>
          <w:rFonts w:hint="eastAsia" w:ascii="黑体" w:hAnsi="黑体" w:eastAsia="黑体"/>
          <w:b w:val="0"/>
        </w:rPr>
        <w:t>三公”经费财政拨款支出决算情况说明</w:t>
      </w:r>
      <w:bookmarkEnd w:id="69"/>
      <w:bookmarkEnd w:id="70"/>
      <w:bookmarkEnd w:id="71"/>
      <w:bookmarkEnd w:id="72"/>
    </w:p>
    <w:p>
      <w:pPr>
        <w:spacing w:line="600" w:lineRule="exact"/>
        <w:ind w:firstLine="640"/>
        <w:outlineLvl w:val="2"/>
        <w:rPr>
          <w:rFonts w:ascii="仿宋" w:hAnsi="仿宋" w:eastAsia="仿宋"/>
          <w:b/>
          <w:color w:val="000000"/>
          <w:sz w:val="32"/>
          <w:szCs w:val="32"/>
        </w:rPr>
      </w:pPr>
      <w:bookmarkStart w:id="73" w:name="_Toc79163620"/>
      <w:bookmarkStart w:id="74" w:name="_Toc15377216"/>
      <w:bookmarkStart w:id="75" w:name="_Toc3693"/>
      <w:r>
        <w:rPr>
          <w:rFonts w:hint="eastAsia" w:ascii="仿宋" w:hAnsi="仿宋" w:eastAsia="仿宋"/>
          <w:b/>
          <w:color w:val="000000"/>
          <w:sz w:val="32"/>
          <w:szCs w:val="32"/>
        </w:rPr>
        <w:t>（一）“三公”经费财政拨款支出决算总体情况说明</w:t>
      </w:r>
      <w:bookmarkEnd w:id="73"/>
      <w:bookmarkEnd w:id="74"/>
      <w:bookmarkEnd w:id="75"/>
    </w:p>
    <w:p>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“三公”经费财政拨款支出决算为</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万元，完成预算</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，决算数与预算数持平的主要原因是</w:t>
      </w:r>
      <w:r>
        <w:rPr>
          <w:rFonts w:hint="eastAsia" w:ascii="仿宋" w:hAnsi="仿宋" w:eastAsia="仿宋"/>
          <w:color w:val="000000"/>
          <w:sz w:val="32"/>
          <w:szCs w:val="32"/>
          <w:lang w:eastAsia="zh-CN"/>
        </w:rPr>
        <w:t>完成年初预算指标</w:t>
      </w:r>
      <w:r>
        <w:rPr>
          <w:rFonts w:hint="eastAsia" w:ascii="仿宋" w:hAnsi="仿宋" w:eastAsia="仿宋"/>
          <w:color w:val="000000"/>
          <w:sz w:val="32"/>
          <w:szCs w:val="32"/>
        </w:rPr>
        <w:t>。</w:t>
      </w:r>
    </w:p>
    <w:p>
      <w:pPr>
        <w:spacing w:line="600" w:lineRule="exact"/>
        <w:ind w:firstLine="640"/>
        <w:outlineLvl w:val="2"/>
        <w:rPr>
          <w:rFonts w:ascii="仿宋" w:hAnsi="仿宋" w:eastAsia="仿宋"/>
          <w:b/>
          <w:color w:val="000000"/>
          <w:sz w:val="32"/>
          <w:szCs w:val="32"/>
        </w:rPr>
      </w:pPr>
      <w:bookmarkStart w:id="76" w:name="_Toc15377217"/>
      <w:bookmarkStart w:id="77" w:name="_Toc79163621"/>
      <w:bookmarkStart w:id="78" w:name="_Toc21061"/>
      <w:r>
        <w:rPr>
          <w:rFonts w:hint="eastAsia" w:ascii="仿宋" w:hAnsi="仿宋" w:eastAsia="仿宋"/>
          <w:b/>
          <w:color w:val="000000"/>
          <w:sz w:val="32"/>
          <w:szCs w:val="32"/>
        </w:rPr>
        <w:t>（二）“三公”经费财政拨款支出决算具体情况说明</w:t>
      </w:r>
      <w:bookmarkEnd w:id="76"/>
      <w:bookmarkEnd w:id="77"/>
      <w:bookmarkEnd w:id="78"/>
    </w:p>
    <w:p>
      <w:pPr>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lang w:eastAsia="zh-CN"/>
        </w:rPr>
        <w:t>2025年</w:t>
      </w:r>
      <w:r>
        <w:rPr>
          <w:rFonts w:hint="eastAsia" w:ascii="仿宋" w:hAnsi="仿宋" w:eastAsia="仿宋"/>
          <w:color w:val="000000"/>
          <w:sz w:val="32"/>
          <w:szCs w:val="32"/>
        </w:rPr>
        <w:t>“三公”经费财政拨款支出决算中，因公出国（境）费支出决算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；公务接待费支出决算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。具体情况如下：</w:t>
      </w:r>
    </w:p>
    <w:p>
      <w:pPr>
        <w:spacing w:line="600" w:lineRule="exact"/>
        <w:ind w:firstLine="640"/>
        <w:rPr>
          <w:rFonts w:ascii="仿宋_GB2312" w:eastAsia="仿宋_GB2312"/>
          <w:color w:val="000000"/>
          <w:sz w:val="32"/>
          <w:szCs w:val="32"/>
        </w:rPr>
      </w:pPr>
      <w:r>
        <w:rPr>
          <w:rFonts w:ascii="仿宋_GB2312" w:eastAsia="仿宋_GB2312"/>
          <w:b/>
          <w:color w:val="000000"/>
          <w:sz w:val="32"/>
          <w:szCs w:val="32"/>
        </w:rPr>
        <w:t>1.</w:t>
      </w:r>
      <w:r>
        <w:rPr>
          <w:rFonts w:hint="eastAsia" w:ascii="仿宋_GB2312" w:eastAsia="仿宋_GB2312"/>
          <w:b/>
          <w:color w:val="000000"/>
          <w:sz w:val="32"/>
          <w:szCs w:val="32"/>
        </w:rPr>
        <w:t>因公出国（境）经费支出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Style w:val="21"/>
          <w:rFonts w:hint="eastAsia" w:ascii="仿宋" w:hAnsi="仿宋" w:eastAsia="仿宋"/>
          <w:b w:val="0"/>
          <w:bCs/>
          <w:color w:val="000000"/>
          <w:sz w:val="32"/>
          <w:szCs w:val="32"/>
        </w:rPr>
        <w:t>完成预算</w:t>
      </w:r>
      <w:r>
        <w:rPr>
          <w:rStyle w:val="21"/>
          <w:rFonts w:hint="eastAsia" w:ascii="仿宋" w:hAnsi="仿宋" w:eastAsia="仿宋"/>
          <w:b w:val="0"/>
          <w:bCs/>
          <w:color w:val="000000"/>
          <w:sz w:val="32"/>
          <w:szCs w:val="32"/>
          <w:lang w:val="en-US" w:eastAsia="zh-CN"/>
        </w:rPr>
        <w:t>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w:t>
      </w:r>
      <w:r>
        <w:rPr>
          <w:rFonts w:hint="eastAsia" w:ascii="仿宋_GB2312" w:eastAsia="仿宋_GB2312"/>
          <w:color w:val="000000"/>
          <w:sz w:val="32"/>
          <w:szCs w:val="32"/>
        </w:rPr>
        <w:t>全年安排因公出国（境）团组</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次，出国（境）</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人。因公出国（境）支出决算比</w:t>
      </w:r>
      <w:r>
        <w:rPr>
          <w:rFonts w:hint="eastAsia" w:ascii="仿宋_GB2312" w:eastAsia="仿宋_GB2312"/>
          <w:color w:val="000000"/>
          <w:sz w:val="32"/>
          <w:szCs w:val="32"/>
          <w:lang w:val="en-US" w:eastAsia="zh-CN"/>
        </w:rPr>
        <w:t>2024年</w:t>
      </w:r>
      <w:r>
        <w:rPr>
          <w:rFonts w:hint="eastAsia" w:ascii="仿宋_GB2312" w:eastAsia="仿宋_GB2312"/>
          <w:color w:val="000000"/>
          <w:sz w:val="32"/>
          <w:szCs w:val="32"/>
        </w:rPr>
        <w:t>增加</w:t>
      </w:r>
      <w:r>
        <w:rPr>
          <w:rFonts w:ascii="仿宋_GB2312" w:eastAsia="仿宋_GB2312"/>
          <w:color w:val="000000"/>
          <w:sz w:val="32"/>
          <w:szCs w:val="32"/>
        </w:rPr>
        <w:t>/</w:t>
      </w:r>
      <w:r>
        <w:rPr>
          <w:rFonts w:hint="eastAsia" w:ascii="仿宋_GB2312" w:eastAsia="仿宋_GB2312"/>
          <w:color w:val="000000"/>
          <w:sz w:val="32"/>
          <w:szCs w:val="32"/>
        </w:rPr>
        <w:t>减少</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万元，增长</w:t>
      </w:r>
      <w:r>
        <w:rPr>
          <w:rFonts w:ascii="仿宋_GB2312" w:eastAsia="仿宋_GB2312"/>
          <w:color w:val="000000"/>
          <w:sz w:val="32"/>
          <w:szCs w:val="32"/>
        </w:rPr>
        <w:t>/</w:t>
      </w:r>
      <w:r>
        <w:rPr>
          <w:rFonts w:hint="eastAsia" w:ascii="仿宋_GB2312" w:eastAsia="仿宋_GB2312"/>
          <w:color w:val="000000"/>
          <w:sz w:val="32"/>
          <w:szCs w:val="32"/>
        </w:rPr>
        <w:t>下降</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w:t>
      </w:r>
    </w:p>
    <w:p>
      <w:pPr>
        <w:spacing w:line="600" w:lineRule="exact"/>
        <w:ind w:firstLine="640"/>
        <w:rPr>
          <w:rFonts w:ascii="仿宋_GB2312" w:eastAsia="仿宋_GB2312"/>
          <w:b/>
          <w:color w:val="000000"/>
          <w:sz w:val="32"/>
          <w:szCs w:val="32"/>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Fonts w:ascii="仿宋_GB2312" w:eastAsia="仿宋_GB2312"/>
          <w:color w:val="000000"/>
          <w:sz w:val="32"/>
          <w:szCs w:val="32"/>
        </w:rPr>
        <w:t>,</w:t>
      </w:r>
      <w:r>
        <w:rPr>
          <w:rStyle w:val="21"/>
          <w:rFonts w:hint="eastAsia" w:ascii="仿宋" w:hAnsi="仿宋" w:eastAsia="仿宋"/>
          <w:b w:val="0"/>
          <w:bCs/>
          <w:color w:val="000000"/>
          <w:sz w:val="32"/>
          <w:szCs w:val="32"/>
        </w:rPr>
        <w:t>完成预算</w:t>
      </w:r>
      <w:r>
        <w:rPr>
          <w:rStyle w:val="21"/>
          <w:rFonts w:hint="eastAsia" w:ascii="仿宋" w:hAnsi="仿宋" w:eastAsia="仿宋"/>
          <w:b w:val="0"/>
          <w:bCs/>
          <w:color w:val="000000"/>
          <w:sz w:val="32"/>
          <w:szCs w:val="32"/>
          <w:lang w:val="en-US" w:eastAsia="zh-CN"/>
        </w:rPr>
        <w:t>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w:t>
      </w:r>
      <w:r>
        <w:rPr>
          <w:rFonts w:hint="eastAsia" w:ascii="仿宋_GB2312" w:eastAsia="仿宋_GB2312"/>
          <w:color w:val="000000"/>
          <w:sz w:val="32"/>
          <w:szCs w:val="32"/>
        </w:rPr>
        <w:t>公务用车购置及运行维护费支出决算比</w:t>
      </w:r>
      <w:r>
        <w:rPr>
          <w:rFonts w:hint="eastAsia" w:ascii="仿宋_GB2312" w:eastAsia="仿宋_GB2312"/>
          <w:color w:val="000000"/>
          <w:sz w:val="32"/>
          <w:szCs w:val="32"/>
          <w:lang w:val="en-US" w:eastAsia="zh-CN"/>
        </w:rPr>
        <w:t>2024年减少0</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减少</w:t>
      </w:r>
      <w:r>
        <w:rPr>
          <w:rFonts w:hint="eastAsia" w:ascii="仿宋_GB2312" w:eastAsia="仿宋_GB2312"/>
          <w:color w:val="000000"/>
          <w:sz w:val="32"/>
          <w:szCs w:val="32"/>
          <w:lang w:val="en-US" w:eastAsia="zh-CN"/>
        </w:rPr>
        <w:t>100</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_GB2312" w:eastAsia="仿宋_GB2312"/>
          <w:color w:val="000000"/>
          <w:sz w:val="32"/>
          <w:szCs w:val="32"/>
          <w:lang w:eastAsia="zh-CN"/>
        </w:rPr>
        <w:t>厉行节约</w:t>
      </w:r>
      <w:r>
        <w:rPr>
          <w:rFonts w:hint="eastAsia" w:ascii="仿宋_GB2312" w:eastAsia="仿宋_GB2312"/>
          <w:color w:val="000000"/>
          <w:sz w:val="32"/>
          <w:szCs w:val="32"/>
        </w:rPr>
        <w:t>。</w:t>
      </w:r>
    </w:p>
    <w:p>
      <w:pPr>
        <w:spacing w:line="600" w:lineRule="exact"/>
        <w:ind w:firstLine="640" w:firstLineChars="200"/>
        <w:rPr>
          <w:rFonts w:ascii="仿宋_GB2312" w:eastAsia="仿宋_GB2312"/>
          <w:b/>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万元。全年按规定更新购置公务用车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辆，其中：轿车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万元，越野车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万元，载客汽车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万元，主要用于…。截至</w:t>
      </w:r>
      <w:r>
        <w:rPr>
          <w:rFonts w:hint="eastAsia" w:ascii="仿宋_GB2312" w:eastAsia="仿宋_GB2312"/>
          <w:color w:val="000000"/>
          <w:sz w:val="32"/>
          <w:szCs w:val="32"/>
          <w:lang w:eastAsia="zh-CN"/>
        </w:rPr>
        <w:t>2025年</w:t>
      </w:r>
      <w:r>
        <w:rPr>
          <w:rFonts w:ascii="仿宋_GB2312" w:eastAsia="仿宋_GB2312"/>
          <w:color w:val="000000"/>
          <w:sz w:val="32"/>
          <w:szCs w:val="32"/>
        </w:rPr>
        <w:t>12</w:t>
      </w:r>
      <w:r>
        <w:rPr>
          <w:rFonts w:hint="eastAsia" w:ascii="仿宋_GB2312" w:eastAsia="仿宋_GB2312"/>
          <w:color w:val="000000"/>
          <w:sz w:val="32"/>
          <w:szCs w:val="32"/>
        </w:rPr>
        <w:t>月底，单位共有公务用车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辆，其中：轿车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辆、越野车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辆、载客汽车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w:t>
      </w:r>
    </w:p>
    <w:p>
      <w:pPr>
        <w:spacing w:line="600" w:lineRule="exact"/>
        <w:ind w:firstLine="640"/>
        <w:rPr>
          <w:rFonts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_GB2312" w:eastAsia="仿宋_GB2312"/>
          <w:b/>
          <w:color w:val="000000"/>
          <w:sz w:val="32"/>
          <w:szCs w:val="32"/>
          <w:lang w:val="en-US" w:eastAsia="zh-CN"/>
        </w:rPr>
        <w:t>0</w:t>
      </w:r>
      <w:r>
        <w:rPr>
          <w:rFonts w:hint="eastAsia" w:ascii="仿宋_GB2312" w:eastAsia="仿宋_GB2312"/>
          <w:color w:val="000000"/>
          <w:sz w:val="32"/>
          <w:szCs w:val="32"/>
        </w:rPr>
        <w:t>万元。主要用于</w:t>
      </w:r>
      <w:r>
        <w:rPr>
          <w:rFonts w:hint="eastAsia" w:ascii="仿宋_GB2312" w:eastAsia="仿宋_GB2312"/>
          <w:b/>
          <w:bCs/>
          <w:color w:val="000000"/>
          <w:sz w:val="32"/>
          <w:szCs w:val="32"/>
          <w:lang w:eastAsia="zh-CN"/>
        </w:rPr>
        <w:t>一是</w:t>
      </w:r>
      <w:r>
        <w:rPr>
          <w:rFonts w:hint="eastAsia" w:ascii="仿宋_GB2312" w:hAnsi="宋体" w:eastAsia="仿宋_GB2312" w:cs="宋体"/>
          <w:color w:val="333333"/>
          <w:kern w:val="0"/>
          <w:sz w:val="32"/>
          <w:szCs w:val="32"/>
          <w:lang w:val="en-US" w:eastAsia="zh-CN"/>
        </w:rPr>
        <w:t>工作任务重，工作量日益加大。森林草原防灭火等工作任务重，出差、下乡用车需求量加大，</w:t>
      </w:r>
      <w:r>
        <w:rPr>
          <w:rFonts w:hint="eastAsia" w:ascii="仿宋_GB2312" w:hAnsi="宋体" w:eastAsia="仿宋_GB2312" w:cs="宋体"/>
          <w:color w:val="333333"/>
          <w:kern w:val="0"/>
          <w:sz w:val="32"/>
          <w:szCs w:val="32"/>
          <w:lang w:eastAsia="zh-CN"/>
        </w:rPr>
        <w:t>车辆使用频率高致使运行成本升高。</w:t>
      </w:r>
      <w:r>
        <w:rPr>
          <w:rFonts w:hint="eastAsia" w:ascii="仿宋_GB2312" w:hAnsi="宋体" w:eastAsia="仿宋_GB2312" w:cs="宋体"/>
          <w:b/>
          <w:bCs/>
          <w:color w:val="333333"/>
          <w:kern w:val="0"/>
          <w:sz w:val="32"/>
          <w:szCs w:val="32"/>
          <w:lang w:eastAsia="zh-CN"/>
        </w:rPr>
        <w:t>二是</w:t>
      </w:r>
      <w:r>
        <w:rPr>
          <w:rFonts w:hint="eastAsia" w:ascii="仿宋_GB2312" w:hAnsi="宋体" w:eastAsia="仿宋_GB2312" w:cs="宋体"/>
          <w:color w:val="333333"/>
          <w:kern w:val="0"/>
          <w:sz w:val="32"/>
          <w:szCs w:val="32"/>
          <w:lang w:eastAsia="zh-CN"/>
        </w:rPr>
        <w:t>道路状况差导致车辆磨损严重</w:t>
      </w:r>
      <w:r>
        <w:rPr>
          <w:rFonts w:hint="eastAsia" w:ascii="仿宋_GB2312" w:hAnsi="宋体" w:eastAsia="仿宋_GB2312" w:cs="宋体"/>
          <w:color w:val="333333"/>
          <w:kern w:val="0"/>
          <w:sz w:val="32"/>
          <w:szCs w:val="32"/>
          <w:lang w:val="en-US" w:eastAsia="zh-CN"/>
        </w:rPr>
        <w:t>，</w:t>
      </w:r>
      <w:r>
        <w:rPr>
          <w:rFonts w:hint="eastAsia" w:ascii="仿宋_GB2312" w:hAnsi="宋体" w:eastAsia="仿宋_GB2312" w:cs="宋体"/>
          <w:color w:val="333333"/>
          <w:kern w:val="0"/>
          <w:sz w:val="32"/>
          <w:szCs w:val="32"/>
          <w:lang w:eastAsia="zh-CN"/>
        </w:rPr>
        <w:t>维修保养及油耗等费用增加，</w:t>
      </w:r>
      <w:r>
        <w:rPr>
          <w:rFonts w:hint="eastAsia" w:ascii="仿宋_GB2312" w:eastAsia="仿宋_GB2312"/>
          <w:color w:val="000000"/>
          <w:sz w:val="32"/>
          <w:szCs w:val="32"/>
        </w:rPr>
        <w:t>公务用车燃料费、维修费、过路过桥费、保险费等支出。</w:t>
      </w:r>
    </w:p>
    <w:p>
      <w:pPr>
        <w:spacing w:line="600" w:lineRule="exact"/>
        <w:ind w:firstLine="640"/>
        <w:rPr>
          <w:rFonts w:ascii="仿宋_GB2312" w:eastAsia="仿宋_GB2312"/>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Style w:val="21"/>
          <w:rFonts w:hint="eastAsia" w:ascii="仿宋" w:hAnsi="仿宋" w:eastAsia="仿宋"/>
          <w:b w:val="0"/>
          <w:bCs/>
          <w:color w:val="000000"/>
          <w:sz w:val="32"/>
          <w:szCs w:val="32"/>
        </w:rPr>
        <w:t>完成预算</w:t>
      </w:r>
      <w:r>
        <w:rPr>
          <w:rStyle w:val="21"/>
          <w:rFonts w:hint="eastAsia" w:ascii="仿宋" w:hAnsi="仿宋" w:eastAsia="仿宋"/>
          <w:b w:val="0"/>
          <w:bCs/>
          <w:color w:val="000000"/>
          <w:sz w:val="32"/>
          <w:szCs w:val="32"/>
          <w:lang w:val="en-US" w:eastAsia="zh-CN"/>
        </w:rPr>
        <w:t>0</w:t>
      </w:r>
      <w:r>
        <w:rPr>
          <w:rStyle w:val="21"/>
          <w:rFonts w:ascii="仿宋" w:hAnsi="仿宋" w:eastAsia="仿宋"/>
          <w:b w:val="0"/>
          <w:bCs/>
          <w:color w:val="000000"/>
          <w:sz w:val="32"/>
          <w:szCs w:val="32"/>
        </w:rPr>
        <w:t>%</w:t>
      </w:r>
      <w:r>
        <w:rPr>
          <w:rStyle w:val="21"/>
          <w:rFonts w:hint="eastAsia" w:ascii="仿宋" w:hAnsi="仿宋" w:eastAsia="仿宋"/>
          <w:b w:val="0"/>
          <w:bCs/>
          <w:color w:val="000000"/>
          <w:sz w:val="32"/>
          <w:szCs w:val="32"/>
        </w:rPr>
        <w:t>。</w:t>
      </w:r>
      <w:r>
        <w:rPr>
          <w:rFonts w:hint="eastAsia" w:ascii="仿宋_GB2312" w:eastAsia="仿宋_GB2312"/>
          <w:color w:val="000000"/>
          <w:sz w:val="32"/>
          <w:szCs w:val="32"/>
        </w:rPr>
        <w:t>公务接待费支出决算比</w:t>
      </w:r>
      <w:r>
        <w:rPr>
          <w:rFonts w:hint="eastAsia" w:ascii="仿宋_GB2312" w:eastAsia="仿宋_GB2312"/>
          <w:color w:val="000000"/>
          <w:sz w:val="32"/>
          <w:szCs w:val="32"/>
          <w:lang w:val="en-US" w:eastAsia="zh-CN"/>
        </w:rPr>
        <w:t>2024年</w:t>
      </w:r>
      <w:r>
        <w:rPr>
          <w:rFonts w:hint="eastAsia" w:ascii="仿宋_GB2312" w:eastAsia="仿宋_GB2312"/>
          <w:color w:val="000000"/>
          <w:sz w:val="32"/>
          <w:szCs w:val="32"/>
        </w:rPr>
        <w:t>增加</w:t>
      </w:r>
      <w:r>
        <w:rPr>
          <w:rFonts w:ascii="仿宋_GB2312" w:eastAsia="仿宋_GB2312"/>
          <w:color w:val="000000"/>
          <w:sz w:val="32"/>
          <w:szCs w:val="32"/>
        </w:rPr>
        <w:t>/</w:t>
      </w:r>
      <w:r>
        <w:rPr>
          <w:rFonts w:hint="eastAsia" w:ascii="仿宋_GB2312" w:eastAsia="仿宋_GB2312"/>
          <w:color w:val="000000"/>
          <w:sz w:val="32"/>
          <w:szCs w:val="32"/>
        </w:rPr>
        <w:t>减少</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万元，增长</w:t>
      </w:r>
      <w:r>
        <w:rPr>
          <w:rFonts w:ascii="仿宋_GB2312" w:eastAsia="仿宋_GB2312"/>
          <w:color w:val="000000"/>
          <w:sz w:val="32"/>
          <w:szCs w:val="32"/>
        </w:rPr>
        <w:t>/</w:t>
      </w:r>
      <w:r>
        <w:rPr>
          <w:rFonts w:hint="eastAsia" w:ascii="仿宋_GB2312" w:eastAsia="仿宋_GB2312"/>
          <w:color w:val="000000"/>
          <w:sz w:val="32"/>
          <w:szCs w:val="32"/>
        </w:rPr>
        <w:t>下降</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。主要原因是……。其中：</w:t>
      </w:r>
    </w:p>
    <w:p>
      <w:pPr>
        <w:spacing w:line="600" w:lineRule="exact"/>
        <w:ind w:firstLine="640"/>
        <w:rPr>
          <w:rFonts w:ascii="仿宋_GB2312" w:eastAsia="仿宋_GB2312"/>
          <w:color w:val="000000"/>
          <w:sz w:val="32"/>
          <w:szCs w:val="32"/>
        </w:rPr>
      </w:pPr>
      <w:r>
        <w:rPr>
          <w:rFonts w:hint="eastAsia" w:ascii="仿宋" w:hAnsi="仿宋" w:eastAsia="仿宋"/>
          <w:b/>
          <w:color w:val="000000"/>
          <w:sz w:val="32"/>
          <w:szCs w:val="32"/>
        </w:rPr>
        <w:t>国内公务接待支出</w:t>
      </w:r>
      <w:r>
        <w:rPr>
          <w:rFonts w:hint="eastAsia" w:ascii="仿宋" w:hAnsi="仿宋" w:eastAsia="仿宋"/>
          <w:color w:val="000000"/>
          <w:sz w:val="32"/>
          <w:szCs w:val="32"/>
          <w:lang w:val="en-US" w:eastAsia="zh-CN"/>
        </w:rPr>
        <w:t>0</w:t>
      </w:r>
      <w:r>
        <w:rPr>
          <w:rFonts w:hint="eastAsia" w:ascii="仿宋_GB2312" w:eastAsia="仿宋_GB2312"/>
          <w:color w:val="000000"/>
          <w:sz w:val="32"/>
          <w:szCs w:val="32"/>
        </w:rPr>
        <w:t>万元，主要用于……</w:t>
      </w:r>
      <w:r>
        <w:rPr>
          <w:rFonts w:ascii="仿宋_GB2312" w:eastAsia="仿宋_GB2312"/>
          <w:color w:val="000000"/>
          <w:sz w:val="32"/>
          <w:szCs w:val="32"/>
        </w:rPr>
        <w:t>(</w:t>
      </w:r>
      <w:r>
        <w:rPr>
          <w:rFonts w:hint="eastAsia" w:ascii="仿宋_GB2312" w:eastAsia="仿宋_GB2312"/>
          <w:color w:val="000000"/>
          <w:sz w:val="32"/>
          <w:szCs w:val="32"/>
        </w:rPr>
        <w:t>执行公务、开展业务活动开支的交通费、住宿费、用餐费等</w:t>
      </w:r>
      <w:r>
        <w:rPr>
          <w:rFonts w:ascii="仿宋_GB2312" w:eastAsia="仿宋_GB2312"/>
          <w:color w:val="000000"/>
          <w:sz w:val="32"/>
          <w:szCs w:val="32"/>
        </w:rPr>
        <w:t>)</w:t>
      </w:r>
      <w:r>
        <w:rPr>
          <w:rFonts w:hint="eastAsia" w:ascii="仿宋_GB2312" w:eastAsia="仿宋_GB2312"/>
          <w:color w:val="000000"/>
          <w:sz w:val="32"/>
          <w:szCs w:val="32"/>
        </w:rPr>
        <w:t>。国内公务接待</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批次，</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人次（不包括陪同人员），共计支出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万元，具体内容包括：…（接待具体项目、金额）。</w:t>
      </w:r>
    </w:p>
    <w:p>
      <w:pPr>
        <w:spacing w:line="600" w:lineRule="exact"/>
        <w:ind w:firstLine="643" w:firstLineChars="200"/>
        <w:rPr>
          <w:rFonts w:ascii="仿宋_GB2312" w:eastAsia="仿宋_GB2312"/>
          <w:color w:val="000000"/>
          <w:sz w:val="32"/>
          <w:szCs w:val="32"/>
        </w:rPr>
      </w:pPr>
      <w:r>
        <w:rPr>
          <w:rFonts w:hint="eastAsia" w:ascii="仿宋" w:hAnsi="仿宋" w:eastAsia="仿宋"/>
          <w:b/>
          <w:color w:val="000000"/>
          <w:sz w:val="32"/>
          <w:szCs w:val="32"/>
        </w:rPr>
        <w:t>外事接待支出</w:t>
      </w:r>
      <w:r>
        <w:rPr>
          <w:rFonts w:hint="eastAsia" w:ascii="仿宋" w:hAnsi="仿宋" w:eastAsia="仿宋"/>
          <w:color w:val="000000"/>
          <w:sz w:val="32"/>
          <w:szCs w:val="32"/>
          <w:lang w:val="en-US" w:eastAsia="zh-CN"/>
        </w:rPr>
        <w:t>0</w:t>
      </w:r>
      <w:r>
        <w:rPr>
          <w:rFonts w:hint="eastAsia" w:ascii="仿宋_GB2312" w:eastAsia="仿宋_GB2312"/>
          <w:color w:val="000000"/>
          <w:sz w:val="32"/>
          <w:szCs w:val="32"/>
        </w:rPr>
        <w:t>万元，外事接待</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批次，</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人，共计支出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万元，主要用于接待</w:t>
      </w:r>
      <w:r>
        <w:rPr>
          <w:rFonts w:ascii="仿宋_GB2312" w:eastAsia="仿宋_GB2312"/>
          <w:color w:val="000000"/>
          <w:sz w:val="32"/>
          <w:szCs w:val="32"/>
        </w:rPr>
        <w:t>…</w:t>
      </w:r>
      <w:r>
        <w:rPr>
          <w:rFonts w:hint="eastAsia" w:ascii="仿宋_GB2312" w:eastAsia="仿宋_GB2312"/>
          <w:color w:val="000000"/>
          <w:sz w:val="32"/>
          <w:szCs w:val="32"/>
        </w:rPr>
        <w:t>（具体项目）。主要用于……</w:t>
      </w:r>
    </w:p>
    <w:p>
      <w:pPr>
        <w:spacing w:line="600" w:lineRule="exact"/>
        <w:ind w:firstLine="640" w:firstLineChars="200"/>
        <w:rPr>
          <w:rFonts w:ascii="仿宋_GB2312" w:eastAsia="仿宋_GB2312"/>
          <w:color w:val="000000"/>
          <w:sz w:val="32"/>
          <w:szCs w:val="32"/>
        </w:rPr>
      </w:pPr>
    </w:p>
    <w:p>
      <w:pPr>
        <w:spacing w:line="600" w:lineRule="exact"/>
        <w:ind w:firstLine="640"/>
        <w:outlineLvl w:val="1"/>
        <w:rPr>
          <w:rStyle w:val="24"/>
          <w:rFonts w:ascii="黑体" w:hAnsi="黑体" w:eastAsia="黑体"/>
        </w:rPr>
      </w:pPr>
      <w:bookmarkStart w:id="79" w:name="_Toc15377218"/>
      <w:bookmarkStart w:id="80" w:name="_Toc79163622"/>
      <w:bookmarkStart w:id="81" w:name="_Toc15396610"/>
      <w:bookmarkStart w:id="82" w:name="_Toc28361"/>
      <w:r>
        <w:rPr>
          <w:rFonts w:hint="eastAsia" w:ascii="黑体" w:eastAsia="黑体"/>
          <w:color w:val="000000"/>
          <w:sz w:val="32"/>
          <w:szCs w:val="32"/>
        </w:rPr>
        <w:t>八、</w:t>
      </w:r>
      <w:r>
        <w:rPr>
          <w:rStyle w:val="24"/>
          <w:rFonts w:hint="eastAsia" w:ascii="黑体" w:hAnsi="黑体" w:eastAsia="黑体"/>
          <w:b w:val="0"/>
        </w:rPr>
        <w:t>政府性基金预算支出决算情况说明</w:t>
      </w:r>
      <w:bookmarkEnd w:id="79"/>
      <w:bookmarkEnd w:id="80"/>
      <w:bookmarkEnd w:id="81"/>
      <w:bookmarkEnd w:id="82"/>
    </w:p>
    <w:p>
      <w:pPr>
        <w:spacing w:line="600" w:lineRule="exact"/>
        <w:ind w:firstLine="640"/>
        <w:rPr>
          <w:rFonts w:ascii="仿宋_GB2312" w:eastAsia="仿宋_GB2312"/>
          <w:color w:val="000000"/>
          <w:sz w:val="32"/>
          <w:szCs w:val="32"/>
        </w:rPr>
      </w:pPr>
      <w:r>
        <w:rPr>
          <w:rFonts w:hint="eastAsia" w:ascii="仿宋_GB2312" w:eastAsia="仿宋_GB2312"/>
          <w:color w:val="000000"/>
          <w:sz w:val="32"/>
          <w:szCs w:val="32"/>
          <w:lang w:eastAsia="zh-CN"/>
        </w:rPr>
        <w:t>2025年</w:t>
      </w:r>
      <w:r>
        <w:rPr>
          <w:rFonts w:hint="eastAsia" w:ascii="仿宋_GB2312" w:eastAsia="仿宋_GB2312"/>
          <w:color w:val="000000"/>
          <w:sz w:val="32"/>
          <w:szCs w:val="32"/>
        </w:rPr>
        <w:t>政府性基金预算拨款支出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spacing w:line="600" w:lineRule="exact"/>
        <w:ind w:firstLine="640"/>
        <w:rPr>
          <w:rFonts w:ascii="仿宋_GB2312" w:eastAsia="仿宋_GB2312"/>
          <w:color w:val="000000"/>
          <w:sz w:val="32"/>
          <w:szCs w:val="32"/>
        </w:rPr>
      </w:pPr>
    </w:p>
    <w:p>
      <w:pPr>
        <w:numPr>
          <w:ilvl w:val="0"/>
          <w:numId w:val="2"/>
        </w:numPr>
        <w:spacing w:line="600" w:lineRule="exact"/>
        <w:ind w:firstLine="640"/>
        <w:outlineLvl w:val="1"/>
        <w:rPr>
          <w:rStyle w:val="24"/>
          <w:rFonts w:ascii="黑体" w:hAnsi="黑体" w:eastAsia="黑体"/>
          <w:b w:val="0"/>
        </w:rPr>
      </w:pPr>
      <w:bookmarkStart w:id="83" w:name="_Toc15396611"/>
      <w:bookmarkStart w:id="84" w:name="_Toc79163623"/>
      <w:bookmarkStart w:id="85" w:name="_Toc15377219"/>
      <w:bookmarkStart w:id="86" w:name="_Toc3718"/>
      <w:r>
        <w:rPr>
          <w:rStyle w:val="24"/>
          <w:rFonts w:hint="eastAsia" w:ascii="黑体" w:hAnsi="黑体" w:eastAsia="黑体"/>
          <w:b w:val="0"/>
        </w:rPr>
        <w:t>国有资本经营预算支出决算情况说明</w:t>
      </w:r>
      <w:bookmarkEnd w:id="83"/>
      <w:bookmarkEnd w:id="84"/>
      <w:bookmarkEnd w:id="85"/>
      <w:bookmarkEnd w:id="86"/>
    </w:p>
    <w:p>
      <w:pPr>
        <w:spacing w:line="600" w:lineRule="exact"/>
        <w:ind w:firstLine="640"/>
        <w:rPr>
          <w:rFonts w:ascii="仿宋_GB2312" w:eastAsia="仿宋_GB2312"/>
          <w:color w:val="000000"/>
          <w:sz w:val="32"/>
          <w:szCs w:val="32"/>
        </w:rPr>
      </w:pPr>
      <w:r>
        <w:rPr>
          <w:rFonts w:hint="eastAsia" w:ascii="仿宋_GB2312" w:eastAsia="仿宋_GB2312"/>
          <w:color w:val="000000"/>
          <w:sz w:val="32"/>
          <w:szCs w:val="32"/>
          <w:lang w:eastAsia="zh-CN"/>
        </w:rPr>
        <w:t>2025年</w:t>
      </w:r>
      <w:r>
        <w:rPr>
          <w:rFonts w:hint="eastAsia" w:ascii="仿宋_GB2312" w:eastAsia="仿宋_GB2312"/>
          <w:color w:val="000000"/>
          <w:sz w:val="32"/>
          <w:szCs w:val="32"/>
        </w:rPr>
        <w:t>国有资本经营预算拨款支出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spacing w:line="580" w:lineRule="exact"/>
        <w:jc w:val="center"/>
        <w:rPr>
          <w:rFonts w:ascii="方正小标宋简体" w:hAnsi="方正小标宋简体" w:eastAsia="方正小标宋简体" w:cs="方正小标宋简体"/>
          <w:sz w:val="44"/>
          <w:szCs w:val="44"/>
        </w:rPr>
      </w:pPr>
    </w:p>
    <w:p>
      <w:pPr>
        <w:spacing w:line="600" w:lineRule="exact"/>
        <w:ind w:firstLine="800" w:firstLineChars="250"/>
        <w:outlineLvl w:val="1"/>
        <w:rPr>
          <w:rStyle w:val="24"/>
          <w:rFonts w:ascii="黑体" w:hAnsi="黑体" w:eastAsia="黑体"/>
        </w:rPr>
      </w:pPr>
      <w:bookmarkStart w:id="87" w:name="_Toc79163624"/>
      <w:bookmarkStart w:id="88" w:name="_Toc15396612"/>
      <w:bookmarkStart w:id="89" w:name="_Toc15377221"/>
      <w:bookmarkStart w:id="90" w:name="_Toc1826"/>
      <w:r>
        <w:rPr>
          <w:rFonts w:hint="eastAsia" w:ascii="黑体" w:hAnsi="黑体" w:eastAsia="黑体"/>
          <w:color w:val="000000"/>
          <w:sz w:val="32"/>
          <w:szCs w:val="32"/>
        </w:rPr>
        <w:t>十</w:t>
      </w:r>
      <w:r>
        <w:rPr>
          <w:rStyle w:val="24"/>
          <w:rFonts w:hint="eastAsia" w:ascii="黑体" w:hAnsi="黑体" w:eastAsia="黑体"/>
        </w:rPr>
        <w:t>、</w:t>
      </w:r>
      <w:r>
        <w:rPr>
          <w:rStyle w:val="24"/>
          <w:rFonts w:hint="eastAsia" w:ascii="黑体" w:hAnsi="黑体" w:eastAsia="黑体"/>
          <w:b w:val="0"/>
        </w:rPr>
        <w:t>其他重要事项的情况说明</w:t>
      </w:r>
      <w:bookmarkEnd w:id="87"/>
      <w:bookmarkEnd w:id="88"/>
      <w:bookmarkEnd w:id="89"/>
      <w:bookmarkEnd w:id="90"/>
    </w:p>
    <w:p>
      <w:pPr>
        <w:spacing w:line="600" w:lineRule="exact"/>
        <w:ind w:firstLine="643" w:firstLineChars="200"/>
        <w:outlineLvl w:val="2"/>
        <w:rPr>
          <w:rFonts w:ascii="仿宋" w:hAnsi="仿宋" w:eastAsia="仿宋"/>
          <w:color w:val="000000"/>
          <w:sz w:val="32"/>
          <w:szCs w:val="32"/>
        </w:rPr>
      </w:pPr>
      <w:bookmarkStart w:id="91" w:name="_Toc15377222"/>
      <w:bookmarkStart w:id="92" w:name="_Toc79163625"/>
      <w:bookmarkStart w:id="93" w:name="_Toc11977"/>
      <w:r>
        <w:rPr>
          <w:rFonts w:hint="eastAsia" w:ascii="仿宋" w:hAnsi="仿宋" w:eastAsia="仿宋"/>
          <w:b/>
          <w:color w:val="000000"/>
          <w:sz w:val="32"/>
          <w:szCs w:val="32"/>
        </w:rPr>
        <w:t>（一）机关运行经费支出情况</w:t>
      </w:r>
      <w:bookmarkEnd w:id="91"/>
      <w:bookmarkEnd w:id="92"/>
      <w:bookmarkEnd w:id="93"/>
    </w:p>
    <w:p>
      <w:pPr>
        <w:spacing w:line="600" w:lineRule="exact"/>
        <w:ind w:firstLine="640" w:firstLineChars="200"/>
        <w:rPr>
          <w:rFonts w:hint="eastAsia" w:ascii="仿宋_GB2312" w:eastAsia="仿宋_GB2312"/>
          <w:color w:val="000000"/>
          <w:sz w:val="32"/>
          <w:szCs w:val="32"/>
          <w:lang w:eastAsia="zh-CN"/>
        </w:rPr>
      </w:pPr>
      <w:r>
        <w:rPr>
          <w:rFonts w:hint="eastAsia" w:ascii="仿宋_GB2312" w:eastAsia="仿宋_GB2312"/>
          <w:color w:val="000000"/>
          <w:sz w:val="32"/>
          <w:szCs w:val="32"/>
          <w:lang w:eastAsia="zh-CN"/>
        </w:rPr>
        <w:t>2025年</w:t>
      </w:r>
      <w:r>
        <w:rPr>
          <w:rFonts w:hint="eastAsia" w:ascii="仿宋_GB2312" w:eastAsia="仿宋_GB2312"/>
          <w:color w:val="000000"/>
          <w:sz w:val="32"/>
          <w:szCs w:val="32"/>
        </w:rPr>
        <w:t>机关运行经费支出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万元，比</w:t>
      </w:r>
      <w:r>
        <w:rPr>
          <w:rFonts w:hint="eastAsia" w:ascii="仿宋_GB2312" w:eastAsia="仿宋_GB2312"/>
          <w:color w:val="000000"/>
          <w:sz w:val="32"/>
          <w:szCs w:val="32"/>
          <w:lang w:val="en-US" w:eastAsia="zh-CN"/>
        </w:rPr>
        <w:t>2024年0万元减少0万</w:t>
      </w:r>
      <w:r>
        <w:rPr>
          <w:rFonts w:hint="eastAsia" w:ascii="仿宋_GB2312" w:eastAsia="仿宋_GB2312"/>
          <w:color w:val="000000"/>
          <w:sz w:val="32"/>
          <w:szCs w:val="32"/>
        </w:rPr>
        <w:t>元，</w:t>
      </w:r>
      <w:r>
        <w:rPr>
          <w:rFonts w:hint="eastAsia" w:ascii="仿宋_GB2312" w:eastAsia="仿宋_GB2312"/>
          <w:color w:val="000000"/>
          <w:sz w:val="32"/>
          <w:szCs w:val="32"/>
          <w:lang w:eastAsia="zh-CN"/>
        </w:rPr>
        <w:t>减少</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_GB2312" w:eastAsia="仿宋_GB2312"/>
          <w:color w:val="000000"/>
          <w:sz w:val="32"/>
          <w:szCs w:val="32"/>
          <w:lang w:eastAsia="zh-CN"/>
        </w:rPr>
        <w:t>厉行节约。</w:t>
      </w:r>
    </w:p>
    <w:p>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94" w:name="_Toc79163626"/>
      <w:bookmarkStart w:id="95" w:name="_Toc15377223"/>
      <w:bookmarkStart w:id="96" w:name="_Toc30865"/>
      <w:r>
        <w:rPr>
          <w:rFonts w:hint="eastAsia" w:ascii="仿宋" w:hAnsi="仿宋" w:eastAsia="仿宋"/>
          <w:b/>
          <w:color w:val="000000"/>
          <w:sz w:val="32"/>
          <w:szCs w:val="32"/>
        </w:rPr>
        <w:t>（二）政府采购支出情况</w:t>
      </w:r>
      <w:bookmarkEnd w:id="94"/>
      <w:bookmarkEnd w:id="95"/>
      <w:bookmarkEnd w:id="96"/>
      <w:bookmarkStart w:id="142" w:name="_GoBack"/>
      <w:bookmarkEnd w:id="142"/>
    </w:p>
    <w:p>
      <w:pPr>
        <w:spacing w:line="600" w:lineRule="exact"/>
        <w:ind w:firstLine="640" w:firstLineChars="200"/>
        <w:rPr>
          <w:rFonts w:ascii="仿宋_GB2312" w:eastAsia="仿宋_GB2312"/>
          <w:color w:val="000000"/>
          <w:sz w:val="32"/>
          <w:szCs w:val="32"/>
        </w:rPr>
      </w:pPr>
      <w:r>
        <w:rPr>
          <w:rFonts w:hint="eastAsia" w:ascii="仿宋_GB2312" w:eastAsia="仿宋_GB2312"/>
          <w:color w:val="000000"/>
          <w:sz w:val="32"/>
          <w:szCs w:val="32"/>
          <w:lang w:eastAsia="zh-CN"/>
        </w:rPr>
        <w:t>2025年</w:t>
      </w:r>
      <w:r>
        <w:rPr>
          <w:rFonts w:hint="eastAsia" w:ascii="仿宋_GB2312" w:eastAsia="仿宋_GB2312"/>
          <w:color w:val="000000"/>
          <w:sz w:val="32"/>
          <w:szCs w:val="32"/>
        </w:rPr>
        <w:t>，政府采购支出总额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万元，其中：政府采购货物支出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元、政府采购工程支出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万元、政府采购服务支出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97" w:name="_Toc15377224"/>
      <w:bookmarkStart w:id="98" w:name="_Toc79163627"/>
      <w:bookmarkStart w:id="99" w:name="_Toc14704"/>
      <w:r>
        <w:rPr>
          <w:rFonts w:hint="eastAsia" w:ascii="仿宋" w:hAnsi="仿宋" w:eastAsia="仿宋"/>
          <w:b/>
          <w:color w:val="000000"/>
          <w:sz w:val="32"/>
          <w:szCs w:val="32"/>
        </w:rPr>
        <w:t>（三）国有资产占有使用情况</w:t>
      </w:r>
      <w:bookmarkEnd w:id="97"/>
      <w:bookmarkEnd w:id="98"/>
      <w:bookmarkEnd w:id="99"/>
    </w:p>
    <w:p>
      <w:pPr>
        <w:autoSpaceDE w:val="0"/>
        <w:autoSpaceDN w:val="0"/>
        <w:adjustRightInd w:val="0"/>
        <w:spacing w:line="600" w:lineRule="exact"/>
        <w:ind w:firstLine="640" w:firstLineChars="200"/>
        <w:jc w:val="left"/>
        <w:rPr>
          <w:rFonts w:hint="eastAsia" w:ascii="仿宋" w:hAnsi="仿宋" w:eastAsia="仿宋_GB2312"/>
          <w:b/>
          <w:color w:val="FF0000"/>
          <w:sz w:val="32"/>
          <w:szCs w:val="32"/>
          <w:lang w:val="en-US" w:eastAsia="zh-CN"/>
        </w:rPr>
      </w:pPr>
      <w:r>
        <w:rPr>
          <w:rFonts w:hint="eastAsia" w:ascii="仿宋_GB2312" w:eastAsia="仿宋_GB2312"/>
          <w:color w:val="000000"/>
          <w:sz w:val="32"/>
          <w:szCs w:val="32"/>
        </w:rPr>
        <w:t>截至</w:t>
      </w:r>
      <w:r>
        <w:rPr>
          <w:rFonts w:hint="eastAsia" w:ascii="仿宋_GB2312" w:eastAsia="仿宋_GB2312"/>
          <w:color w:val="000000"/>
          <w:sz w:val="32"/>
          <w:szCs w:val="32"/>
          <w:lang w:eastAsia="zh-CN"/>
        </w:rPr>
        <w:t>2025年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日，共有车辆</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辆，其中：主要领导干部用车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辆、机要通信用车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辆、应急保障用车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辆、其他用车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单价</w:t>
      </w:r>
      <w:r>
        <w:rPr>
          <w:rFonts w:ascii="仿宋_GB2312" w:eastAsia="仿宋_GB2312"/>
          <w:color w:val="000000"/>
          <w:sz w:val="32"/>
          <w:szCs w:val="32"/>
        </w:rPr>
        <w:t>50</w:t>
      </w:r>
      <w:r>
        <w:rPr>
          <w:rFonts w:hint="eastAsia" w:ascii="仿宋_GB2312" w:eastAsia="仿宋_GB2312"/>
          <w:color w:val="000000"/>
          <w:sz w:val="32"/>
          <w:szCs w:val="32"/>
        </w:rPr>
        <w:t>万元以上通用设备</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台（套），单价</w:t>
      </w:r>
      <w:r>
        <w:rPr>
          <w:rFonts w:ascii="仿宋_GB2312" w:eastAsia="仿宋_GB2312"/>
          <w:color w:val="000000"/>
          <w:sz w:val="32"/>
          <w:szCs w:val="32"/>
        </w:rPr>
        <w:t>100</w:t>
      </w:r>
      <w:r>
        <w:rPr>
          <w:rFonts w:hint="eastAsia" w:ascii="仿宋_GB2312" w:eastAsia="仿宋_GB2312"/>
          <w:color w:val="000000"/>
          <w:sz w:val="32"/>
          <w:szCs w:val="32"/>
        </w:rPr>
        <w:t>万元以上专用设备</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台（套）。</w:t>
      </w:r>
    </w:p>
    <w:p>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100" w:name="_Toc15068"/>
      <w:bookmarkStart w:id="101" w:name="_Toc79163628"/>
      <w:r>
        <w:rPr>
          <w:rFonts w:hint="eastAsia" w:ascii="仿宋" w:hAnsi="仿宋" w:eastAsia="仿宋"/>
          <w:b/>
          <w:color w:val="000000"/>
          <w:sz w:val="32"/>
          <w:szCs w:val="32"/>
        </w:rPr>
        <w:t>（四）预算绩效管理情况。</w:t>
      </w:r>
      <w:bookmarkEnd w:id="100"/>
      <w:bookmarkEnd w:id="101"/>
    </w:p>
    <w:p>
      <w:pPr>
        <w:spacing w:line="580" w:lineRule="exact"/>
        <w:ind w:firstLine="640" w:firstLineChars="200"/>
        <w:rPr>
          <w:rFonts w:ascii="仿宋_GB2312" w:hAnsi="仿宋_GB2312" w:eastAsia="仿宋_GB2312" w:cs="仿宋_GB2312"/>
          <w:sz w:val="32"/>
          <w:szCs w:val="32"/>
        </w:rPr>
      </w:pPr>
      <w:r>
        <w:rPr>
          <w:rFonts w:ascii="仿宋_GB2312" w:hAnsi="宋体" w:eastAsia="仿宋_GB2312" w:cs="仿宋_GB2312"/>
          <w:b w:val="0"/>
          <w:bCs w:val="0"/>
          <w:i w:val="0"/>
          <w:iCs w:val="0"/>
          <w:caps w:val="0"/>
          <w:color w:val="auto"/>
          <w:spacing w:val="0"/>
          <w:sz w:val="32"/>
          <w:szCs w:val="32"/>
          <w:shd w:val="clear" w:fill="FFFFFF"/>
          <w:vertAlign w:val="baseline"/>
        </w:rPr>
        <w:t>本</w:t>
      </w:r>
      <w:r>
        <w:rPr>
          <w:rFonts w:hint="eastAsia" w:ascii="仿宋_GB2312" w:hAnsi="宋体" w:eastAsia="仿宋_GB2312" w:cs="仿宋_GB2312"/>
          <w:b w:val="0"/>
          <w:bCs w:val="0"/>
          <w:i w:val="0"/>
          <w:iCs w:val="0"/>
          <w:caps w:val="0"/>
          <w:color w:val="auto"/>
          <w:spacing w:val="0"/>
          <w:sz w:val="32"/>
          <w:szCs w:val="32"/>
          <w:shd w:val="clear" w:fill="FFFFFF"/>
          <w:vertAlign w:val="baseline"/>
        </w:rPr>
        <w:t>单位无专项预算项目，因此未组织开展项目支出绩效评价。</w:t>
      </w:r>
    </w:p>
    <w:p>
      <w:pPr>
        <w:widowControl/>
        <w:jc w:val="left"/>
        <w:rPr>
          <w:rFonts w:ascii="仿宋_GB2312" w:eastAsia="仿宋_GB2312"/>
          <w:b/>
          <w:color w:val="000000"/>
          <w:sz w:val="32"/>
          <w:szCs w:val="32"/>
        </w:rPr>
      </w:pPr>
      <w:r>
        <w:rPr>
          <w:rFonts w:ascii="仿宋_GB2312" w:eastAsia="仿宋_GB2312"/>
          <w:b/>
          <w:color w:val="000000"/>
          <w:sz w:val="32"/>
          <w:szCs w:val="32"/>
        </w:rPr>
        <w:br w:type="page"/>
      </w:r>
    </w:p>
    <w:p>
      <w:pPr>
        <w:numPr>
          <w:ilvl w:val="0"/>
          <w:numId w:val="3"/>
        </w:numPr>
        <w:spacing w:line="600" w:lineRule="exact"/>
        <w:ind w:firstLine="660" w:firstLineChars="150"/>
        <w:jc w:val="center"/>
        <w:outlineLvl w:val="0"/>
        <w:rPr>
          <w:rStyle w:val="23"/>
          <w:rFonts w:ascii="黑体" w:hAnsi="黑体" w:eastAsia="黑体"/>
          <w:b w:val="0"/>
        </w:rPr>
      </w:pPr>
      <w:bookmarkStart w:id="102" w:name="_Toc15377225"/>
      <w:bookmarkStart w:id="103" w:name="_Toc79163629"/>
      <w:bookmarkStart w:id="104" w:name="_Toc15396613"/>
      <w:bookmarkStart w:id="105" w:name="_Toc20078"/>
      <w:r>
        <w:rPr>
          <w:rFonts w:hint="eastAsia" w:ascii="黑体" w:hAnsi="黑体" w:eastAsia="黑体"/>
          <w:color w:val="000000"/>
          <w:sz w:val="44"/>
          <w:szCs w:val="44"/>
        </w:rPr>
        <w:t>名</w:t>
      </w:r>
      <w:r>
        <w:rPr>
          <w:rStyle w:val="23"/>
          <w:rFonts w:hint="eastAsia" w:ascii="黑体" w:hAnsi="黑体" w:eastAsia="黑体"/>
          <w:b w:val="0"/>
        </w:rPr>
        <w:t>词解释</w:t>
      </w:r>
      <w:bookmarkEnd w:id="102"/>
      <w:bookmarkEnd w:id="103"/>
      <w:bookmarkEnd w:id="104"/>
      <w:bookmarkEnd w:id="105"/>
    </w:p>
    <w:p>
      <w:pPr>
        <w:spacing w:line="600" w:lineRule="exact"/>
        <w:jc w:val="left"/>
        <w:rPr>
          <w:rFonts w:ascii="宋体"/>
          <w:b/>
          <w:color w:val="000000"/>
          <w:sz w:val="44"/>
          <w:szCs w:val="44"/>
        </w:rPr>
      </w:pPr>
    </w:p>
    <w:p>
      <w:pPr>
        <w:pStyle w:val="33"/>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pPr>
        <w:pStyle w:val="33"/>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pPr>
        <w:pStyle w:val="33"/>
        <w:spacing w:line="560" w:lineRule="exact"/>
        <w:ind w:firstLine="640" w:firstLineChars="200"/>
        <w:rPr>
          <w:rFonts w:hint="eastAsia"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pPr>
        <w:pStyle w:val="33"/>
        <w:spacing w:line="560" w:lineRule="exact"/>
        <w:ind w:firstLine="640" w:firstLineChars="200"/>
        <w:rPr>
          <w:rFonts w:hint="eastAsia"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w:t>
      </w:r>
    </w:p>
    <w:p>
      <w:pPr>
        <w:pStyle w:val="33"/>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r>
        <w:rPr>
          <w:rFonts w:ascii="仿宋_GB2312" w:eastAsia="仿宋_GB2312"/>
          <w:sz w:val="32"/>
          <w:szCs w:val="32"/>
        </w:rPr>
        <w:t xml:space="preserve"> </w:t>
      </w:r>
    </w:p>
    <w:p>
      <w:pPr>
        <w:pStyle w:val="33"/>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pPr>
        <w:pStyle w:val="33"/>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结余分配：指事业单位按照会计制度规定缴纳的所得税、提取的专用结余以及转入非财政拨款结余的金额等。</w:t>
      </w:r>
    </w:p>
    <w:p>
      <w:pPr>
        <w:pStyle w:val="33"/>
        <w:spacing w:line="560" w:lineRule="exact"/>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9.一般公共服务</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201</w:t>
      </w:r>
      <w:r>
        <w:rPr>
          <w:rFonts w:hint="eastAsia" w:ascii="仿宋_GB2312" w:eastAsia="仿宋_GB2312"/>
          <w:color w:val="000000"/>
          <w:sz w:val="32"/>
          <w:szCs w:val="32"/>
          <w:lang w:eastAsia="zh-CN"/>
        </w:rPr>
        <w:t>）政府办公厅及相关机构服务（</w:t>
      </w:r>
      <w:r>
        <w:rPr>
          <w:rFonts w:hint="eastAsia" w:ascii="仿宋_GB2312" w:eastAsia="仿宋_GB2312"/>
          <w:color w:val="000000"/>
          <w:sz w:val="32"/>
          <w:szCs w:val="32"/>
          <w:lang w:val="en-US" w:eastAsia="zh-CN"/>
        </w:rPr>
        <w:t>20103</w:t>
      </w:r>
      <w:r>
        <w:rPr>
          <w:rFonts w:hint="eastAsia" w:ascii="仿宋_GB2312" w:eastAsia="仿宋_GB2312"/>
          <w:color w:val="000000"/>
          <w:sz w:val="32"/>
          <w:szCs w:val="32"/>
          <w:lang w:eastAsia="zh-CN"/>
        </w:rPr>
        <w:t>）事业运行（</w:t>
      </w:r>
      <w:r>
        <w:rPr>
          <w:rFonts w:hint="eastAsia" w:ascii="仿宋_GB2312" w:eastAsia="仿宋_GB2312"/>
          <w:color w:val="000000"/>
          <w:sz w:val="32"/>
          <w:szCs w:val="32"/>
          <w:lang w:val="en-US" w:eastAsia="zh-CN"/>
        </w:rPr>
        <w:t>20103502</w:t>
      </w:r>
      <w:r>
        <w:rPr>
          <w:rFonts w:hint="eastAsia" w:ascii="仿宋_GB2312" w:eastAsia="仿宋_GB2312"/>
          <w:color w:val="000000"/>
          <w:sz w:val="32"/>
          <w:szCs w:val="32"/>
          <w:lang w:eastAsia="zh-CN"/>
        </w:rPr>
        <w:t>）</w:t>
      </w:r>
      <w:r>
        <w:rPr>
          <w:rFonts w:hint="eastAsia" w:ascii="仿宋_GB2312" w:eastAsia="仿宋_GB2312"/>
          <w:color w:val="000000"/>
          <w:sz w:val="32"/>
          <w:szCs w:val="32"/>
        </w:rPr>
        <w:t>：指反映政府提供一般公共服务的支出。</w:t>
      </w:r>
    </w:p>
    <w:p>
      <w:pPr>
        <w:ind w:firstLine="640" w:firstLineChars="200"/>
        <w:rPr>
          <w:rFonts w:hint="eastAsia"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社会保障和就业（</w:t>
      </w:r>
      <w:r>
        <w:rPr>
          <w:rFonts w:hint="eastAsia" w:ascii="仿宋_GB2312" w:eastAsia="仿宋_GB2312"/>
          <w:color w:val="000000"/>
          <w:sz w:val="32"/>
          <w:szCs w:val="32"/>
          <w:lang w:val="en-US" w:eastAsia="zh-CN"/>
        </w:rPr>
        <w:t>208</w:t>
      </w:r>
      <w:r>
        <w:rPr>
          <w:rFonts w:hint="eastAsia" w:ascii="仿宋_GB2312" w:eastAsia="仿宋_GB2312"/>
          <w:color w:val="000000"/>
          <w:sz w:val="32"/>
          <w:szCs w:val="32"/>
        </w:rPr>
        <w:t>）</w:t>
      </w:r>
      <w:r>
        <w:rPr>
          <w:rFonts w:hint="eastAsia" w:ascii="仿宋_GB2312" w:eastAsia="仿宋_GB2312"/>
          <w:color w:val="000000"/>
          <w:sz w:val="32"/>
          <w:szCs w:val="32"/>
          <w:lang w:eastAsia="zh-CN"/>
        </w:rPr>
        <w:t>行政事业单位养老支出</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20805</w:t>
      </w:r>
      <w:r>
        <w:rPr>
          <w:rFonts w:hint="eastAsia" w:ascii="仿宋_GB2312" w:eastAsia="仿宋_GB2312"/>
          <w:color w:val="000000"/>
          <w:sz w:val="32"/>
          <w:szCs w:val="32"/>
        </w:rPr>
        <w:t>）机关事业单位基本养老保险缴费支出（</w:t>
      </w:r>
      <w:r>
        <w:rPr>
          <w:rFonts w:hint="eastAsia" w:ascii="仿宋_GB2312" w:eastAsia="仿宋_GB2312"/>
          <w:color w:val="000000"/>
          <w:sz w:val="32"/>
          <w:szCs w:val="32"/>
          <w:lang w:val="en-US" w:eastAsia="zh-CN"/>
        </w:rPr>
        <w:t>2080505</w:t>
      </w:r>
      <w:r>
        <w:rPr>
          <w:rFonts w:hint="eastAsia" w:ascii="仿宋_GB2312" w:eastAsia="仿宋_GB2312"/>
          <w:color w:val="000000"/>
          <w:sz w:val="32"/>
          <w:szCs w:val="32"/>
        </w:rPr>
        <w:t>）</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2080506</w:t>
      </w:r>
      <w:r>
        <w:rPr>
          <w:rFonts w:hint="eastAsia" w:ascii="仿宋_GB2312" w:eastAsia="仿宋_GB2312"/>
          <w:color w:val="000000"/>
          <w:sz w:val="32"/>
          <w:szCs w:val="32"/>
          <w:lang w:eastAsia="zh-CN"/>
        </w:rPr>
        <w:t>）</w:t>
      </w:r>
      <w:r>
        <w:rPr>
          <w:rFonts w:hint="eastAsia" w:ascii="仿宋_GB2312" w:eastAsia="仿宋_GB2312"/>
          <w:color w:val="000000"/>
          <w:sz w:val="32"/>
          <w:szCs w:val="32"/>
        </w:rPr>
        <w:t>：</w:t>
      </w:r>
      <w:r>
        <w:rPr>
          <w:rFonts w:ascii="仿宋_GB2312" w:eastAsia="仿宋_GB2312"/>
          <w:color w:val="000000"/>
          <w:sz w:val="32"/>
          <w:szCs w:val="32"/>
        </w:rPr>
        <w:t>指反映政府在社会保障和就业方面的支出</w:t>
      </w:r>
      <w:r>
        <w:rPr>
          <w:rFonts w:hint="eastAsia" w:ascii="仿宋_GB2312" w:eastAsia="仿宋_GB2312"/>
          <w:color w:val="000000"/>
          <w:sz w:val="32"/>
          <w:szCs w:val="32"/>
        </w:rPr>
        <w:t>。</w:t>
      </w:r>
    </w:p>
    <w:p>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.卫生健康（210）-行政事业单位医疗（21011）-事业单位医疗/ 公其他行政事业单位医疗支出（2101102/2101199）：指反映政府医疗卫生与计划生育管理方面的支出。</w:t>
      </w:r>
    </w:p>
    <w:p>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lang w:val="en-US" w:eastAsia="zh-CN"/>
        </w:rPr>
        <w:t>12</w:t>
      </w:r>
      <w:r>
        <w:rPr>
          <w:rFonts w:hint="eastAsia" w:ascii="仿宋_GB2312" w:eastAsia="仿宋_GB2312"/>
          <w:color w:val="000000"/>
          <w:sz w:val="32"/>
          <w:szCs w:val="32"/>
        </w:rPr>
        <w:t>.住房保障（221）-住房改革支出（22102）-住房公积金（2210201）：指集中反映政府用于住房方面的支出。</w:t>
      </w:r>
    </w:p>
    <w:p>
      <w:pPr>
        <w:spacing w:line="600" w:lineRule="exact"/>
        <w:ind w:firstLine="640"/>
        <w:rPr>
          <w:rFonts w:ascii="仿宋" w:hAnsi="仿宋" w:eastAsia="仿宋"/>
          <w:b/>
          <w:color w:val="000000"/>
          <w:sz w:val="32"/>
          <w:szCs w:val="32"/>
        </w:rPr>
      </w:pPr>
      <w:r>
        <w:rPr>
          <w:rFonts w:hint="eastAsia" w:ascii="仿宋" w:hAnsi="仿宋" w:eastAsia="仿宋"/>
          <w:b/>
          <w:color w:val="000000"/>
          <w:sz w:val="32"/>
          <w:szCs w:val="32"/>
        </w:rPr>
        <w:t>（解释本部门决算报表中全部功能分类科目至项级，请参照《</w:t>
      </w:r>
      <w:r>
        <w:rPr>
          <w:rFonts w:hint="eastAsia" w:ascii="仿宋" w:hAnsi="仿宋" w:eastAsia="仿宋"/>
          <w:b/>
          <w:color w:val="000000"/>
          <w:sz w:val="32"/>
          <w:szCs w:val="32"/>
          <w:lang w:eastAsia="zh-CN"/>
        </w:rPr>
        <w:t>202</w:t>
      </w:r>
      <w:r>
        <w:rPr>
          <w:rFonts w:hint="eastAsia" w:ascii="仿宋" w:hAnsi="仿宋" w:eastAsia="仿宋"/>
          <w:b/>
          <w:color w:val="000000"/>
          <w:sz w:val="32"/>
          <w:szCs w:val="32"/>
          <w:lang w:val="en-US" w:eastAsia="zh-CN"/>
        </w:rPr>
        <w:t>5</w:t>
      </w:r>
      <w:r>
        <w:rPr>
          <w:rFonts w:hint="eastAsia" w:ascii="仿宋" w:hAnsi="仿宋" w:eastAsia="仿宋"/>
          <w:b/>
          <w:color w:val="000000"/>
          <w:sz w:val="32"/>
          <w:szCs w:val="32"/>
          <w:lang w:eastAsia="zh-CN"/>
        </w:rPr>
        <w:t>年</w:t>
      </w:r>
      <w:r>
        <w:rPr>
          <w:rFonts w:hint="eastAsia" w:ascii="仿宋" w:hAnsi="仿宋" w:eastAsia="仿宋"/>
          <w:b/>
          <w:color w:val="000000"/>
          <w:sz w:val="32"/>
          <w:szCs w:val="32"/>
        </w:rPr>
        <w:t>政府收支分类科目》增减内容。）</w:t>
      </w:r>
    </w:p>
    <w:p>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13</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14</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15</w:t>
      </w:r>
      <w:r>
        <w:rPr>
          <w:rFonts w:ascii="仿宋_GB2312" w:eastAsia="仿宋_GB2312"/>
          <w:color w:val="000000"/>
          <w:sz w:val="32"/>
          <w:szCs w:val="32"/>
        </w:rPr>
        <w:t>.</w:t>
      </w:r>
      <w:r>
        <w:rPr>
          <w:rFonts w:hint="eastAsia" w:ascii="仿宋_GB2312" w:eastAsia="仿宋_GB2312"/>
          <w:color w:val="000000"/>
          <w:sz w:val="32"/>
          <w:szCs w:val="32"/>
        </w:rPr>
        <w:t>经营支出：指事业单位在专业业务活动及其辅助活动之外开展非独立核算经营活动发生的支出。</w:t>
      </w:r>
    </w:p>
    <w:p>
      <w:pPr>
        <w:pStyle w:val="33"/>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16</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3"/>
        <w:spacing w:line="56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17</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33"/>
        <w:spacing w:line="560" w:lineRule="exact"/>
        <w:ind w:firstLine="640" w:firstLineChars="200"/>
        <w:rPr>
          <w:rFonts w:hint="eastAsia" w:ascii="仿宋_GB2312" w:eastAsia="仿宋_GB2312"/>
          <w:sz w:val="32"/>
          <w:szCs w:val="32"/>
        </w:rPr>
      </w:pPr>
    </w:p>
    <w:p>
      <w:pPr>
        <w:pStyle w:val="33"/>
        <w:spacing w:line="560" w:lineRule="exact"/>
        <w:ind w:firstLine="640" w:firstLineChars="200"/>
        <w:rPr>
          <w:rFonts w:hint="eastAsia" w:ascii="仿宋_GB2312" w:eastAsia="仿宋_GB2312"/>
          <w:sz w:val="32"/>
          <w:szCs w:val="32"/>
        </w:rPr>
      </w:pPr>
    </w:p>
    <w:p>
      <w:pPr>
        <w:pStyle w:val="33"/>
        <w:spacing w:line="560" w:lineRule="exact"/>
        <w:ind w:firstLine="640" w:firstLineChars="200"/>
        <w:rPr>
          <w:rFonts w:hint="eastAsia" w:ascii="仿宋_GB2312" w:eastAsia="仿宋_GB2312"/>
          <w:sz w:val="32"/>
          <w:szCs w:val="32"/>
        </w:rPr>
      </w:pPr>
    </w:p>
    <w:p>
      <w:pPr>
        <w:pStyle w:val="33"/>
        <w:spacing w:line="560" w:lineRule="exact"/>
        <w:ind w:firstLine="640" w:firstLineChars="200"/>
        <w:rPr>
          <w:rFonts w:hint="eastAsia" w:ascii="仿宋_GB2312" w:eastAsia="仿宋_GB2312"/>
          <w:sz w:val="32"/>
          <w:szCs w:val="32"/>
        </w:rPr>
      </w:pPr>
    </w:p>
    <w:p>
      <w:pPr>
        <w:pStyle w:val="33"/>
        <w:spacing w:line="560" w:lineRule="exact"/>
        <w:ind w:firstLine="640" w:firstLineChars="200"/>
        <w:rPr>
          <w:rFonts w:hint="eastAsia" w:ascii="仿宋_GB2312" w:eastAsia="仿宋_GB2312"/>
          <w:sz w:val="32"/>
          <w:szCs w:val="32"/>
        </w:rPr>
      </w:pPr>
    </w:p>
    <w:p>
      <w:pPr>
        <w:pStyle w:val="33"/>
        <w:spacing w:line="560" w:lineRule="exact"/>
        <w:ind w:firstLine="640" w:firstLineChars="200"/>
        <w:rPr>
          <w:rFonts w:hint="eastAsia" w:ascii="仿宋_GB2312" w:eastAsia="仿宋_GB2312"/>
          <w:sz w:val="32"/>
          <w:szCs w:val="32"/>
        </w:rPr>
      </w:pPr>
    </w:p>
    <w:p>
      <w:pPr>
        <w:pStyle w:val="33"/>
        <w:spacing w:line="560" w:lineRule="exact"/>
        <w:ind w:firstLine="640" w:firstLineChars="200"/>
        <w:rPr>
          <w:rFonts w:hint="eastAsia" w:ascii="仿宋_GB2312" w:eastAsia="仿宋_GB2312"/>
          <w:sz w:val="32"/>
          <w:szCs w:val="32"/>
        </w:rPr>
      </w:pPr>
    </w:p>
    <w:p>
      <w:pPr>
        <w:pStyle w:val="33"/>
        <w:spacing w:line="560" w:lineRule="exact"/>
        <w:ind w:firstLine="640" w:firstLineChars="200"/>
        <w:rPr>
          <w:rFonts w:hint="eastAsia" w:ascii="仿宋_GB2312" w:eastAsia="仿宋_GB2312"/>
          <w:sz w:val="32"/>
          <w:szCs w:val="32"/>
        </w:rPr>
      </w:pPr>
    </w:p>
    <w:p>
      <w:pPr>
        <w:pStyle w:val="33"/>
        <w:spacing w:line="560" w:lineRule="exact"/>
        <w:ind w:firstLine="640" w:firstLineChars="200"/>
        <w:rPr>
          <w:rFonts w:hint="eastAsia" w:ascii="仿宋_GB2312" w:eastAsia="仿宋_GB2312"/>
          <w:sz w:val="32"/>
          <w:szCs w:val="32"/>
        </w:rPr>
      </w:pPr>
    </w:p>
    <w:p>
      <w:pPr>
        <w:pStyle w:val="33"/>
        <w:spacing w:line="560" w:lineRule="exact"/>
        <w:ind w:firstLine="640" w:firstLineChars="200"/>
        <w:rPr>
          <w:rFonts w:hint="eastAsia" w:ascii="仿宋_GB2312" w:eastAsia="仿宋_GB2312"/>
          <w:sz w:val="32"/>
          <w:szCs w:val="32"/>
        </w:rPr>
      </w:pPr>
    </w:p>
    <w:p>
      <w:pPr>
        <w:pStyle w:val="33"/>
        <w:spacing w:line="560" w:lineRule="exact"/>
        <w:ind w:firstLine="640" w:firstLineChars="200"/>
        <w:rPr>
          <w:rFonts w:hint="eastAsia" w:ascii="仿宋_GB2312" w:eastAsia="仿宋_GB2312"/>
          <w:sz w:val="32"/>
          <w:szCs w:val="32"/>
        </w:rPr>
      </w:pPr>
    </w:p>
    <w:p>
      <w:pPr>
        <w:pStyle w:val="33"/>
        <w:spacing w:line="560" w:lineRule="exact"/>
        <w:ind w:firstLine="640" w:firstLineChars="200"/>
        <w:rPr>
          <w:rFonts w:hint="eastAsia" w:ascii="仿宋_GB2312" w:eastAsia="仿宋_GB2312"/>
          <w:sz w:val="32"/>
          <w:szCs w:val="32"/>
        </w:rPr>
      </w:pPr>
    </w:p>
    <w:p>
      <w:pPr>
        <w:pStyle w:val="33"/>
        <w:spacing w:line="560" w:lineRule="exact"/>
        <w:ind w:firstLine="640" w:firstLineChars="200"/>
        <w:rPr>
          <w:rFonts w:hint="eastAsia" w:ascii="仿宋_GB2312" w:eastAsia="仿宋_GB2312"/>
          <w:sz w:val="32"/>
          <w:szCs w:val="32"/>
        </w:rPr>
      </w:pPr>
    </w:p>
    <w:p>
      <w:pPr>
        <w:pStyle w:val="33"/>
        <w:spacing w:line="560" w:lineRule="exact"/>
        <w:ind w:firstLine="640" w:firstLineChars="200"/>
        <w:rPr>
          <w:rFonts w:hint="eastAsia" w:ascii="仿宋_GB2312" w:eastAsia="仿宋_GB2312"/>
          <w:sz w:val="32"/>
          <w:szCs w:val="32"/>
        </w:rPr>
      </w:pPr>
    </w:p>
    <w:p>
      <w:pPr>
        <w:pStyle w:val="33"/>
        <w:spacing w:line="560" w:lineRule="exact"/>
        <w:ind w:firstLine="640" w:firstLineChars="200"/>
        <w:rPr>
          <w:rFonts w:hint="eastAsia" w:ascii="仿宋_GB2312" w:eastAsia="仿宋_GB2312"/>
          <w:sz w:val="32"/>
          <w:szCs w:val="32"/>
        </w:rPr>
      </w:pPr>
    </w:p>
    <w:p>
      <w:pPr>
        <w:pStyle w:val="33"/>
        <w:spacing w:line="560" w:lineRule="exact"/>
        <w:ind w:firstLine="640" w:firstLineChars="200"/>
        <w:rPr>
          <w:rFonts w:hint="eastAsia" w:ascii="仿宋_GB2312" w:eastAsia="仿宋_GB2312"/>
          <w:sz w:val="32"/>
          <w:szCs w:val="32"/>
        </w:rPr>
      </w:pPr>
    </w:p>
    <w:p>
      <w:pPr>
        <w:pStyle w:val="33"/>
        <w:spacing w:line="560" w:lineRule="exact"/>
        <w:ind w:firstLine="640" w:firstLineChars="200"/>
        <w:rPr>
          <w:rFonts w:hint="eastAsia" w:ascii="仿宋_GB2312" w:eastAsia="仿宋_GB2312"/>
          <w:sz w:val="32"/>
          <w:szCs w:val="32"/>
        </w:rPr>
      </w:pPr>
    </w:p>
    <w:p>
      <w:pPr>
        <w:pStyle w:val="33"/>
        <w:spacing w:line="560" w:lineRule="exact"/>
        <w:ind w:firstLine="640" w:firstLineChars="200"/>
        <w:rPr>
          <w:rFonts w:hint="eastAsia" w:ascii="仿宋_GB2312" w:eastAsia="仿宋_GB2312"/>
          <w:sz w:val="32"/>
          <w:szCs w:val="32"/>
        </w:rPr>
      </w:pPr>
    </w:p>
    <w:p>
      <w:pPr>
        <w:pStyle w:val="33"/>
        <w:spacing w:line="560" w:lineRule="exact"/>
        <w:ind w:firstLine="640" w:firstLineChars="200"/>
        <w:rPr>
          <w:rFonts w:hint="eastAsia" w:ascii="仿宋_GB2312" w:eastAsia="仿宋_GB2312"/>
          <w:sz w:val="32"/>
          <w:szCs w:val="32"/>
        </w:rPr>
      </w:pPr>
    </w:p>
    <w:p>
      <w:pPr>
        <w:pStyle w:val="33"/>
        <w:spacing w:line="560" w:lineRule="exact"/>
        <w:ind w:firstLine="640" w:firstLineChars="200"/>
        <w:rPr>
          <w:rFonts w:hint="eastAsia" w:ascii="仿宋_GB2312" w:eastAsia="仿宋_GB2312"/>
          <w:sz w:val="32"/>
          <w:szCs w:val="32"/>
        </w:rPr>
      </w:pPr>
    </w:p>
    <w:p>
      <w:pPr>
        <w:spacing w:line="600" w:lineRule="exact"/>
        <w:jc w:val="center"/>
        <w:outlineLvl w:val="0"/>
        <w:rPr>
          <w:rStyle w:val="23"/>
          <w:rFonts w:ascii="黑体" w:hAnsi="黑体" w:eastAsia="黑体"/>
          <w:b w:val="0"/>
        </w:rPr>
      </w:pPr>
      <w:bookmarkStart w:id="106" w:name="_Toc79163630"/>
      <w:bookmarkStart w:id="107" w:name="_Toc15396614"/>
      <w:bookmarkStart w:id="108" w:name="_Toc24675"/>
      <w:r>
        <w:rPr>
          <w:rFonts w:hint="eastAsia" w:ascii="黑体" w:hAnsi="黑体" w:eastAsia="黑体"/>
          <w:color w:val="000000"/>
          <w:sz w:val="44"/>
          <w:szCs w:val="44"/>
        </w:rPr>
        <w:t>第</w:t>
      </w:r>
      <w:r>
        <w:rPr>
          <w:rStyle w:val="23"/>
          <w:rFonts w:hint="eastAsia" w:ascii="黑体" w:hAnsi="黑体" w:eastAsia="黑体"/>
          <w:b w:val="0"/>
        </w:rPr>
        <w:t>四部分</w:t>
      </w:r>
      <w:r>
        <w:rPr>
          <w:rStyle w:val="23"/>
          <w:rFonts w:ascii="黑体" w:hAnsi="黑体" w:eastAsia="黑体"/>
          <w:b w:val="0"/>
        </w:rPr>
        <w:t xml:space="preserve"> </w:t>
      </w:r>
      <w:r>
        <w:rPr>
          <w:rStyle w:val="23"/>
          <w:rFonts w:hint="eastAsia" w:ascii="黑体" w:hAnsi="黑体" w:eastAsia="黑体"/>
          <w:b w:val="0"/>
        </w:rPr>
        <w:t>附件</w:t>
      </w:r>
      <w:bookmarkEnd w:id="106"/>
      <w:bookmarkEnd w:id="107"/>
      <w:bookmarkEnd w:id="108"/>
    </w:p>
    <w:p>
      <w:pPr>
        <w:spacing w:line="600" w:lineRule="exact"/>
        <w:jc w:val="left"/>
        <w:outlineLvl w:val="0"/>
        <w:rPr>
          <w:rFonts w:ascii="方正小标宋简体" w:hAnsi="方正小标宋简体" w:eastAsia="方正小标宋简体" w:cs="方正小标宋简体"/>
          <w:sz w:val="32"/>
          <w:szCs w:val="32"/>
        </w:rPr>
      </w:pPr>
      <w:bookmarkStart w:id="109" w:name="_Toc18421"/>
      <w:bookmarkStart w:id="110" w:name="_Toc79163631"/>
      <w:r>
        <w:rPr>
          <w:rFonts w:hint="eastAsia" w:ascii="黑体" w:hAnsi="黑体" w:eastAsia="黑体" w:cs="黑体"/>
          <w:sz w:val="32"/>
          <w:szCs w:val="32"/>
        </w:rPr>
        <w:t>附件</w:t>
      </w:r>
      <w:r>
        <w:rPr>
          <w:rFonts w:ascii="黑体" w:hAnsi="黑体" w:eastAsia="黑体" w:cs="黑体"/>
          <w:sz w:val="32"/>
          <w:szCs w:val="32"/>
        </w:rPr>
        <w:t>1</w:t>
      </w:r>
      <w:bookmarkEnd w:id="109"/>
      <w:bookmarkEnd w:id="110"/>
    </w:p>
    <w:p>
      <w:pPr>
        <w:spacing w:line="580" w:lineRule="exact"/>
        <w:jc w:val="center"/>
        <w:rPr>
          <w:rFonts w:ascii="方正小标宋简体" w:hAnsi="方正小标宋简体" w:eastAsia="方正小标宋简体" w:cs="方正小标宋简体"/>
          <w:sz w:val="44"/>
          <w:szCs w:val="44"/>
        </w:rPr>
      </w:pPr>
    </w:p>
    <w:p>
      <w:pPr>
        <w:spacing w:line="600" w:lineRule="exact"/>
        <w:jc w:val="center"/>
        <w:outlineLvl w:val="0"/>
        <w:rPr>
          <w:rFonts w:hint="eastAsia" w:ascii="方正小标宋简体" w:hAnsi="黑体" w:eastAsia="方正小标宋简体" w:cs="黑体"/>
          <w:sz w:val="44"/>
          <w:szCs w:val="44"/>
          <w:lang w:eastAsia="zh-CN"/>
        </w:rPr>
      </w:pPr>
      <w:bookmarkStart w:id="111" w:name="_Toc28316"/>
      <w:bookmarkStart w:id="112" w:name="_Toc79163632"/>
      <w:r>
        <w:rPr>
          <w:rFonts w:hint="eastAsia" w:ascii="方正小标宋简体" w:hAnsi="黑体" w:eastAsia="方正小标宋简体" w:cs="黑体"/>
          <w:sz w:val="44"/>
          <w:szCs w:val="44"/>
          <w:lang w:eastAsia="zh-CN"/>
        </w:rPr>
        <w:t>小金县政府办信息中心</w:t>
      </w:r>
      <w:bookmarkEnd w:id="111"/>
    </w:p>
    <w:p>
      <w:pPr>
        <w:spacing w:line="600" w:lineRule="exact"/>
        <w:jc w:val="center"/>
        <w:outlineLvl w:val="0"/>
        <w:rPr>
          <w:rFonts w:ascii="方正小标宋简体" w:hAnsi="黑体" w:eastAsia="方正小标宋简体" w:cs="黑体"/>
          <w:sz w:val="44"/>
          <w:szCs w:val="44"/>
        </w:rPr>
      </w:pPr>
      <w:bookmarkStart w:id="113" w:name="_Toc389"/>
      <w:r>
        <w:rPr>
          <w:rFonts w:hint="eastAsia" w:ascii="方正小标宋简体" w:hAnsi="黑体" w:eastAsia="方正小标宋简体" w:cs="黑体"/>
          <w:sz w:val="44"/>
          <w:szCs w:val="44"/>
          <w:lang w:eastAsia="zh-CN"/>
        </w:rPr>
        <w:t>2025年</w:t>
      </w:r>
      <w:r>
        <w:rPr>
          <w:rFonts w:hint="eastAsia" w:ascii="方正小标宋简体" w:hAnsi="黑体" w:eastAsia="方正小标宋简体" w:cs="黑体"/>
          <w:sz w:val="44"/>
          <w:szCs w:val="44"/>
        </w:rPr>
        <w:t>部门整体支出绩效评价报告</w:t>
      </w:r>
      <w:bookmarkEnd w:id="112"/>
      <w:bookmarkEnd w:id="113"/>
    </w:p>
    <w:p>
      <w:pPr>
        <w:widowControl/>
        <w:spacing w:line="580" w:lineRule="exact"/>
        <w:ind w:firstLine="640" w:firstLineChars="200"/>
        <w:contextualSpacing/>
        <w:jc w:val="center"/>
        <w:rPr>
          <w:rFonts w:ascii="仿宋_GB2312" w:hAnsi="宋体" w:eastAsia="仿宋_GB2312"/>
          <w:sz w:val="32"/>
          <w:szCs w:val="32"/>
          <w:shd w:val="clear" w:color="auto" w:fill="FFFFFF"/>
        </w:rPr>
      </w:pPr>
    </w:p>
    <w:p>
      <w:pPr>
        <w:widowControl/>
        <w:adjustRightInd w:val="0"/>
        <w:snapToGrid w:val="0"/>
        <w:spacing w:line="580" w:lineRule="exact"/>
        <w:ind w:firstLine="480" w:firstLineChars="200"/>
        <w:contextualSpacing/>
        <w:jc w:val="left"/>
        <w:rPr>
          <w:rFonts w:ascii="黑体" w:hAnsi="宋体" w:eastAsia="黑体" w:cs="宋体"/>
          <w:color w:val="000000"/>
          <w:kern w:val="0"/>
          <w:sz w:val="24"/>
          <w:szCs w:val="32"/>
          <w:shd w:val="clear" w:color="auto" w:fill="FFFFFF"/>
        </w:rPr>
      </w:pPr>
    </w:p>
    <w:p>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lang w:val="zh-CN"/>
        </w:rPr>
      </w:pPr>
      <w:r>
        <w:rPr>
          <w:rFonts w:hint="eastAsia" w:ascii="黑体" w:hAnsi="宋体" w:eastAsia="黑体" w:cs="宋体"/>
          <w:color w:val="000000"/>
          <w:kern w:val="0"/>
          <w:sz w:val="32"/>
          <w:szCs w:val="32"/>
          <w:shd w:val="clear" w:color="auto" w:fill="FFFFFF"/>
        </w:rPr>
        <w:t>一、</w:t>
      </w:r>
      <w:r>
        <w:rPr>
          <w:rFonts w:hint="eastAsia" w:ascii="黑体" w:hAnsi="宋体" w:eastAsia="黑体" w:cs="宋体"/>
          <w:color w:val="000000"/>
          <w:kern w:val="0"/>
          <w:sz w:val="32"/>
          <w:szCs w:val="32"/>
          <w:shd w:val="clear" w:color="auto" w:fill="FFFFFF"/>
          <w:lang w:val="zh-CN"/>
        </w:rPr>
        <w:t>部门（单位）概况</w:t>
      </w:r>
    </w:p>
    <w:p>
      <w:pPr>
        <w:ind w:firstLine="320" w:firstLineChars="100"/>
        <w:rPr>
          <w:rFonts w:hint="eastAsia" w:ascii="楷体_GB2312" w:eastAsia="楷体_GB2312"/>
          <w:sz w:val="32"/>
          <w:szCs w:val="32"/>
        </w:rPr>
      </w:pPr>
      <w:r>
        <w:rPr>
          <w:rFonts w:hint="eastAsia" w:ascii="楷体_GB2312" w:eastAsia="楷体_GB2312"/>
          <w:sz w:val="32"/>
          <w:szCs w:val="32"/>
        </w:rPr>
        <w:t>（一）机构组成</w:t>
      </w:r>
    </w:p>
    <w:p>
      <w:pPr>
        <w:ind w:firstLine="320" w:firstLineChars="100"/>
        <w:rPr>
          <w:rFonts w:hint="eastAsia" w:ascii="仿宋_GB2312" w:eastAsia="仿宋_GB2312"/>
          <w:color w:val="333333"/>
          <w:sz w:val="32"/>
          <w:szCs w:val="32"/>
          <w:lang w:val="en-US" w:eastAsia="zh-CN"/>
        </w:rPr>
      </w:pPr>
      <w:r>
        <w:rPr>
          <w:rFonts w:hint="eastAsia" w:ascii="仿宋_GB2312" w:hAnsi="MT Extra" w:eastAsia="仿宋_GB2312" w:cs="MT Extra"/>
          <w:color w:val="333333"/>
          <w:sz w:val="32"/>
          <w:szCs w:val="32"/>
          <w:lang w:val="en-US" w:eastAsia="zh-CN"/>
        </w:rPr>
        <w:t>小金</w:t>
      </w:r>
      <w:r>
        <w:rPr>
          <w:rFonts w:hint="eastAsia" w:ascii="仿宋_GB2312" w:eastAsia="仿宋_GB2312"/>
          <w:color w:val="333333"/>
          <w:sz w:val="32"/>
          <w:szCs w:val="32"/>
          <w:lang w:val="en-US" w:eastAsia="zh-CN"/>
        </w:rPr>
        <w:t>县人民政府办公室信息中心事业编制7名。</w:t>
      </w:r>
    </w:p>
    <w:p>
      <w:pPr>
        <w:widowControl/>
        <w:adjustRightInd w:val="0"/>
        <w:snapToGrid w:val="0"/>
        <w:spacing w:line="580" w:lineRule="exact"/>
        <w:ind w:firstLine="640" w:firstLineChars="200"/>
        <w:contextualSpacing/>
        <w:jc w:val="left"/>
        <w:rPr>
          <w:rFonts w:hint="eastAsia" w:ascii="黑体" w:hAnsi="宋体" w:eastAsia="黑体" w:cs="宋体"/>
          <w:color w:val="000000"/>
          <w:kern w:val="0"/>
          <w:sz w:val="32"/>
          <w:szCs w:val="32"/>
          <w:shd w:val="clear" w:color="auto" w:fill="FFFFFF"/>
          <w:lang w:val="en-US" w:eastAsia="zh-CN"/>
        </w:rPr>
      </w:pPr>
      <w:r>
        <w:rPr>
          <w:rFonts w:hint="eastAsia" w:ascii="黑体" w:hAnsi="宋体" w:eastAsia="黑体" w:cs="宋体"/>
          <w:color w:val="000000"/>
          <w:kern w:val="0"/>
          <w:sz w:val="32"/>
          <w:szCs w:val="32"/>
          <w:shd w:val="clear" w:color="auto" w:fill="FFFFFF"/>
          <w:lang w:val="en-US" w:eastAsia="zh-CN"/>
        </w:rPr>
        <w:t>（二）机构职能</w:t>
      </w:r>
    </w:p>
    <w:p>
      <w:pPr>
        <w:ind w:firstLine="320" w:firstLineChars="100"/>
        <w:rPr>
          <w:rFonts w:hint="eastAsia" w:ascii="仿宋_GB2312" w:eastAsia="仿宋_GB2312"/>
          <w:color w:val="333333"/>
          <w:sz w:val="32"/>
          <w:szCs w:val="32"/>
          <w:lang w:val="en-US" w:eastAsia="zh-CN"/>
        </w:rPr>
      </w:pPr>
      <w:r>
        <w:rPr>
          <w:rFonts w:hint="eastAsia" w:ascii="仿宋_GB2312" w:eastAsia="仿宋_GB2312"/>
          <w:color w:val="333333"/>
          <w:sz w:val="32"/>
          <w:szCs w:val="32"/>
          <w:lang w:val="en-US" w:eastAsia="zh-CN"/>
        </w:rPr>
        <w:t>1.负责政府门户网站、方正电子公文交换系统的建设、维护、管理工作；负责全县政府信息公开、指导、收集、报送和督促工作；负责县政府及县政府办公室各种信息的收集、撰写和上报下传，编写印发《政务信息》；负责政府办OA系统、网络设备的运行、维护工作；负责“州长信箱”“县长信箱”来件的转办、督办；办理领导交办的其他工作。</w:t>
      </w:r>
    </w:p>
    <w:p>
      <w:pPr>
        <w:ind w:firstLine="320" w:firstLineChars="100"/>
        <w:rPr>
          <w:rFonts w:hint="eastAsia" w:ascii="仿宋_GB2312" w:eastAsia="仿宋_GB2312"/>
          <w:color w:val="333333"/>
          <w:sz w:val="32"/>
          <w:szCs w:val="32"/>
          <w:lang w:val="en-US" w:eastAsia="zh-CN"/>
        </w:rPr>
      </w:pPr>
      <w:r>
        <w:rPr>
          <w:rFonts w:hint="eastAsia" w:ascii="仿宋_GB2312" w:eastAsia="仿宋_GB2312"/>
          <w:color w:val="333333"/>
          <w:sz w:val="32"/>
          <w:szCs w:val="32"/>
          <w:lang w:val="en-US" w:eastAsia="zh-CN"/>
        </w:rPr>
        <w:t>（三）人员概况</w:t>
      </w:r>
    </w:p>
    <w:p>
      <w:pPr>
        <w:pStyle w:val="18"/>
        <w:spacing w:line="360" w:lineRule="atLeas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（1）编制情况：</w:t>
      </w:r>
      <w:r>
        <w:rPr>
          <w:rFonts w:hint="eastAsia" w:ascii="仿宋_GB2312" w:hAnsi="宋体" w:eastAsia="仿宋_GB2312"/>
          <w:sz w:val="32"/>
          <w:szCs w:val="32"/>
          <w:highlight w:val="none"/>
          <w:lang w:eastAsia="zh-CN"/>
        </w:rPr>
        <w:t>事业</w:t>
      </w:r>
      <w:r>
        <w:rPr>
          <w:rFonts w:hint="eastAsia" w:ascii="仿宋_GB2312" w:hAnsi="宋体" w:eastAsia="仿宋_GB2312"/>
          <w:sz w:val="32"/>
          <w:szCs w:val="32"/>
          <w:highlight w:val="none"/>
        </w:rPr>
        <w:t>人员7人。</w:t>
      </w:r>
    </w:p>
    <w:p>
      <w:pPr>
        <w:widowControl/>
        <w:numPr>
          <w:ilvl w:val="0"/>
          <w:numId w:val="0"/>
        </w:numPr>
        <w:adjustRightInd w:val="0"/>
        <w:snapToGrid w:val="0"/>
        <w:spacing w:line="580" w:lineRule="exact"/>
        <w:ind w:leftChars="200" w:firstLine="320" w:firstLineChars="100"/>
        <w:contextualSpacing/>
        <w:jc w:val="left"/>
        <w:rPr>
          <w:rFonts w:hint="eastAsia" w:ascii="仿宋_GB2312" w:hAnsi="宋体" w:eastAsia="仿宋_GB2312"/>
          <w:sz w:val="32"/>
          <w:szCs w:val="32"/>
          <w:highlight w:val="none"/>
          <w:lang w:eastAsia="zh-CN"/>
        </w:rPr>
      </w:pPr>
      <w:r>
        <w:rPr>
          <w:rFonts w:hint="eastAsia" w:ascii="仿宋_GB2312" w:hAnsi="宋体" w:eastAsia="仿宋_GB2312"/>
          <w:sz w:val="32"/>
          <w:szCs w:val="32"/>
          <w:highlight w:val="none"/>
        </w:rPr>
        <w:t>（2）实际人员情况：事业人员5人</w:t>
      </w:r>
      <w:r>
        <w:rPr>
          <w:rFonts w:hint="eastAsia" w:ascii="仿宋_GB2312" w:hAnsi="宋体" w:eastAsia="仿宋_GB2312"/>
          <w:sz w:val="32"/>
          <w:szCs w:val="32"/>
          <w:highlight w:val="none"/>
          <w:lang w:eastAsia="zh-CN"/>
        </w:rPr>
        <w:t>。</w:t>
      </w:r>
    </w:p>
    <w:p>
      <w:pPr>
        <w:widowControl/>
        <w:numPr>
          <w:ilvl w:val="0"/>
          <w:numId w:val="0"/>
        </w:numPr>
        <w:adjustRightInd w:val="0"/>
        <w:snapToGrid w:val="0"/>
        <w:spacing w:line="580" w:lineRule="exact"/>
        <w:ind w:leftChars="200" w:firstLine="320" w:firstLineChars="100"/>
        <w:contextualSpacing/>
        <w:jc w:val="left"/>
        <w:rPr>
          <w:rFonts w:hint="eastAsia" w:ascii="仿宋_GB2312" w:hAnsi="宋体" w:eastAsia="仿宋_GB2312"/>
          <w:sz w:val="32"/>
          <w:szCs w:val="32"/>
          <w:highlight w:val="none"/>
          <w:lang w:eastAsia="zh-CN"/>
        </w:rPr>
      </w:pPr>
    </w:p>
    <w:p>
      <w:pPr>
        <w:widowControl/>
        <w:numPr>
          <w:ilvl w:val="0"/>
          <w:numId w:val="0"/>
        </w:numPr>
        <w:adjustRightInd w:val="0"/>
        <w:snapToGrid w:val="0"/>
        <w:spacing w:line="580" w:lineRule="exact"/>
        <w:ind w:leftChars="200" w:firstLine="320" w:firstLineChars="100"/>
        <w:contextualSpacing/>
        <w:jc w:val="left"/>
        <w:rPr>
          <w:rFonts w:hint="eastAsia" w:ascii="仿宋_GB2312" w:hAnsi="宋体" w:eastAsia="仿宋_GB2312"/>
          <w:sz w:val="32"/>
          <w:szCs w:val="32"/>
          <w:highlight w:val="none"/>
          <w:lang w:eastAsia="zh-CN"/>
        </w:rPr>
      </w:pPr>
    </w:p>
    <w:p>
      <w:pPr>
        <w:widowControl/>
        <w:numPr>
          <w:ilvl w:val="0"/>
          <w:numId w:val="0"/>
        </w:numPr>
        <w:adjustRightInd w:val="0"/>
        <w:snapToGrid w:val="0"/>
        <w:spacing w:line="580" w:lineRule="exact"/>
        <w:ind w:leftChars="200" w:firstLine="320" w:firstLineChars="100"/>
        <w:contextualSpacing/>
        <w:jc w:val="left"/>
        <w:rPr>
          <w:rFonts w:hint="eastAsia" w:ascii="仿宋_GB2312" w:hAnsi="宋体" w:eastAsia="仿宋_GB2312"/>
          <w:sz w:val="32"/>
          <w:szCs w:val="32"/>
          <w:highlight w:val="none"/>
          <w:lang w:val="en-US" w:eastAsia="zh-CN"/>
        </w:rPr>
      </w:pPr>
    </w:p>
    <w:p>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二、部门财政资金收支情况</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（一）部门财政资金收入情况。</w:t>
      </w:r>
    </w:p>
    <w:p>
      <w:pPr>
        <w:widowControl/>
        <w:adjustRightInd w:val="0"/>
        <w:snapToGrid w:val="0"/>
        <w:spacing w:line="580" w:lineRule="exact"/>
        <w:ind w:firstLine="640" w:firstLineChars="200"/>
        <w:contextualSpacing/>
        <w:jc w:val="left"/>
        <w:rPr>
          <w:rFonts w:hint="default" w:ascii="仿宋_GB2312" w:hAnsi="宋体" w:eastAsia="仿宋_GB2312" w:cs="宋体"/>
          <w:color w:val="000000"/>
          <w:kern w:val="0"/>
          <w:sz w:val="32"/>
          <w:szCs w:val="32"/>
          <w:shd w:val="clear" w:color="auto" w:fill="FFFFFF"/>
          <w:lang w:val="en-US" w:eastAsia="zh-CN"/>
        </w:rPr>
      </w:pPr>
      <w:r>
        <w:rPr>
          <w:rFonts w:hint="eastAsia" w:ascii="仿宋_GB2312" w:hAnsi="宋体" w:eastAsia="仿宋_GB2312" w:cs="宋体"/>
          <w:color w:val="000000"/>
          <w:kern w:val="0"/>
          <w:sz w:val="32"/>
          <w:szCs w:val="32"/>
          <w:shd w:val="clear" w:color="auto" w:fill="FFFFFF"/>
          <w:lang w:val="en-US" w:eastAsia="zh-CN"/>
        </w:rPr>
        <w:t>2025年财政资金决算收入总额为127.15万元，当年财政拨款收入127.15万元（一般公共服务收入101.43万元，社会保障和就业收入15.07万元，卫生健康收入3.87万元，住房保障收入6.78万元）</w:t>
      </w:r>
    </w:p>
    <w:p>
      <w:pPr>
        <w:widowControl/>
        <w:numPr>
          <w:ilvl w:val="0"/>
          <w:numId w:val="4"/>
        </w:numPr>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部门财政资金支出情况。</w:t>
      </w:r>
    </w:p>
    <w:p>
      <w:pPr>
        <w:widowControl/>
        <w:numPr>
          <w:ilvl w:val="0"/>
          <w:numId w:val="0"/>
        </w:numPr>
        <w:adjustRightInd w:val="0"/>
        <w:snapToGrid w:val="0"/>
        <w:spacing w:line="580" w:lineRule="exact"/>
        <w:contextualSpacing/>
        <w:jc w:val="left"/>
        <w:rPr>
          <w:rFonts w:hint="default" w:ascii="仿宋_GB2312" w:hAnsi="宋体" w:eastAsia="仿宋_GB2312" w:cs="宋体"/>
          <w:color w:val="000000"/>
          <w:kern w:val="0"/>
          <w:sz w:val="32"/>
          <w:szCs w:val="32"/>
          <w:shd w:val="clear" w:color="auto" w:fill="FFFFFF"/>
          <w:lang w:val="en-US" w:eastAsia="zh-CN"/>
        </w:rPr>
      </w:pPr>
      <w:r>
        <w:rPr>
          <w:rFonts w:hint="eastAsia" w:ascii="仿宋_GB2312" w:hAnsi="宋体" w:eastAsia="仿宋_GB2312" w:cs="宋体"/>
          <w:color w:val="000000"/>
          <w:kern w:val="0"/>
          <w:sz w:val="32"/>
          <w:szCs w:val="32"/>
          <w:shd w:val="clear" w:color="auto" w:fill="FFFFFF"/>
          <w:lang w:val="en-US" w:eastAsia="zh-CN"/>
        </w:rPr>
        <w:t xml:space="preserve">  2025年财政资金支出总额127.15万元，财政拨款支出127.15万元（一般公共服务支出101.43万元，社会保障和就业支出15.07万元，卫生健康支出3.87万元，保障住房支出6.78万元。）</w:t>
      </w:r>
    </w:p>
    <w:p>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三、部门整体预算绩效管理情况</w:t>
      </w:r>
    </w:p>
    <w:p>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（一）部门预算管理。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bidi w:val="0"/>
        <w:spacing w:before="0" w:beforeAutospacing="0" w:after="0" w:afterAutospacing="0" w:line="576" w:lineRule="atLeast"/>
        <w:ind w:left="0" w:right="0" w:firstLine="640"/>
        <w:jc w:val="both"/>
        <w:rPr>
          <w:rFonts w:hint="default" w:ascii="Times New Roman" w:hAnsi="Times New Roman" w:cs="Times New Roman"/>
          <w:b w:val="0"/>
          <w:bCs w:val="0"/>
          <w:i w:val="0"/>
          <w:iCs w:val="0"/>
          <w:caps w:val="0"/>
          <w:color w:val="333333"/>
          <w:spacing w:val="0"/>
          <w:sz w:val="21"/>
          <w:szCs w:val="21"/>
        </w:rPr>
      </w:pPr>
      <w:r>
        <w:rPr>
          <w:rFonts w:ascii="仿宋_GB2312" w:hAnsi="Times New Roman" w:eastAsia="仿宋_GB2312" w:cs="仿宋_GB2312"/>
          <w:b w:val="0"/>
          <w:bCs w:val="0"/>
          <w:i w:val="0"/>
          <w:iCs w:val="0"/>
          <w:caps w:val="0"/>
          <w:color w:val="333333"/>
          <w:spacing w:val="0"/>
          <w:kern w:val="0"/>
          <w:sz w:val="32"/>
          <w:szCs w:val="32"/>
          <w:shd w:val="clear" w:fill="FFFFFF"/>
          <w:vertAlign w:val="baseline"/>
          <w:lang w:val="en-US" w:eastAsia="zh-CN" w:bidi="ar"/>
        </w:rPr>
        <w:t>支出总额控制在预算总额以内，本年部门年初预算有关经费预算不足于保持正常运转，在总额内进行调整；我办预算内在取得财政局的年度预算批复时，随批复一同进行了下达；“三公”经费总体控制较好，未超本年预算和上年决算支出。</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严格按照县级部门预决算编制通知和相关要求，按时完成编制工作，并按时提交相关资料。</w:t>
      </w:r>
    </w:p>
    <w:p>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包括部门绩效目标制定、目标实现、预算编制准确、支出控制、预算动态调整、执行进度、预算完成情况和违规记录等情况。</w:t>
      </w:r>
    </w:p>
    <w:p>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（二）结果应用情况。</w:t>
      </w:r>
    </w:p>
    <w:p>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包括绩效自评公开、评价结果整改和应用结果反馈等情况。</w:t>
      </w:r>
    </w:p>
    <w:p>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四、评价结论及建议</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（一）评价结论。</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仿宋_GB2312"/>
          <w:b w:val="0"/>
          <w:bCs w:val="0"/>
          <w:i w:val="0"/>
          <w:iCs w:val="0"/>
          <w:caps w:val="0"/>
          <w:color w:val="333333"/>
          <w:spacing w:val="0"/>
          <w:sz w:val="32"/>
          <w:szCs w:val="32"/>
          <w:shd w:val="clear" w:fill="FFFFFF"/>
          <w:lang w:eastAsia="zh-CN"/>
        </w:rPr>
        <w:t>我单位</w:t>
      </w:r>
      <w:r>
        <w:rPr>
          <w:rFonts w:ascii="仿宋_GB2312" w:hAnsi="宋体" w:eastAsia="仿宋_GB2312" w:cs="仿宋_GB2312"/>
          <w:b w:val="0"/>
          <w:bCs w:val="0"/>
          <w:i w:val="0"/>
          <w:iCs w:val="0"/>
          <w:caps w:val="0"/>
          <w:color w:val="333333"/>
          <w:spacing w:val="0"/>
          <w:sz w:val="32"/>
          <w:szCs w:val="32"/>
          <w:shd w:val="clear" w:fill="FFFFFF"/>
        </w:rPr>
        <w:t>部门预算执行情况良好，无不良记录及违规违纪行为，预算支出和决算支出情况相符。根据绩效评价工作要求，我们对自评工作实施方案进行了认真的研究和部署，是自评工作得以顺利开展，并取得了较好的效果。</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（二）存在问题。</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sz w:val="32"/>
          <w:szCs w:val="32"/>
          <w:lang w:val="zh-CN"/>
        </w:rPr>
        <w:t>制定合理的评价指标体系工作难度较大，绩效评价是一项复杂的系统工作、涉及面广、操作难度大。</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（三）改进建议。</w:t>
      </w:r>
    </w:p>
    <w:p>
      <w:pPr>
        <w:adjustRightInd w:val="0"/>
        <w:snapToGrid w:val="0"/>
        <w:spacing w:line="600" w:lineRule="exact"/>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针对此次项目自评中发现的问题，进一步提高单位项目绩效运行监控制度建设，确保实现工作目标和任务，并通过调研及各项检查工作的开展，进一步对发现的问题深入研究分析，广纳民意，民主监督。</w:t>
      </w:r>
    </w:p>
    <w:p>
      <w:pPr>
        <w:spacing w:line="580" w:lineRule="exact"/>
        <w:ind w:firstLine="640" w:firstLineChars="200"/>
        <w:rPr>
          <w:rFonts w:ascii="仿宋_GB2312" w:hAnsi="仿宋_GB2312" w:eastAsia="仿宋_GB2312" w:cs="仿宋_GB2312"/>
          <w:sz w:val="32"/>
          <w:szCs w:val="32"/>
        </w:rPr>
      </w:pPr>
    </w:p>
    <w:p>
      <w:pPr>
        <w:spacing w:line="580" w:lineRule="exact"/>
        <w:ind w:firstLine="640" w:firstLineChars="200"/>
        <w:rPr>
          <w:rFonts w:ascii="仿宋_GB2312" w:hAnsi="仿宋_GB2312" w:eastAsia="仿宋_GB2312" w:cs="仿宋_GB2312"/>
          <w:sz w:val="32"/>
          <w:szCs w:val="32"/>
        </w:rPr>
      </w:pPr>
    </w:p>
    <w:p>
      <w:pPr>
        <w:spacing w:line="580" w:lineRule="exact"/>
        <w:ind w:firstLine="640" w:firstLineChars="200"/>
        <w:rPr>
          <w:rFonts w:ascii="仿宋_GB2312" w:hAnsi="仿宋_GB2312" w:eastAsia="仿宋_GB2312" w:cs="仿宋_GB2312"/>
          <w:sz w:val="32"/>
          <w:szCs w:val="32"/>
        </w:rPr>
      </w:pPr>
    </w:p>
    <w:p>
      <w:pPr>
        <w:spacing w:line="580" w:lineRule="exact"/>
        <w:ind w:firstLine="640" w:firstLineChars="200"/>
        <w:rPr>
          <w:rFonts w:ascii="仿宋_GB2312" w:hAnsi="仿宋_GB2312" w:eastAsia="仿宋_GB2312" w:cs="仿宋_GB2312"/>
          <w:sz w:val="32"/>
          <w:szCs w:val="32"/>
        </w:rPr>
      </w:pPr>
    </w:p>
    <w:p>
      <w:pPr>
        <w:spacing w:line="580" w:lineRule="exact"/>
        <w:ind w:firstLine="640" w:firstLineChars="200"/>
        <w:rPr>
          <w:rFonts w:ascii="仿宋_GB2312" w:hAnsi="仿宋_GB2312" w:eastAsia="仿宋_GB2312" w:cs="仿宋_GB2312"/>
          <w:sz w:val="32"/>
          <w:szCs w:val="32"/>
        </w:rPr>
      </w:pPr>
    </w:p>
    <w:p>
      <w:pPr>
        <w:spacing w:line="580" w:lineRule="exact"/>
        <w:rPr>
          <w:rFonts w:ascii="仿宋_GB2312" w:hAnsi="仿宋_GB2312" w:eastAsia="仿宋_GB2312" w:cs="仿宋_GB2312"/>
          <w:sz w:val="32"/>
          <w:szCs w:val="32"/>
        </w:rPr>
      </w:pPr>
    </w:p>
    <w:p>
      <w:pPr>
        <w:spacing w:line="58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第五部分附表</w:t>
      </w:r>
      <w:bookmarkStart w:id="114" w:name="_Toc79163636"/>
      <w:bookmarkStart w:id="115" w:name="_Toc15396619"/>
    </w:p>
    <w:p>
      <w:pPr>
        <w:numPr>
          <w:ilvl w:val="0"/>
          <w:numId w:val="5"/>
        </w:numPr>
        <w:spacing w:line="580" w:lineRule="exact"/>
        <w:jc w:val="both"/>
        <w:rPr>
          <w:rStyle w:val="24"/>
          <w:rFonts w:hint="eastAsia" w:ascii="仿宋_GB2312" w:hAnsi="仿宋_GB2312" w:eastAsia="仿宋_GB2312" w:cs="仿宋_GB2312"/>
          <w:b w:val="0"/>
          <w:bCs w:val="0"/>
          <w:sz w:val="32"/>
          <w:szCs w:val="32"/>
        </w:rPr>
      </w:pPr>
      <w:r>
        <w:rPr>
          <w:rFonts w:hint="eastAsia" w:ascii="仿宋_GB2312" w:hAnsi="仿宋_GB2312" w:eastAsia="仿宋_GB2312" w:cs="仿宋_GB2312"/>
          <w:b w:val="0"/>
          <w:color w:val="000000"/>
          <w:sz w:val="32"/>
          <w:szCs w:val="32"/>
        </w:rPr>
        <w:t>收</w:t>
      </w:r>
      <w:r>
        <w:rPr>
          <w:rStyle w:val="24"/>
          <w:rFonts w:hint="eastAsia" w:ascii="仿宋_GB2312" w:hAnsi="仿宋_GB2312" w:eastAsia="仿宋_GB2312" w:cs="仿宋_GB2312"/>
          <w:b w:val="0"/>
          <w:bCs w:val="0"/>
          <w:sz w:val="32"/>
          <w:szCs w:val="32"/>
        </w:rPr>
        <w:t>入支出决算总表</w:t>
      </w:r>
      <w:bookmarkEnd w:id="114"/>
      <w:bookmarkEnd w:id="115"/>
      <w:bookmarkStart w:id="116" w:name="_Toc79163637"/>
      <w:bookmarkStart w:id="117" w:name="_Toc15396620"/>
    </w:p>
    <w:p>
      <w:pPr>
        <w:numPr>
          <w:ilvl w:val="0"/>
          <w:numId w:val="5"/>
        </w:numPr>
        <w:spacing w:line="580" w:lineRule="exact"/>
        <w:ind w:left="0" w:leftChars="0" w:firstLine="0" w:firstLineChars="0"/>
        <w:jc w:val="both"/>
        <w:rPr>
          <w:rStyle w:val="24"/>
          <w:rFonts w:hint="eastAsia" w:ascii="仿宋_GB2312" w:hAnsi="仿宋_GB2312" w:eastAsia="仿宋_GB2312" w:cs="仿宋_GB2312"/>
          <w:b w:val="0"/>
          <w:bCs w:val="0"/>
          <w:sz w:val="32"/>
          <w:szCs w:val="32"/>
        </w:rPr>
      </w:pPr>
      <w:r>
        <w:rPr>
          <w:rFonts w:hint="eastAsia" w:ascii="仿宋_GB2312" w:hAnsi="仿宋_GB2312" w:eastAsia="仿宋_GB2312" w:cs="仿宋_GB2312"/>
          <w:b w:val="0"/>
          <w:color w:val="000000"/>
          <w:sz w:val="32"/>
          <w:szCs w:val="32"/>
        </w:rPr>
        <w:t>收</w:t>
      </w:r>
      <w:r>
        <w:rPr>
          <w:rStyle w:val="24"/>
          <w:rFonts w:hint="eastAsia" w:ascii="仿宋_GB2312" w:hAnsi="仿宋_GB2312" w:eastAsia="仿宋_GB2312" w:cs="仿宋_GB2312"/>
          <w:b w:val="0"/>
          <w:bCs w:val="0"/>
          <w:sz w:val="32"/>
          <w:szCs w:val="32"/>
        </w:rPr>
        <w:t>入决算表</w:t>
      </w:r>
      <w:bookmarkEnd w:id="116"/>
      <w:bookmarkEnd w:id="117"/>
      <w:bookmarkStart w:id="118" w:name="_Toc15396621"/>
      <w:bookmarkStart w:id="119" w:name="_Toc79163638"/>
    </w:p>
    <w:p>
      <w:pPr>
        <w:numPr>
          <w:ilvl w:val="0"/>
          <w:numId w:val="5"/>
        </w:numPr>
        <w:spacing w:line="580" w:lineRule="exact"/>
        <w:ind w:left="0" w:leftChars="0" w:firstLine="0" w:firstLineChars="0"/>
        <w:jc w:val="both"/>
        <w:rPr>
          <w:rStyle w:val="24"/>
          <w:rFonts w:hint="eastAsia" w:ascii="仿宋_GB2312" w:hAnsi="仿宋_GB2312" w:eastAsia="仿宋_GB2312" w:cs="仿宋_GB2312"/>
          <w:b w:val="0"/>
          <w:bCs w:val="0"/>
          <w:sz w:val="32"/>
          <w:szCs w:val="32"/>
        </w:rPr>
      </w:pPr>
      <w:r>
        <w:rPr>
          <w:rFonts w:hint="eastAsia" w:ascii="仿宋_GB2312" w:hAnsi="仿宋_GB2312" w:eastAsia="仿宋_GB2312" w:cs="仿宋_GB2312"/>
          <w:b w:val="0"/>
          <w:color w:val="000000"/>
          <w:sz w:val="32"/>
          <w:szCs w:val="32"/>
        </w:rPr>
        <w:t>支</w:t>
      </w:r>
      <w:r>
        <w:rPr>
          <w:rStyle w:val="24"/>
          <w:rFonts w:hint="eastAsia" w:ascii="仿宋_GB2312" w:hAnsi="仿宋_GB2312" w:eastAsia="仿宋_GB2312" w:cs="仿宋_GB2312"/>
          <w:b w:val="0"/>
          <w:bCs w:val="0"/>
          <w:sz w:val="32"/>
          <w:szCs w:val="32"/>
        </w:rPr>
        <w:t>出决算表</w:t>
      </w:r>
      <w:bookmarkEnd w:id="118"/>
      <w:bookmarkEnd w:id="119"/>
      <w:bookmarkStart w:id="120" w:name="_Toc79163639"/>
      <w:bookmarkStart w:id="121" w:name="_Toc15396622"/>
    </w:p>
    <w:p>
      <w:pPr>
        <w:numPr>
          <w:ilvl w:val="0"/>
          <w:numId w:val="5"/>
        </w:numPr>
        <w:spacing w:line="580" w:lineRule="exact"/>
        <w:ind w:left="0" w:leftChars="0" w:firstLine="0" w:firstLineChars="0"/>
        <w:jc w:val="both"/>
        <w:rPr>
          <w:rStyle w:val="24"/>
          <w:rFonts w:hint="eastAsia" w:ascii="仿宋_GB2312" w:hAnsi="仿宋_GB2312" w:eastAsia="仿宋_GB2312" w:cs="仿宋_GB2312"/>
          <w:b w:val="0"/>
          <w:bCs w:val="0"/>
          <w:sz w:val="32"/>
          <w:szCs w:val="32"/>
        </w:rPr>
      </w:pPr>
      <w:r>
        <w:rPr>
          <w:rFonts w:hint="eastAsia" w:ascii="仿宋_GB2312" w:hAnsi="仿宋_GB2312" w:eastAsia="仿宋_GB2312" w:cs="仿宋_GB2312"/>
          <w:b w:val="0"/>
          <w:color w:val="000000"/>
          <w:sz w:val="32"/>
          <w:szCs w:val="32"/>
        </w:rPr>
        <w:t>财</w:t>
      </w:r>
      <w:r>
        <w:rPr>
          <w:rStyle w:val="24"/>
          <w:rFonts w:hint="eastAsia" w:ascii="仿宋_GB2312" w:hAnsi="仿宋_GB2312" w:eastAsia="仿宋_GB2312" w:cs="仿宋_GB2312"/>
          <w:b w:val="0"/>
          <w:bCs w:val="0"/>
          <w:sz w:val="32"/>
          <w:szCs w:val="32"/>
        </w:rPr>
        <w:t>政拨款收入支出决算总表</w:t>
      </w:r>
      <w:bookmarkEnd w:id="120"/>
      <w:bookmarkEnd w:id="121"/>
      <w:bookmarkStart w:id="122" w:name="_Toc15396623"/>
      <w:bookmarkStart w:id="123" w:name="_Toc79163640"/>
    </w:p>
    <w:p>
      <w:pPr>
        <w:numPr>
          <w:ilvl w:val="0"/>
          <w:numId w:val="5"/>
        </w:numPr>
        <w:spacing w:line="580" w:lineRule="exact"/>
        <w:ind w:left="0" w:leftChars="0" w:firstLine="0" w:firstLineChars="0"/>
        <w:jc w:val="both"/>
        <w:rPr>
          <w:rStyle w:val="24"/>
          <w:rFonts w:hint="eastAsia" w:ascii="仿宋_GB2312" w:hAnsi="仿宋_GB2312" w:eastAsia="仿宋_GB2312" w:cs="仿宋_GB2312"/>
          <w:b w:val="0"/>
          <w:bCs w:val="0"/>
          <w:sz w:val="32"/>
          <w:szCs w:val="32"/>
        </w:rPr>
      </w:pPr>
      <w:r>
        <w:rPr>
          <w:rFonts w:hint="eastAsia" w:ascii="仿宋_GB2312" w:hAnsi="仿宋_GB2312" w:eastAsia="仿宋_GB2312" w:cs="仿宋_GB2312"/>
          <w:b w:val="0"/>
          <w:color w:val="000000"/>
          <w:sz w:val="32"/>
          <w:szCs w:val="32"/>
        </w:rPr>
        <w:t>财</w:t>
      </w:r>
      <w:r>
        <w:rPr>
          <w:rStyle w:val="24"/>
          <w:rFonts w:hint="eastAsia" w:ascii="仿宋_GB2312" w:hAnsi="仿宋_GB2312" w:eastAsia="仿宋_GB2312" w:cs="仿宋_GB2312"/>
          <w:b w:val="0"/>
          <w:bCs w:val="0"/>
          <w:sz w:val="32"/>
          <w:szCs w:val="32"/>
        </w:rPr>
        <w:t>政拨款支出决算明细表</w:t>
      </w:r>
      <w:bookmarkEnd w:id="122"/>
      <w:bookmarkEnd w:id="123"/>
      <w:bookmarkStart w:id="124" w:name="_Toc15396624"/>
      <w:bookmarkStart w:id="125" w:name="_Toc79163641"/>
    </w:p>
    <w:p>
      <w:pPr>
        <w:numPr>
          <w:ilvl w:val="0"/>
          <w:numId w:val="5"/>
        </w:numPr>
        <w:spacing w:line="580" w:lineRule="exact"/>
        <w:ind w:left="0" w:leftChars="0" w:firstLine="0" w:firstLineChars="0"/>
        <w:jc w:val="both"/>
        <w:rPr>
          <w:rStyle w:val="24"/>
          <w:rFonts w:hint="eastAsia" w:ascii="仿宋_GB2312" w:hAnsi="仿宋_GB2312" w:eastAsia="仿宋_GB2312" w:cs="仿宋_GB2312"/>
          <w:b w:val="0"/>
          <w:bCs w:val="0"/>
          <w:sz w:val="32"/>
          <w:szCs w:val="32"/>
        </w:rPr>
      </w:pPr>
      <w:r>
        <w:rPr>
          <w:rFonts w:hint="eastAsia" w:ascii="仿宋_GB2312" w:hAnsi="仿宋_GB2312" w:eastAsia="仿宋_GB2312" w:cs="仿宋_GB2312"/>
          <w:b w:val="0"/>
          <w:color w:val="000000"/>
          <w:sz w:val="32"/>
          <w:szCs w:val="32"/>
        </w:rPr>
        <w:t>一</w:t>
      </w:r>
      <w:r>
        <w:rPr>
          <w:rStyle w:val="24"/>
          <w:rFonts w:hint="eastAsia" w:ascii="仿宋_GB2312" w:hAnsi="仿宋_GB2312" w:eastAsia="仿宋_GB2312" w:cs="仿宋_GB2312"/>
          <w:b w:val="0"/>
          <w:bCs w:val="0"/>
          <w:sz w:val="32"/>
          <w:szCs w:val="32"/>
        </w:rPr>
        <w:t>般公共预算财政拨款支出决算表</w:t>
      </w:r>
      <w:bookmarkEnd w:id="124"/>
      <w:bookmarkEnd w:id="125"/>
      <w:bookmarkStart w:id="126" w:name="_Toc15396625"/>
      <w:bookmarkStart w:id="127" w:name="_Toc79163642"/>
    </w:p>
    <w:p>
      <w:pPr>
        <w:numPr>
          <w:ilvl w:val="0"/>
          <w:numId w:val="5"/>
        </w:numPr>
        <w:spacing w:line="580" w:lineRule="exact"/>
        <w:ind w:left="0" w:leftChars="0" w:firstLine="0" w:firstLineChars="0"/>
        <w:jc w:val="both"/>
        <w:rPr>
          <w:rStyle w:val="24"/>
          <w:rFonts w:hint="eastAsia" w:ascii="仿宋_GB2312" w:hAnsi="仿宋_GB2312" w:eastAsia="仿宋_GB2312" w:cs="仿宋_GB2312"/>
          <w:b w:val="0"/>
          <w:bCs w:val="0"/>
          <w:sz w:val="32"/>
          <w:szCs w:val="32"/>
        </w:rPr>
      </w:pPr>
      <w:r>
        <w:rPr>
          <w:rFonts w:hint="eastAsia" w:ascii="仿宋_GB2312" w:hAnsi="仿宋_GB2312" w:eastAsia="仿宋_GB2312" w:cs="仿宋_GB2312"/>
          <w:b w:val="0"/>
          <w:color w:val="000000"/>
          <w:sz w:val="32"/>
          <w:szCs w:val="32"/>
        </w:rPr>
        <w:t>一</w:t>
      </w:r>
      <w:r>
        <w:rPr>
          <w:rStyle w:val="24"/>
          <w:rFonts w:hint="eastAsia" w:ascii="仿宋_GB2312" w:hAnsi="仿宋_GB2312" w:eastAsia="仿宋_GB2312" w:cs="仿宋_GB2312"/>
          <w:b w:val="0"/>
          <w:bCs w:val="0"/>
          <w:sz w:val="32"/>
          <w:szCs w:val="32"/>
        </w:rPr>
        <w:t>般公共预算财政拨款支出决算明细表</w:t>
      </w:r>
      <w:bookmarkEnd w:id="126"/>
      <w:bookmarkEnd w:id="127"/>
      <w:bookmarkStart w:id="128" w:name="_Toc79163643"/>
      <w:bookmarkStart w:id="129" w:name="_Toc15396626"/>
    </w:p>
    <w:p>
      <w:pPr>
        <w:numPr>
          <w:ilvl w:val="0"/>
          <w:numId w:val="5"/>
        </w:numPr>
        <w:spacing w:line="580" w:lineRule="exact"/>
        <w:ind w:left="0" w:leftChars="0" w:firstLine="0" w:firstLineChars="0"/>
        <w:jc w:val="both"/>
        <w:rPr>
          <w:rStyle w:val="24"/>
          <w:rFonts w:hint="eastAsia" w:ascii="仿宋_GB2312" w:hAnsi="仿宋_GB2312" w:eastAsia="仿宋_GB2312" w:cs="仿宋_GB2312"/>
          <w:b w:val="0"/>
          <w:bCs w:val="0"/>
          <w:sz w:val="32"/>
          <w:szCs w:val="32"/>
        </w:rPr>
      </w:pPr>
      <w:r>
        <w:rPr>
          <w:rFonts w:hint="eastAsia" w:ascii="仿宋_GB2312" w:hAnsi="仿宋_GB2312" w:eastAsia="仿宋_GB2312" w:cs="仿宋_GB2312"/>
          <w:b w:val="0"/>
          <w:color w:val="000000"/>
          <w:sz w:val="32"/>
          <w:szCs w:val="32"/>
        </w:rPr>
        <w:t>一</w:t>
      </w:r>
      <w:r>
        <w:rPr>
          <w:rStyle w:val="24"/>
          <w:rFonts w:hint="eastAsia" w:ascii="仿宋_GB2312" w:hAnsi="仿宋_GB2312" w:eastAsia="仿宋_GB2312" w:cs="仿宋_GB2312"/>
          <w:b w:val="0"/>
          <w:bCs w:val="0"/>
          <w:sz w:val="32"/>
          <w:szCs w:val="32"/>
        </w:rPr>
        <w:t>般公共预算财政拨款基本支出决算表</w:t>
      </w:r>
      <w:bookmarkEnd w:id="128"/>
      <w:bookmarkEnd w:id="129"/>
      <w:bookmarkStart w:id="130" w:name="_Toc79163644"/>
      <w:bookmarkStart w:id="131" w:name="_Toc15396627"/>
    </w:p>
    <w:p>
      <w:pPr>
        <w:numPr>
          <w:ilvl w:val="0"/>
          <w:numId w:val="5"/>
        </w:numPr>
        <w:spacing w:line="580" w:lineRule="exact"/>
        <w:ind w:left="0" w:leftChars="0" w:firstLine="0" w:firstLineChars="0"/>
        <w:jc w:val="both"/>
        <w:rPr>
          <w:rStyle w:val="24"/>
          <w:rFonts w:hint="eastAsia" w:ascii="仿宋_GB2312" w:hAnsi="仿宋_GB2312" w:eastAsia="仿宋_GB2312" w:cs="仿宋_GB2312"/>
          <w:b w:val="0"/>
          <w:bCs w:val="0"/>
          <w:sz w:val="32"/>
          <w:szCs w:val="32"/>
        </w:rPr>
      </w:pPr>
      <w:r>
        <w:rPr>
          <w:rFonts w:hint="eastAsia" w:ascii="仿宋_GB2312" w:hAnsi="仿宋_GB2312" w:eastAsia="仿宋_GB2312" w:cs="仿宋_GB2312"/>
          <w:b w:val="0"/>
          <w:color w:val="000000"/>
          <w:sz w:val="32"/>
          <w:szCs w:val="32"/>
        </w:rPr>
        <w:t>一</w:t>
      </w:r>
      <w:r>
        <w:rPr>
          <w:rStyle w:val="24"/>
          <w:rFonts w:hint="eastAsia" w:ascii="仿宋_GB2312" w:hAnsi="仿宋_GB2312" w:eastAsia="仿宋_GB2312" w:cs="仿宋_GB2312"/>
          <w:b w:val="0"/>
          <w:bCs w:val="0"/>
          <w:sz w:val="32"/>
          <w:szCs w:val="32"/>
        </w:rPr>
        <w:t>般公共预算财政拨款项目支出决算表</w:t>
      </w:r>
      <w:bookmarkEnd w:id="130"/>
      <w:bookmarkEnd w:id="131"/>
      <w:bookmarkStart w:id="132" w:name="_Toc15396628"/>
      <w:bookmarkStart w:id="133" w:name="_Toc79163645"/>
    </w:p>
    <w:p>
      <w:pPr>
        <w:numPr>
          <w:ilvl w:val="0"/>
          <w:numId w:val="5"/>
        </w:numPr>
        <w:spacing w:line="580" w:lineRule="exact"/>
        <w:ind w:left="0" w:leftChars="0" w:firstLine="0" w:firstLineChars="0"/>
        <w:jc w:val="both"/>
        <w:rPr>
          <w:rStyle w:val="24"/>
          <w:rFonts w:hint="eastAsia" w:ascii="仿宋_GB2312" w:hAnsi="仿宋_GB2312" w:eastAsia="仿宋_GB2312" w:cs="仿宋_GB2312"/>
          <w:b w:val="0"/>
          <w:bCs w:val="0"/>
          <w:sz w:val="32"/>
          <w:szCs w:val="32"/>
        </w:rPr>
      </w:pPr>
      <w:r>
        <w:rPr>
          <w:rFonts w:hint="eastAsia" w:ascii="仿宋_GB2312" w:hAnsi="仿宋_GB2312" w:eastAsia="仿宋_GB2312" w:cs="仿宋_GB2312"/>
          <w:b w:val="0"/>
          <w:color w:val="000000"/>
          <w:sz w:val="32"/>
          <w:szCs w:val="32"/>
        </w:rPr>
        <w:t>一</w:t>
      </w:r>
      <w:r>
        <w:rPr>
          <w:rStyle w:val="24"/>
          <w:rFonts w:hint="eastAsia" w:ascii="仿宋_GB2312" w:hAnsi="仿宋_GB2312" w:eastAsia="仿宋_GB2312" w:cs="仿宋_GB2312"/>
          <w:b w:val="0"/>
          <w:bCs w:val="0"/>
          <w:sz w:val="32"/>
          <w:szCs w:val="32"/>
        </w:rPr>
        <w:t>般公共预算财政拨款“三公”经费支出决算表</w:t>
      </w:r>
      <w:bookmarkEnd w:id="132"/>
      <w:bookmarkEnd w:id="133"/>
      <w:bookmarkStart w:id="134" w:name="_Toc79163646"/>
      <w:bookmarkStart w:id="135" w:name="_Toc15396629"/>
    </w:p>
    <w:p>
      <w:pPr>
        <w:numPr>
          <w:ilvl w:val="0"/>
          <w:numId w:val="5"/>
        </w:numPr>
        <w:spacing w:line="580" w:lineRule="exact"/>
        <w:ind w:left="0" w:leftChars="0" w:firstLine="0" w:firstLineChars="0"/>
        <w:jc w:val="both"/>
        <w:rPr>
          <w:rStyle w:val="24"/>
          <w:rFonts w:hint="eastAsia" w:ascii="仿宋_GB2312" w:hAnsi="仿宋_GB2312" w:eastAsia="仿宋_GB2312" w:cs="仿宋_GB2312"/>
          <w:b w:val="0"/>
          <w:bCs w:val="0"/>
          <w:sz w:val="32"/>
          <w:szCs w:val="32"/>
        </w:rPr>
      </w:pPr>
      <w:r>
        <w:rPr>
          <w:rFonts w:hint="eastAsia" w:ascii="仿宋_GB2312" w:hAnsi="仿宋_GB2312" w:eastAsia="仿宋_GB2312" w:cs="仿宋_GB2312"/>
          <w:b w:val="0"/>
          <w:color w:val="000000"/>
          <w:sz w:val="32"/>
          <w:szCs w:val="32"/>
        </w:rPr>
        <w:t>政</w:t>
      </w:r>
      <w:r>
        <w:rPr>
          <w:rStyle w:val="24"/>
          <w:rFonts w:hint="eastAsia" w:ascii="仿宋_GB2312" w:hAnsi="仿宋_GB2312" w:eastAsia="仿宋_GB2312" w:cs="仿宋_GB2312"/>
          <w:b w:val="0"/>
          <w:bCs w:val="0"/>
          <w:sz w:val="32"/>
          <w:szCs w:val="32"/>
        </w:rPr>
        <w:t>府性基金预算财政拨款收入支出决算表</w:t>
      </w:r>
      <w:bookmarkEnd w:id="134"/>
      <w:bookmarkEnd w:id="135"/>
      <w:bookmarkStart w:id="136" w:name="_Toc79163647"/>
      <w:bookmarkStart w:id="137" w:name="_Toc15396630"/>
    </w:p>
    <w:p>
      <w:pPr>
        <w:numPr>
          <w:ilvl w:val="0"/>
          <w:numId w:val="5"/>
        </w:numPr>
        <w:spacing w:line="580" w:lineRule="exact"/>
        <w:ind w:left="0" w:leftChars="0" w:firstLine="0" w:firstLineChars="0"/>
        <w:jc w:val="both"/>
        <w:rPr>
          <w:rStyle w:val="24"/>
          <w:rFonts w:hint="eastAsia" w:ascii="仿宋_GB2312" w:hAnsi="仿宋_GB2312" w:eastAsia="仿宋_GB2312" w:cs="仿宋_GB2312"/>
          <w:b w:val="0"/>
          <w:bCs w:val="0"/>
          <w:sz w:val="32"/>
          <w:szCs w:val="32"/>
        </w:rPr>
      </w:pPr>
      <w:r>
        <w:rPr>
          <w:rFonts w:hint="eastAsia" w:ascii="仿宋_GB2312" w:hAnsi="仿宋_GB2312" w:eastAsia="仿宋_GB2312" w:cs="仿宋_GB2312"/>
          <w:b w:val="0"/>
          <w:color w:val="000000"/>
          <w:sz w:val="32"/>
          <w:szCs w:val="32"/>
        </w:rPr>
        <w:t>政</w:t>
      </w:r>
      <w:r>
        <w:rPr>
          <w:rStyle w:val="24"/>
          <w:rFonts w:hint="eastAsia" w:ascii="仿宋_GB2312" w:hAnsi="仿宋_GB2312" w:eastAsia="仿宋_GB2312" w:cs="仿宋_GB2312"/>
          <w:b w:val="0"/>
          <w:bCs w:val="0"/>
          <w:sz w:val="32"/>
          <w:szCs w:val="32"/>
        </w:rPr>
        <w:t>府性基金预算财政拨款“三公”经费支出决算表</w:t>
      </w:r>
      <w:bookmarkEnd w:id="136"/>
      <w:bookmarkEnd w:id="137"/>
      <w:bookmarkStart w:id="138" w:name="_Toc15396631"/>
      <w:bookmarkStart w:id="139" w:name="_Toc79163648"/>
    </w:p>
    <w:p>
      <w:pPr>
        <w:numPr>
          <w:ilvl w:val="0"/>
          <w:numId w:val="5"/>
        </w:numPr>
        <w:spacing w:line="580" w:lineRule="exact"/>
        <w:ind w:left="0" w:leftChars="0" w:firstLine="0" w:firstLineChars="0"/>
        <w:jc w:val="both"/>
        <w:rPr>
          <w:rStyle w:val="24"/>
          <w:rFonts w:hint="eastAsia" w:ascii="仿宋_GB2312" w:hAnsi="仿宋_GB2312" w:eastAsia="仿宋_GB2312" w:cs="仿宋_GB2312"/>
          <w:b w:val="0"/>
          <w:bCs w:val="0"/>
          <w:sz w:val="32"/>
          <w:szCs w:val="32"/>
        </w:rPr>
      </w:pPr>
      <w:r>
        <w:rPr>
          <w:rFonts w:hint="eastAsia" w:ascii="仿宋_GB2312" w:hAnsi="仿宋_GB2312" w:eastAsia="仿宋_GB2312" w:cs="仿宋_GB2312"/>
          <w:b w:val="0"/>
          <w:color w:val="000000"/>
          <w:sz w:val="32"/>
          <w:szCs w:val="32"/>
        </w:rPr>
        <w:t>国</w:t>
      </w:r>
      <w:r>
        <w:rPr>
          <w:rStyle w:val="24"/>
          <w:rFonts w:hint="eastAsia" w:ascii="仿宋_GB2312" w:hAnsi="仿宋_GB2312" w:eastAsia="仿宋_GB2312" w:cs="仿宋_GB2312"/>
          <w:b w:val="0"/>
          <w:bCs w:val="0"/>
          <w:sz w:val="32"/>
          <w:szCs w:val="32"/>
        </w:rPr>
        <w:t>有资本经营预算财政拨款支出决算表</w:t>
      </w:r>
      <w:bookmarkEnd w:id="138"/>
      <w:bookmarkEnd w:id="139"/>
      <w:bookmarkStart w:id="140" w:name="_Toc79163649"/>
    </w:p>
    <w:p>
      <w:pPr>
        <w:numPr>
          <w:ilvl w:val="0"/>
          <w:numId w:val="0"/>
        </w:numPr>
        <w:spacing w:line="580" w:lineRule="exact"/>
        <w:ind w:leftChars="0"/>
        <w:jc w:val="both"/>
        <w:rPr>
          <w:rStyle w:val="24"/>
          <w:rFonts w:hint="eastAsia" w:ascii="仿宋_GB2312" w:hAnsi="仿宋_GB2312" w:eastAsia="仿宋_GB2312" w:cs="仿宋_GB2312"/>
          <w:b w:val="0"/>
          <w:bCs w:val="0"/>
          <w:sz w:val="32"/>
          <w:szCs w:val="32"/>
        </w:rPr>
      </w:pPr>
      <w:bookmarkStart w:id="141" w:name="_Toc5980"/>
      <w:r>
        <w:rPr>
          <w:rStyle w:val="24"/>
          <w:rFonts w:hint="eastAsia" w:ascii="仿宋_GB2312" w:hAnsi="仿宋_GB2312" w:eastAsia="仿宋_GB2312" w:cs="仿宋_GB2312"/>
          <w:b w:val="0"/>
          <w:bCs w:val="0"/>
          <w:sz w:val="32"/>
          <w:szCs w:val="32"/>
        </w:rPr>
        <w:t>十四、国有资本经营预算财政拨款支出决算表</w:t>
      </w:r>
      <w:bookmarkEnd w:id="140"/>
    </w:p>
    <w:bookmarkEnd w:id="141"/>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方正小标宋简体">
    <w:altName w:val="Arial Unicode MS"/>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MT Extra">
    <w:panose1 w:val="05050102010205020202"/>
    <w:charset w:val="02"/>
    <w:family w:val="roman"/>
    <w:pitch w:val="default"/>
    <w:sig w:usb0="8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fldChar w:fldCharType="begin"/>
    </w:r>
    <w:r>
      <w:instrText xml:space="preserve">PAGE   \* MERGEFORMAT</w:instrText>
    </w:r>
    <w:r>
      <w:fldChar w:fldCharType="separate"/>
    </w:r>
    <w:r>
      <w:rPr>
        <w:lang w:val="zh-CN"/>
      </w:rPr>
      <w:t>3</w:t>
    </w:r>
    <w:r>
      <w:fldChar w:fldCharType="end"/>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F9107F1"/>
    <w:multiLevelType w:val="singleLevel"/>
    <w:tmpl w:val="9F9107F1"/>
    <w:lvl w:ilvl="0" w:tentative="0">
      <w:start w:val="2"/>
      <w:numFmt w:val="chineseCounting"/>
      <w:suff w:val="nothing"/>
      <w:lvlText w:val="（%1）"/>
      <w:lvlJc w:val="left"/>
      <w:rPr>
        <w:rFonts w:hint="eastAsia"/>
      </w:rPr>
    </w:lvl>
  </w:abstractNum>
  <w:abstractNum w:abstractNumId="1">
    <w:nsid w:val="C68CCF30"/>
    <w:multiLevelType w:val="singleLevel"/>
    <w:tmpl w:val="C68CCF30"/>
    <w:lvl w:ilvl="0" w:tentative="0">
      <w:start w:val="1"/>
      <w:numFmt w:val="chineseCounting"/>
      <w:suff w:val="nothing"/>
      <w:lvlText w:val="%1、"/>
      <w:lvlJc w:val="left"/>
      <w:rPr>
        <w:rFonts w:hint="eastAsia"/>
      </w:rPr>
    </w:lvl>
  </w:abstractNum>
  <w:abstractNum w:abstractNumId="2">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3">
    <w:nsid w:val="E2FA047D"/>
    <w:multiLevelType w:val="singleLevel"/>
    <w:tmpl w:val="E2FA047D"/>
    <w:lvl w:ilvl="0" w:tentative="0">
      <w:start w:val="3"/>
      <w:numFmt w:val="chineseCounting"/>
      <w:suff w:val="space"/>
      <w:lvlText w:val="第%1部分"/>
      <w:lvlJc w:val="left"/>
      <w:rPr>
        <w:rFonts w:hint="eastAsia" w:cs="Times New Roman"/>
      </w:rPr>
    </w:lvl>
  </w:abstractNum>
  <w:abstractNum w:abstractNumId="4">
    <w:nsid w:val="1272550B"/>
    <w:multiLevelType w:val="multilevel"/>
    <w:tmpl w:val="1272550B"/>
    <w:lvl w:ilvl="0" w:tentative="0">
      <w:start w:val="1"/>
      <w:numFmt w:val="japaneseCounting"/>
      <w:lvlText w:val="%1、"/>
      <w:lvlJc w:val="left"/>
      <w:pPr>
        <w:ind w:left="1360" w:hanging="720"/>
      </w:pPr>
      <w:rPr>
        <w:rFonts w:hint="default" w:cs="Times New Roman"/>
        <w:b w:val="0"/>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NhYzBiNDRlNWJlZDJlZTVhMDIxYTgzYjU5ZjczMz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15301"/>
    <w:rsid w:val="001319E1"/>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56262"/>
    <w:rsid w:val="00260C38"/>
    <w:rsid w:val="002616C0"/>
    <w:rsid w:val="00265372"/>
    <w:rsid w:val="002662AA"/>
    <w:rsid w:val="0027224D"/>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E6FE4"/>
    <w:rsid w:val="00406254"/>
    <w:rsid w:val="004223DE"/>
    <w:rsid w:val="00434489"/>
    <w:rsid w:val="00437085"/>
    <w:rsid w:val="00443880"/>
    <w:rsid w:val="00445607"/>
    <w:rsid w:val="004464F4"/>
    <w:rsid w:val="00471401"/>
    <w:rsid w:val="00473F31"/>
    <w:rsid w:val="0048263A"/>
    <w:rsid w:val="00487E5D"/>
    <w:rsid w:val="004A711F"/>
    <w:rsid w:val="004B199D"/>
    <w:rsid w:val="004B4690"/>
    <w:rsid w:val="004D5479"/>
    <w:rsid w:val="004E0A2D"/>
    <w:rsid w:val="004E206B"/>
    <w:rsid w:val="004E6DF7"/>
    <w:rsid w:val="004F0FBD"/>
    <w:rsid w:val="00505A47"/>
    <w:rsid w:val="00512FDA"/>
    <w:rsid w:val="00520DA0"/>
    <w:rsid w:val="005269A7"/>
    <w:rsid w:val="005269D7"/>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45F81"/>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2977"/>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D8"/>
    <w:rsid w:val="00935C98"/>
    <w:rsid w:val="00946945"/>
    <w:rsid w:val="00951248"/>
    <w:rsid w:val="0095152F"/>
    <w:rsid w:val="00954C49"/>
    <w:rsid w:val="00955E37"/>
    <w:rsid w:val="00962656"/>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11E4"/>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0E4E"/>
    <w:rsid w:val="00B944D6"/>
    <w:rsid w:val="00B965DC"/>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4B0"/>
    <w:rsid w:val="00DC7CBA"/>
    <w:rsid w:val="00DD73B7"/>
    <w:rsid w:val="00DF28BC"/>
    <w:rsid w:val="00DF34B9"/>
    <w:rsid w:val="00E01053"/>
    <w:rsid w:val="00E07ACF"/>
    <w:rsid w:val="00E32CAD"/>
    <w:rsid w:val="00E331A1"/>
    <w:rsid w:val="00E33202"/>
    <w:rsid w:val="00E336A9"/>
    <w:rsid w:val="00E472B1"/>
    <w:rsid w:val="00E50624"/>
    <w:rsid w:val="00E568DF"/>
    <w:rsid w:val="00E64269"/>
    <w:rsid w:val="00E70975"/>
    <w:rsid w:val="00E82267"/>
    <w:rsid w:val="00E853CE"/>
    <w:rsid w:val="00E867B6"/>
    <w:rsid w:val="00EA010F"/>
    <w:rsid w:val="00ED1B63"/>
    <w:rsid w:val="00ED3C1F"/>
    <w:rsid w:val="00ED4085"/>
    <w:rsid w:val="00ED420E"/>
    <w:rsid w:val="00ED6FBE"/>
    <w:rsid w:val="00EE2F57"/>
    <w:rsid w:val="00EF4C34"/>
    <w:rsid w:val="00EF60EF"/>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238498C"/>
    <w:rsid w:val="064648E1"/>
    <w:rsid w:val="07DE3F07"/>
    <w:rsid w:val="08E25E9D"/>
    <w:rsid w:val="0A2032A3"/>
    <w:rsid w:val="0ED51891"/>
    <w:rsid w:val="10C055FF"/>
    <w:rsid w:val="118107EC"/>
    <w:rsid w:val="118F0CD1"/>
    <w:rsid w:val="16BB723D"/>
    <w:rsid w:val="184A4628"/>
    <w:rsid w:val="19916126"/>
    <w:rsid w:val="1D155CEE"/>
    <w:rsid w:val="1F1C0DD2"/>
    <w:rsid w:val="21C933B1"/>
    <w:rsid w:val="22AF761A"/>
    <w:rsid w:val="240371BF"/>
    <w:rsid w:val="26A26F4B"/>
    <w:rsid w:val="27AE42E0"/>
    <w:rsid w:val="294B1E55"/>
    <w:rsid w:val="29FD04D3"/>
    <w:rsid w:val="2ABA427C"/>
    <w:rsid w:val="314E503E"/>
    <w:rsid w:val="319F7F4E"/>
    <w:rsid w:val="31C30C49"/>
    <w:rsid w:val="344C4B11"/>
    <w:rsid w:val="35F2245D"/>
    <w:rsid w:val="3A22445B"/>
    <w:rsid w:val="3B8A10B8"/>
    <w:rsid w:val="481451C0"/>
    <w:rsid w:val="4ABA2E05"/>
    <w:rsid w:val="4AF04CDA"/>
    <w:rsid w:val="4ECE2238"/>
    <w:rsid w:val="4ED232B7"/>
    <w:rsid w:val="4F39428D"/>
    <w:rsid w:val="50FC4A40"/>
    <w:rsid w:val="52F06763"/>
    <w:rsid w:val="54355206"/>
    <w:rsid w:val="555F28D7"/>
    <w:rsid w:val="5ADD5E18"/>
    <w:rsid w:val="5BAF0E9F"/>
    <w:rsid w:val="5D866C59"/>
    <w:rsid w:val="5DE064C6"/>
    <w:rsid w:val="5FB63195"/>
    <w:rsid w:val="60970520"/>
    <w:rsid w:val="63AB524A"/>
    <w:rsid w:val="63B45935"/>
    <w:rsid w:val="6C015ED6"/>
    <w:rsid w:val="6C486024"/>
    <w:rsid w:val="6C4A05C8"/>
    <w:rsid w:val="6F76389B"/>
    <w:rsid w:val="72734D90"/>
    <w:rsid w:val="7632089B"/>
    <w:rsid w:val="79831DE1"/>
    <w:rsid w:val="7E470F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4"/>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25"/>
    <w:qFormat/>
    <w:uiPriority w:val="9"/>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unhideWhenUsed/>
    <w:qFormat/>
    <w:uiPriority w:val="39"/>
    <w:pPr>
      <w:ind w:left="1260"/>
      <w:jc w:val="left"/>
    </w:pPr>
    <w:rPr>
      <w:rFonts w:asciiTheme="minorHAnsi" w:eastAsiaTheme="minorHAnsi"/>
      <w:sz w:val="18"/>
      <w:szCs w:val="18"/>
    </w:rPr>
  </w:style>
  <w:style w:type="paragraph" w:styleId="6">
    <w:name w:val="Body Text"/>
    <w:basedOn w:val="1"/>
    <w:link w:val="32"/>
    <w:qFormat/>
    <w:uiPriority w:val="99"/>
    <w:pPr>
      <w:spacing w:beforeLines="30"/>
    </w:pPr>
    <w:rPr>
      <w:rFonts w:ascii="仿宋_GB2312" w:eastAsia="仿宋_GB2312"/>
      <w:kern w:val="0"/>
      <w:sz w:val="24"/>
      <w:szCs w:val="20"/>
      <w:lang w:val="zh-CN" w:eastAsia="zh-CN"/>
    </w:rPr>
  </w:style>
  <w:style w:type="paragraph" w:styleId="7">
    <w:name w:val="toc 5"/>
    <w:basedOn w:val="1"/>
    <w:next w:val="1"/>
    <w:unhideWhenUsed/>
    <w:qFormat/>
    <w:uiPriority w:val="39"/>
    <w:pPr>
      <w:ind w:left="840"/>
      <w:jc w:val="left"/>
    </w:pPr>
    <w:rPr>
      <w:rFonts w:asciiTheme="minorHAnsi" w:eastAsiaTheme="minorHAnsi"/>
      <w:sz w:val="18"/>
      <w:szCs w:val="18"/>
    </w:rPr>
  </w:style>
  <w:style w:type="paragraph" w:styleId="8">
    <w:name w:val="toc 3"/>
    <w:basedOn w:val="1"/>
    <w:next w:val="1"/>
    <w:unhideWhenUsed/>
    <w:qFormat/>
    <w:uiPriority w:val="39"/>
    <w:pPr>
      <w:ind w:left="420"/>
      <w:jc w:val="left"/>
    </w:pPr>
    <w:rPr>
      <w:rFonts w:asciiTheme="minorHAnsi" w:eastAsiaTheme="minorHAnsi"/>
      <w:i/>
      <w:iCs/>
      <w:sz w:val="20"/>
      <w:szCs w:val="20"/>
    </w:rPr>
  </w:style>
  <w:style w:type="paragraph" w:styleId="9">
    <w:name w:val="toc 8"/>
    <w:basedOn w:val="1"/>
    <w:next w:val="1"/>
    <w:unhideWhenUsed/>
    <w:qFormat/>
    <w:uiPriority w:val="39"/>
    <w:pPr>
      <w:ind w:left="1470"/>
      <w:jc w:val="left"/>
    </w:pPr>
    <w:rPr>
      <w:rFonts w:asciiTheme="minorHAnsi" w:eastAsiaTheme="minorHAnsi"/>
      <w:sz w:val="18"/>
      <w:szCs w:val="18"/>
    </w:rPr>
  </w:style>
  <w:style w:type="paragraph" w:styleId="10">
    <w:name w:val="Balloon Text"/>
    <w:basedOn w:val="1"/>
    <w:link w:val="27"/>
    <w:semiHidden/>
    <w:unhideWhenUsed/>
    <w:qFormat/>
    <w:uiPriority w:val="99"/>
    <w:rPr>
      <w:sz w:val="18"/>
      <w:szCs w:val="18"/>
    </w:rPr>
  </w:style>
  <w:style w:type="paragraph" w:styleId="11">
    <w:name w:val="footer"/>
    <w:basedOn w:val="1"/>
    <w:link w:val="31"/>
    <w:qFormat/>
    <w:uiPriority w:val="99"/>
    <w:pPr>
      <w:tabs>
        <w:tab w:val="center" w:pos="4153"/>
        <w:tab w:val="right" w:pos="8306"/>
      </w:tabs>
      <w:snapToGrid w:val="0"/>
      <w:jc w:val="left"/>
    </w:pPr>
    <w:rPr>
      <w:rFonts w:ascii="Calibri" w:hAnsi="Calibri"/>
      <w:kern w:val="0"/>
      <w:sz w:val="18"/>
      <w:szCs w:val="20"/>
      <w:lang w:val="zh-CN" w:eastAsia="zh-CN"/>
    </w:rPr>
  </w:style>
  <w:style w:type="paragraph" w:styleId="12">
    <w:name w:val="header"/>
    <w:basedOn w:val="1"/>
    <w:link w:val="30"/>
    <w:semiHidden/>
    <w:qFormat/>
    <w:uiPriority w:val="99"/>
    <w:pPr>
      <w:pBdr>
        <w:bottom w:val="single" w:color="auto" w:sz="6" w:space="1"/>
      </w:pBdr>
      <w:tabs>
        <w:tab w:val="center" w:pos="4153"/>
        <w:tab w:val="right" w:pos="8306"/>
      </w:tabs>
      <w:snapToGrid w:val="0"/>
      <w:jc w:val="center"/>
    </w:pPr>
    <w:rPr>
      <w:rFonts w:ascii="Calibri" w:hAnsi="Calibri"/>
      <w:kern w:val="0"/>
      <w:sz w:val="18"/>
      <w:szCs w:val="20"/>
      <w:lang w:val="zh-CN" w:eastAsia="zh-CN"/>
    </w:rPr>
  </w:style>
  <w:style w:type="paragraph" w:styleId="13">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14">
    <w:name w:val="toc 4"/>
    <w:basedOn w:val="1"/>
    <w:next w:val="1"/>
    <w:unhideWhenUsed/>
    <w:qFormat/>
    <w:uiPriority w:val="39"/>
    <w:pPr>
      <w:ind w:left="630"/>
      <w:jc w:val="left"/>
    </w:pPr>
    <w:rPr>
      <w:rFonts w:asciiTheme="minorHAnsi" w:eastAsiaTheme="minorHAnsi"/>
      <w:sz w:val="18"/>
      <w:szCs w:val="18"/>
    </w:rPr>
  </w:style>
  <w:style w:type="paragraph" w:styleId="15">
    <w:name w:val="toc 6"/>
    <w:basedOn w:val="1"/>
    <w:next w:val="1"/>
    <w:unhideWhenUsed/>
    <w:qFormat/>
    <w:uiPriority w:val="39"/>
    <w:pPr>
      <w:ind w:left="1050"/>
      <w:jc w:val="left"/>
    </w:pPr>
    <w:rPr>
      <w:rFonts w:asciiTheme="minorHAnsi" w:eastAsiaTheme="minorHAnsi"/>
      <w:sz w:val="18"/>
      <w:szCs w:val="18"/>
    </w:rPr>
  </w:style>
  <w:style w:type="paragraph" w:styleId="16">
    <w:name w:val="toc 2"/>
    <w:basedOn w:val="1"/>
    <w:next w:val="1"/>
    <w:unhideWhenUsed/>
    <w:qFormat/>
    <w:uiPriority w:val="39"/>
    <w:pPr>
      <w:ind w:left="210"/>
      <w:jc w:val="left"/>
    </w:pPr>
    <w:rPr>
      <w:rFonts w:asciiTheme="minorHAnsi" w:eastAsiaTheme="minorHAnsi"/>
      <w:smallCaps/>
      <w:sz w:val="20"/>
      <w:szCs w:val="20"/>
    </w:rPr>
  </w:style>
  <w:style w:type="paragraph" w:styleId="17">
    <w:name w:val="toc 9"/>
    <w:basedOn w:val="1"/>
    <w:next w:val="1"/>
    <w:unhideWhenUsed/>
    <w:qFormat/>
    <w:uiPriority w:val="39"/>
    <w:pPr>
      <w:ind w:left="1680"/>
      <w:jc w:val="left"/>
    </w:pPr>
    <w:rPr>
      <w:rFonts w:asciiTheme="minorHAnsi" w:eastAsiaTheme="minorHAnsi"/>
      <w:sz w:val="18"/>
      <w:szCs w:val="18"/>
    </w:rPr>
  </w:style>
  <w:style w:type="paragraph" w:styleId="1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character" w:styleId="21">
    <w:name w:val="Strong"/>
    <w:basedOn w:val="20"/>
    <w:qFormat/>
    <w:uiPriority w:val="99"/>
    <w:rPr>
      <w:rFonts w:cs="Times New Roman"/>
      <w:b/>
    </w:rPr>
  </w:style>
  <w:style w:type="character" w:styleId="22">
    <w:name w:val="Hyperlink"/>
    <w:basedOn w:val="20"/>
    <w:unhideWhenUsed/>
    <w:qFormat/>
    <w:uiPriority w:val="99"/>
    <w:rPr>
      <w:rFonts w:cs="Times New Roman"/>
      <w:color w:val="0000FF"/>
      <w:u w:val="single"/>
    </w:rPr>
  </w:style>
  <w:style w:type="character" w:customStyle="1" w:styleId="23">
    <w:name w:val="标题 1 字符"/>
    <w:basedOn w:val="20"/>
    <w:link w:val="2"/>
    <w:qFormat/>
    <w:locked/>
    <w:uiPriority w:val="9"/>
    <w:rPr>
      <w:rFonts w:ascii="Times New Roman" w:hAnsi="Times New Roman" w:cs="Times New Roman"/>
      <w:b/>
      <w:bCs/>
      <w:kern w:val="44"/>
      <w:sz w:val="44"/>
      <w:szCs w:val="44"/>
    </w:rPr>
  </w:style>
  <w:style w:type="character" w:customStyle="1" w:styleId="24">
    <w:name w:val="标题 2 字符"/>
    <w:basedOn w:val="20"/>
    <w:link w:val="3"/>
    <w:qFormat/>
    <w:locked/>
    <w:uiPriority w:val="9"/>
    <w:rPr>
      <w:rFonts w:ascii="Cambria" w:hAnsi="Cambria" w:eastAsia="宋体" w:cs="Times New Roman"/>
      <w:b/>
      <w:bCs/>
      <w:kern w:val="2"/>
      <w:sz w:val="32"/>
      <w:szCs w:val="32"/>
    </w:rPr>
  </w:style>
  <w:style w:type="character" w:customStyle="1" w:styleId="25">
    <w:name w:val="标题 3 字符"/>
    <w:basedOn w:val="20"/>
    <w:link w:val="4"/>
    <w:qFormat/>
    <w:locked/>
    <w:uiPriority w:val="9"/>
    <w:rPr>
      <w:rFonts w:ascii="Times New Roman" w:hAnsi="Times New Roman" w:cs="Times New Roman"/>
      <w:b/>
      <w:bCs/>
      <w:kern w:val="2"/>
      <w:sz w:val="32"/>
      <w:szCs w:val="32"/>
    </w:rPr>
  </w:style>
  <w:style w:type="character" w:customStyle="1" w:styleId="26">
    <w:name w:val="Body Text Char"/>
    <w:basedOn w:val="20"/>
    <w:semiHidden/>
    <w:qFormat/>
    <w:uiPriority w:val="99"/>
    <w:rPr>
      <w:rFonts w:ascii="Times New Roman" w:hAnsi="Times New Roman" w:cs="Times New Roman"/>
      <w:sz w:val="24"/>
      <w:szCs w:val="24"/>
    </w:rPr>
  </w:style>
  <w:style w:type="character" w:customStyle="1" w:styleId="27">
    <w:name w:val="批注框文本 字符"/>
    <w:basedOn w:val="20"/>
    <w:link w:val="10"/>
    <w:semiHidden/>
    <w:qFormat/>
    <w:locked/>
    <w:uiPriority w:val="99"/>
    <w:rPr>
      <w:rFonts w:ascii="Times New Roman" w:hAnsi="Times New Roman" w:cs="Times New Roman"/>
      <w:kern w:val="2"/>
      <w:sz w:val="18"/>
      <w:szCs w:val="18"/>
    </w:rPr>
  </w:style>
  <w:style w:type="character" w:customStyle="1" w:styleId="28">
    <w:name w:val="Footer Char"/>
    <w:basedOn w:val="20"/>
    <w:semiHidden/>
    <w:qFormat/>
    <w:uiPriority w:val="99"/>
    <w:rPr>
      <w:rFonts w:ascii="Times New Roman" w:hAnsi="Times New Roman" w:cs="Times New Roman"/>
      <w:sz w:val="18"/>
      <w:szCs w:val="18"/>
    </w:rPr>
  </w:style>
  <w:style w:type="character" w:customStyle="1" w:styleId="29">
    <w:name w:val="Header Char"/>
    <w:basedOn w:val="20"/>
    <w:semiHidden/>
    <w:qFormat/>
    <w:uiPriority w:val="99"/>
    <w:rPr>
      <w:rFonts w:ascii="Times New Roman" w:hAnsi="Times New Roman" w:cs="Times New Roman"/>
      <w:sz w:val="18"/>
      <w:szCs w:val="18"/>
    </w:rPr>
  </w:style>
  <w:style w:type="character" w:customStyle="1" w:styleId="30">
    <w:name w:val="页眉 字符"/>
    <w:link w:val="12"/>
    <w:semiHidden/>
    <w:qFormat/>
    <w:locked/>
    <w:uiPriority w:val="99"/>
    <w:rPr>
      <w:sz w:val="18"/>
    </w:rPr>
  </w:style>
  <w:style w:type="character" w:customStyle="1" w:styleId="31">
    <w:name w:val="页脚 字符"/>
    <w:link w:val="11"/>
    <w:qFormat/>
    <w:locked/>
    <w:uiPriority w:val="99"/>
    <w:rPr>
      <w:sz w:val="18"/>
    </w:rPr>
  </w:style>
  <w:style w:type="character" w:customStyle="1" w:styleId="32">
    <w:name w:val="正文文本 字符"/>
    <w:link w:val="6"/>
    <w:qFormat/>
    <w:locked/>
    <w:uiPriority w:val="99"/>
    <w:rPr>
      <w:rFonts w:ascii="仿宋_GB2312" w:hAnsi="Times New Roman" w:eastAsia="仿宋_GB2312"/>
      <w:sz w:val="24"/>
    </w:rPr>
  </w:style>
  <w:style w:type="paragraph" w:customStyle="1" w:styleId="3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4">
    <w:name w:val="列表段落1"/>
    <w:basedOn w:val="1"/>
    <w:qFormat/>
    <w:uiPriority w:val="34"/>
    <w:pPr>
      <w:ind w:firstLine="420" w:firstLineChars="200"/>
    </w:pPr>
  </w:style>
  <w:style w:type="paragraph" w:customStyle="1" w:styleId="35">
    <w:name w:val="TOC 标题1"/>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6">
    <w:name w:val="TOC Heading1"/>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7">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0833051461705726"/>
          <c:y val="0.164258393540162"/>
          <c:w val="0.890118386083595"/>
          <c:h val="0.628219294517637"/>
        </c:manualLayout>
      </c:layout>
      <c:barChart>
        <c:barDir val="col"/>
        <c:grouping val="clustered"/>
        <c:varyColors val="0"/>
        <c:ser>
          <c:idx val="0"/>
          <c:order val="0"/>
          <c:tx>
            <c:strRef>
              <c:f>Sheet1!$B$1</c:f>
              <c:strCache>
                <c:ptCount val="1"/>
                <c:pt idx="0">
                  <c:v>2024年与2025年收入、支出对比图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c:v>
                </c:pt>
                <c:pt idx="1">
                  <c:v>2024年</c:v>
                </c:pt>
                <c:pt idx="2">
                  <c:v>2025年</c:v>
                </c:pt>
                <c:pt idx="3">
                  <c:v>2025年</c:v>
                </c:pt>
              </c:strCache>
            </c:strRef>
          </c:cat>
          <c:val>
            <c:numRef>
              <c:f>Sheet1!$B$2:$B$5</c:f>
              <c:numCache>
                <c:formatCode>General</c:formatCode>
                <c:ptCount val="4"/>
                <c:pt idx="0">
                  <c:v>134.35</c:v>
                </c:pt>
                <c:pt idx="1">
                  <c:v>134.35</c:v>
                </c:pt>
                <c:pt idx="2">
                  <c:v>127.15</c:v>
                </c:pt>
                <c:pt idx="3">
                  <c:v>127.15</c:v>
                </c:pt>
              </c:numCache>
            </c:numRef>
          </c:val>
        </c:ser>
        <c:dLbls>
          <c:showLegendKey val="0"/>
          <c:showVal val="1"/>
          <c:showCatName val="0"/>
          <c:showSerName val="0"/>
          <c:showPercent val="0"/>
          <c:showBubbleSize val="0"/>
        </c:dLbls>
        <c:gapWidth val="246"/>
        <c:overlap val="-28"/>
        <c:axId val="18656993"/>
        <c:axId val="468851114"/>
      </c:barChart>
      <c:catAx>
        <c:axId val="1865699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8851114"/>
        <c:crosses val="autoZero"/>
        <c:auto val="1"/>
        <c:lblAlgn val="ctr"/>
        <c:lblOffset val="100"/>
        <c:noMultiLvlLbl val="0"/>
      </c:catAx>
      <c:valAx>
        <c:axId val="46885111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65699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cap="all" spc="150" baseline="0">
                <a:solidFill>
                  <a:schemeClr val="tx1">
                    <a:lumMod val="50000"/>
                    <a:lumOff val="50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Pt>
            <c:idx val="1"/>
            <c:bubble3D val="0"/>
            <c:explosion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Pt>
            <c:idx val="3"/>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127.15</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Sheet1!$A$2:$A$5</c:f>
              <c:strCache>
                <c:ptCount val="4"/>
                <c:pt idx="0">
                  <c:v>一般拨款财政收入</c:v>
                </c:pt>
                <c:pt idx="1">
                  <c:v>政府性基金预算财政拨款收入</c:v>
                </c:pt>
                <c:pt idx="2">
                  <c:v>上级补助</c:v>
                </c:pt>
                <c:pt idx="3">
                  <c:v>事业收入</c:v>
                </c:pt>
              </c:strCache>
            </c:strRef>
          </c:cat>
          <c:val>
            <c:numRef>
              <c:f>Sheet1!$B$2:$B$5</c:f>
              <c:numCache>
                <c:formatCode>General</c:formatCode>
                <c:ptCount val="4"/>
                <c:pt idx="0">
                  <c:v>127.15</c:v>
                </c:pt>
                <c:pt idx="1">
                  <c:v>0</c:v>
                </c:pt>
                <c:pt idx="2">
                  <c:v>0</c:v>
                </c:pt>
                <c:pt idx="3">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altLang="en-US"/>
              <a:t>支出决算结构图</a:t>
            </a:r>
            <a:endParaRPr altLang="en-US"/>
          </a:p>
        </c:rich>
      </c:tx>
      <c:layout/>
      <c:overlay val="0"/>
      <c:spPr>
        <a:noFill/>
        <a:ln>
          <a:noFill/>
        </a:ln>
        <a:effectLst/>
      </c:spPr>
    </c:title>
    <c:autoTitleDeleted val="0"/>
    <c:plotArea>
      <c:layout/>
      <c:pieChart>
        <c:varyColors val="1"/>
        <c:ser>
          <c:idx val="0"/>
          <c:order val="0"/>
          <c:tx>
            <c:strRef>
              <c:f>Sheet1!$B$1</c:f>
              <c:strCache>
                <c:ptCount val="1"/>
                <c:pt idx="0">
                  <c:v>支出决算结构图</c:v>
                </c:pt>
              </c:strCache>
            </c:strRef>
          </c:tx>
          <c:spPr/>
          <c:explosion val="0"/>
          <c:dPt>
            <c:idx val="0"/>
            <c:bubble3D val="0"/>
            <c:explosion val="5"/>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127.15</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基本支出</c:v>
                </c:pt>
                <c:pt idx="1">
                  <c:v>项目支出</c:v>
                </c:pt>
                <c:pt idx="2">
                  <c:v>经营支出</c:v>
                </c:pt>
                <c:pt idx="3">
                  <c:v>上缴上级支出</c:v>
                </c:pt>
              </c:strCache>
            </c:strRef>
          </c:cat>
          <c:val>
            <c:numRef>
              <c:f>Sheet1!$B$2:$B$5</c:f>
              <c:numCache>
                <c:formatCode>General</c:formatCode>
                <c:ptCount val="4"/>
                <c:pt idx="0">
                  <c:v>127.15</c:v>
                </c:pt>
                <c:pt idx="1">
                  <c:v>0</c:v>
                </c:pt>
                <c:pt idx="2">
                  <c:v>0</c:v>
                </c:pt>
                <c:pt idx="3">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142614601018676"/>
          <c:y val="0.11562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2024</a:t>
            </a:r>
            <a:r>
              <a:rPr altLang="en-US"/>
              <a:t>年与</a:t>
            </a:r>
            <a:r>
              <a:rPr lang="en-US" altLang="zh-CN"/>
              <a:t>2025</a:t>
            </a:r>
            <a:r>
              <a:rPr altLang="en-US"/>
              <a:t>年财政拨款收入、支出对比图</a:t>
            </a:r>
            <a:endParaRPr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2025年财政拨款收入、支出</c:v>
                </c:pt>
                <c:pt idx="1">
                  <c:v>2024年财政拨款收入、支出</c:v>
                </c:pt>
              </c:strCache>
            </c:strRef>
          </c:cat>
          <c:val>
            <c:numRef>
              <c:f>Sheet1!$B$2:$B$3</c:f>
              <c:numCache>
                <c:formatCode>General</c:formatCode>
                <c:ptCount val="2"/>
                <c:pt idx="0">
                  <c:v>134.35</c:v>
                </c:pt>
                <c:pt idx="1">
                  <c:v>127.15</c:v>
                </c:pt>
              </c:numCache>
            </c:numRef>
          </c:val>
        </c:ser>
        <c:dLbls>
          <c:showLegendKey val="0"/>
          <c:showVal val="1"/>
          <c:showCatName val="0"/>
          <c:showSerName val="0"/>
          <c:showPercent val="0"/>
          <c:showBubbleSize val="0"/>
        </c:dLbls>
        <c:gapWidth val="246"/>
        <c:overlap val="-28"/>
        <c:axId val="618130177"/>
        <c:axId val="619439734"/>
      </c:barChart>
      <c:catAx>
        <c:axId val="61813017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9439734"/>
        <c:crosses val="autoZero"/>
        <c:auto val="1"/>
        <c:lblAlgn val="ctr"/>
        <c:lblOffset val="100"/>
        <c:noMultiLvlLbl val="0"/>
      </c:catAx>
      <c:valAx>
        <c:axId val="61943973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813017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2024</a:t>
            </a:r>
            <a:r>
              <a:rPr altLang="en-US"/>
              <a:t>年与</a:t>
            </a:r>
            <a:r>
              <a:rPr lang="en-US" altLang="zh-CN"/>
              <a:t>2025</a:t>
            </a:r>
            <a:r>
              <a:rPr altLang="en-US"/>
              <a:t>年一般公共预算支出对比图</a:t>
            </a:r>
            <a:endParaRPr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127.15</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134.35</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2024年支出</c:v>
                </c:pt>
                <c:pt idx="1">
                  <c:v>2025年支出</c:v>
                </c:pt>
              </c:strCache>
            </c:strRef>
          </c:cat>
          <c:val>
            <c:numRef>
              <c:f>Sheet1!$B$2:$B$3</c:f>
              <c:numCache>
                <c:formatCode>General</c:formatCode>
                <c:ptCount val="2"/>
                <c:pt idx="0">
                  <c:v>134.35</c:v>
                </c:pt>
                <c:pt idx="1">
                  <c:v>127.15</c:v>
                </c:pt>
              </c:numCache>
            </c:numRef>
          </c:val>
        </c:ser>
        <c:dLbls>
          <c:showLegendKey val="0"/>
          <c:showVal val="1"/>
          <c:showCatName val="0"/>
          <c:showSerName val="0"/>
          <c:showPercent val="0"/>
          <c:showBubbleSize val="0"/>
        </c:dLbls>
        <c:gapWidth val="246"/>
        <c:overlap val="-28"/>
        <c:axId val="399637205"/>
        <c:axId val="110008481"/>
      </c:barChart>
      <c:catAx>
        <c:axId val="39963720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0008481"/>
        <c:crosses val="autoZero"/>
        <c:auto val="1"/>
        <c:lblAlgn val="ctr"/>
        <c:lblOffset val="100"/>
        <c:noMultiLvlLbl val="0"/>
      </c:catAx>
      <c:valAx>
        <c:axId val="11000848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96372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一般公共预算财政拨款支出决算结构图</a:t>
            </a:r>
          </a:p>
        </c:rich>
      </c:tx>
      <c:layout/>
      <c:overlay val="0"/>
      <c:spPr>
        <a:noFill/>
        <a:ln>
          <a:noFill/>
        </a:ln>
        <a:effectLst/>
      </c:spPr>
    </c:title>
    <c:autoTitleDeleted val="0"/>
    <c:plotArea>
      <c:layout/>
      <c:pieChart>
        <c:varyColors val="1"/>
        <c:ser>
          <c:idx val="0"/>
          <c:order val="0"/>
          <c:tx>
            <c:strRef>
              <c:f>Sheet1!$B$1</c:f>
              <c:strCache>
                <c:ptCount val="1"/>
                <c:pt idx="0">
                  <c:v>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127.15</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manualLayout>
                  <c:x val="-0.054376412177206"/>
                  <c:y val="0.0162980956377144"/>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15.07</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0697795892366712"/>
                  <c:y val="-0.0437434859716875"/>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3.87</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858307162430526"/>
                  <c:y val="-0.0134112782997789"/>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6.78</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c:v>
                </c:pt>
                <c:pt idx="1">
                  <c:v>社会保障和就业</c:v>
                </c:pt>
                <c:pt idx="2">
                  <c:v>卫生健康支出</c:v>
                </c:pt>
                <c:pt idx="3">
                  <c:v>住房保障支出</c:v>
                </c:pt>
              </c:strCache>
            </c:strRef>
          </c:cat>
          <c:val>
            <c:numRef>
              <c:f>Sheet1!$B$2:$B$5</c:f>
              <c:numCache>
                <c:formatCode>General</c:formatCode>
                <c:ptCount val="4"/>
                <c:pt idx="0">
                  <c:v>101.43</c:v>
                </c:pt>
                <c:pt idx="1">
                  <c:v>15.07</c:v>
                </c:pt>
                <c:pt idx="2">
                  <c:v>3.87</c:v>
                </c:pt>
                <c:pt idx="3">
                  <c:v>6.78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9CAE55-CD1B-4B4A-B759-66D9AAD6058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19</Pages>
  <Words>5837</Words>
  <Characters>6356</Characters>
  <Lines>74</Lines>
  <Paragraphs>21</Paragraphs>
  <TotalTime>3</TotalTime>
  <ScaleCrop>false</ScaleCrop>
  <LinksUpToDate>false</LinksUpToDate>
  <CharactersWithSpaces>6410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2021-08-06T09:38:00Z</dcterms:created>
  <dc:creator>曹颖</dc:creator>
  <cp:lastModifiedBy>PCPC</cp:lastModifiedBy>
  <cp:lastPrinted>2022-09-21T07:05:00Z</cp:lastPrinted>
  <dcterms:modified xsi:type="dcterms:W3CDTF">2026-10-14T07:31:03Z</dcterms:modified>
  <dc:title>阿坝州部门决算说明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3E1EEB749585464A9DA922001955FE0E_13</vt:lpwstr>
  </property>
  <property fmtid="{D5CDD505-2E9C-101B-9397-08002B2CF9AE}" pid="4" name="KSOTemplateDocerSaveRecord">
    <vt:lpwstr>eyJoZGlkIjoiZWQzMDM1YTI3ZjRiZTI5Mjc2ZDhiZmYxMGJkYjZhOTQiLCJ1c2VySWQiOiIxNDM1NjM3ODk5In0=</vt:lpwstr>
  </property>
</Properties>
</file>