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color w:val="000000"/>
          <w:sz w:val="72"/>
          <w:szCs w:val="72"/>
        </w:rPr>
      </w:pPr>
      <w:bookmarkStart w:id="0" w:name="_Toc15306267"/>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p>
      <w:pPr>
        <w:jc w:val="center"/>
        <w:rPr>
          <w:rFonts w:hint="eastAsia" w:ascii="方正小标宋简体" w:eastAsia="方正小标宋简体"/>
          <w:sz w:val="60"/>
          <w:szCs w:val="60"/>
        </w:rPr>
      </w:pPr>
      <w:bookmarkStart w:id="1" w:name="_Toc15396475"/>
      <w:bookmarkStart w:id="2" w:name="_Toc15377193"/>
      <w:bookmarkStart w:id="3" w:name="_Toc15377425"/>
      <w:bookmarkStart w:id="4" w:name="_Toc15378441"/>
      <w:bookmarkStart w:id="5" w:name="_Toc15396597"/>
      <w:r>
        <w:rPr>
          <w:rFonts w:hint="eastAsia" w:ascii="方正小标宋简体" w:eastAsia="方正小标宋简体"/>
          <w:sz w:val="60"/>
          <w:szCs w:val="60"/>
          <w:lang w:val="en-US" w:eastAsia="zh-CN"/>
        </w:rPr>
        <w:t>2025</w:t>
      </w:r>
      <w:r>
        <w:rPr>
          <w:rFonts w:hint="eastAsia" w:ascii="方正小标宋简体" w:eastAsia="方正小标宋简体"/>
          <w:sz w:val="60"/>
          <w:szCs w:val="60"/>
          <w:lang w:eastAsia="zh-CN"/>
        </w:rPr>
        <w:t>年</w:t>
      </w:r>
      <w:r>
        <w:rPr>
          <w:rFonts w:hint="eastAsia" w:ascii="方正小标宋简体" w:eastAsia="方正小标宋简体"/>
          <w:sz w:val="60"/>
          <w:szCs w:val="60"/>
        </w:rPr>
        <w:t>度</w:t>
      </w:r>
      <w:bookmarkEnd w:id="1"/>
      <w:bookmarkEnd w:id="2"/>
      <w:bookmarkEnd w:id="3"/>
      <w:bookmarkEnd w:id="4"/>
      <w:bookmarkEnd w:id="5"/>
    </w:p>
    <w:p>
      <w:pPr>
        <w:jc w:val="center"/>
        <w:rPr>
          <w:rFonts w:ascii="方正小标宋简体" w:eastAsia="方正小标宋简体"/>
          <w:sz w:val="60"/>
          <w:szCs w:val="60"/>
        </w:rPr>
      </w:pPr>
      <w:bookmarkStart w:id="6" w:name="_Toc15377194"/>
      <w:bookmarkStart w:id="7" w:name="_Toc15377426"/>
      <w:bookmarkStart w:id="8" w:name="_Toc15378442"/>
      <w:bookmarkStart w:id="9" w:name="_Toc15396598"/>
      <w:bookmarkStart w:id="10" w:name="_Toc15396476"/>
      <w:r>
        <w:rPr>
          <w:rFonts w:hint="eastAsia" w:ascii="方正小标宋简体" w:eastAsia="方正小标宋简体"/>
          <w:sz w:val="60"/>
          <w:szCs w:val="60"/>
        </w:rPr>
        <w:t>四川省阿坝州</w:t>
      </w:r>
      <w:bookmarkEnd w:id="0"/>
      <w:bookmarkStart w:id="11" w:name="_Toc15306268"/>
      <w:r>
        <w:rPr>
          <w:rFonts w:hint="eastAsia" w:ascii="方正小标宋简体" w:eastAsia="方正小标宋简体"/>
          <w:sz w:val="60"/>
          <w:szCs w:val="60"/>
          <w:lang w:eastAsia="zh-CN"/>
        </w:rPr>
        <w:t>小金县人民政府办公室（汇总）</w:t>
      </w:r>
      <w:r>
        <w:rPr>
          <w:rFonts w:hint="eastAsia" w:ascii="方正小标宋简体" w:eastAsia="方正小标宋简体"/>
          <w:sz w:val="60"/>
          <w:szCs w:val="60"/>
        </w:rPr>
        <w:t>部门决算</w:t>
      </w:r>
      <w:bookmarkEnd w:id="6"/>
      <w:bookmarkEnd w:id="7"/>
      <w:bookmarkEnd w:id="8"/>
      <w:bookmarkEnd w:id="9"/>
      <w:bookmarkEnd w:id="10"/>
      <w:bookmarkEnd w:id="11"/>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pPr>
        <w:widowControl/>
        <w:jc w:val="center"/>
        <w:rPr>
          <w:rFonts w:ascii="方正小标宋简体" w:hAnsi="宋体" w:eastAsia="方正小标宋简体"/>
          <w:color w:val="000000"/>
          <w:sz w:val="36"/>
          <w:szCs w:val="36"/>
        </w:rPr>
      </w:pPr>
    </w:p>
    <w:p>
      <w:pPr>
        <w:pStyle w:val="2"/>
        <w:rPr>
          <w:rFonts w:ascii="方正小标宋简体" w:hAnsi="宋体" w:eastAsia="方正小标宋简体"/>
          <w:color w:val="000000"/>
          <w:sz w:val="36"/>
          <w:szCs w:val="36"/>
        </w:rPr>
      </w:pPr>
    </w:p>
    <w:p>
      <w:pPr>
        <w:pStyle w:val="2"/>
        <w:rPr>
          <w:rFonts w:ascii="方正小标宋简体" w:hAnsi="宋体" w:eastAsia="方正小标宋简体"/>
          <w:color w:val="000000"/>
          <w:sz w:val="36"/>
          <w:szCs w:val="36"/>
        </w:rPr>
      </w:pPr>
    </w:p>
    <w:p>
      <w:pPr>
        <w:widowControl/>
        <w:ind w:firstLine="3840" w:firstLineChars="800"/>
        <w:jc w:val="both"/>
        <w:rPr>
          <w:rFonts w:ascii="黑体" w:hAnsi="黑体" w:eastAsia="黑体"/>
          <w:color w:val="000000"/>
          <w:sz w:val="48"/>
          <w:szCs w:val="48"/>
        </w:rPr>
      </w:pPr>
      <w:r>
        <w:rPr>
          <w:rFonts w:hint="eastAsia" w:ascii="黑体" w:hAnsi="黑体" w:eastAsia="黑体"/>
          <w:color w:val="000000"/>
          <w:sz w:val="48"/>
          <w:szCs w:val="48"/>
        </w:rPr>
        <w:t>目录</w:t>
      </w:r>
    </w:p>
    <w:p>
      <w:pPr>
        <w:pStyle w:val="14"/>
        <w:jc w:val="center"/>
        <w:rPr>
          <w:rFonts w:hAnsiTheme="minorHAnsi"/>
          <w:b w:val="0"/>
          <w:bCs w:val="0"/>
          <w:sz w:val="24"/>
          <w:szCs w:val="24"/>
        </w:rPr>
      </w:pPr>
      <w:r>
        <w:rPr>
          <w:rFonts w:hint="eastAsia" w:hAnsiTheme="minorHAnsi"/>
          <w:b w:val="0"/>
          <w:bCs w:val="0"/>
          <w:sz w:val="24"/>
          <w:szCs w:val="24"/>
        </w:rPr>
        <w:t>公开时间：202</w:t>
      </w:r>
      <w:r>
        <w:rPr>
          <w:rFonts w:hint="eastAsia" w:hAnsiTheme="minorHAnsi"/>
          <w:b w:val="0"/>
          <w:bCs w:val="0"/>
          <w:sz w:val="24"/>
          <w:szCs w:val="24"/>
          <w:lang w:val="en-US" w:eastAsia="zh-CN"/>
        </w:rPr>
        <w:t>6</w:t>
      </w:r>
      <w:r>
        <w:rPr>
          <w:rFonts w:hint="eastAsia" w:hAnsiTheme="minorHAnsi"/>
          <w:b w:val="0"/>
          <w:bCs w:val="0"/>
          <w:sz w:val="24"/>
          <w:szCs w:val="24"/>
        </w:rPr>
        <w:t>年</w:t>
      </w:r>
      <w:r>
        <w:rPr>
          <w:rFonts w:hint="eastAsia" w:hAnsiTheme="minorHAnsi"/>
          <w:b w:val="0"/>
          <w:bCs w:val="0"/>
          <w:sz w:val="24"/>
          <w:szCs w:val="24"/>
          <w:lang w:val="en-US" w:eastAsia="zh-CN"/>
        </w:rPr>
        <w:t>10</w:t>
      </w:r>
      <w:r>
        <w:rPr>
          <w:rFonts w:hint="eastAsia" w:hAnsiTheme="minorHAnsi"/>
          <w:b w:val="0"/>
          <w:bCs w:val="0"/>
          <w:sz w:val="24"/>
          <w:szCs w:val="24"/>
        </w:rPr>
        <w:t xml:space="preserve"> 月</w:t>
      </w:r>
      <w:r>
        <w:rPr>
          <w:rFonts w:hint="eastAsia" w:hAnsiTheme="minorHAnsi"/>
          <w:b w:val="0"/>
          <w:bCs w:val="0"/>
          <w:sz w:val="24"/>
          <w:szCs w:val="24"/>
          <w:lang w:val="en-US" w:eastAsia="zh-CN"/>
        </w:rPr>
        <w:t>16</w:t>
      </w:r>
      <w:r>
        <w:rPr>
          <w:rFonts w:hint="eastAsia" w:hAnsiTheme="minorHAnsi"/>
          <w:b w:val="0"/>
          <w:bCs w:val="0"/>
          <w:sz w:val="24"/>
          <w:szCs w:val="24"/>
        </w:rPr>
        <w:t xml:space="preserve"> 日</w:t>
      </w:r>
    </w:p>
    <w:p>
      <w:pPr>
        <w:pStyle w:val="14"/>
        <w:tabs>
          <w:tab w:val="right" w:leader="dot" w:pos="8306"/>
        </w:tabs>
      </w:pPr>
      <w:r>
        <w:rPr>
          <w:b w:val="0"/>
          <w:bCs w:val="0"/>
          <w:caps w:val="0"/>
        </w:rPr>
        <w:fldChar w:fldCharType="begin"/>
      </w:r>
      <w:r>
        <w:rPr>
          <w:b w:val="0"/>
          <w:bCs w:val="0"/>
          <w:caps w:val="0"/>
        </w:rPr>
        <w:instrText xml:space="preserve"> TOC \o \u </w:instrText>
      </w:r>
      <w:r>
        <w:rPr>
          <w:b w:val="0"/>
          <w:bCs w:val="0"/>
          <w:caps w:val="0"/>
        </w:rPr>
        <w:fldChar w:fldCharType="separate"/>
      </w:r>
      <w:r>
        <w:rPr>
          <w:rFonts w:hint="eastAsia" w:ascii="黑体" w:hAnsi="黑体" w:eastAsia="黑体"/>
        </w:rPr>
        <w:t>第一部分</w:t>
      </w:r>
      <w:r>
        <w:rPr>
          <w:rFonts w:ascii="黑体" w:hAnsi="黑体" w:eastAsia="黑体"/>
        </w:rPr>
        <w:t xml:space="preserve"> </w:t>
      </w:r>
      <w:r>
        <w:rPr>
          <w:rFonts w:hint="eastAsia" w:ascii="黑体" w:hAnsi="黑体" w:eastAsia="黑体"/>
          <w:bCs w:val="0"/>
        </w:rPr>
        <w:t>部门概况</w:t>
      </w:r>
      <w:r>
        <w:tab/>
      </w:r>
      <w:r>
        <w:fldChar w:fldCharType="begin"/>
      </w:r>
      <w:r>
        <w:instrText xml:space="preserve"> PAGEREF _Toc30226 \h </w:instrText>
      </w:r>
      <w:r>
        <w:fldChar w:fldCharType="separate"/>
      </w:r>
      <w:r>
        <w:t>5</w:t>
      </w:r>
      <w:r>
        <w:fldChar w:fldCharType="end"/>
      </w:r>
    </w:p>
    <w:p>
      <w:pPr>
        <w:pStyle w:val="17"/>
        <w:tabs>
          <w:tab w:val="right" w:leader="dot" w:pos="8306"/>
        </w:tabs>
      </w:pPr>
      <w:r>
        <w:rPr>
          <w:rFonts w:hint="eastAsia" w:ascii="黑体" w:hAnsi="黑体" w:eastAsia="黑体"/>
          <w:color w:val="000000"/>
        </w:rPr>
        <w:t>一、基</w:t>
      </w:r>
      <w:r>
        <w:rPr>
          <w:rFonts w:hint="eastAsia" w:ascii="黑体" w:hAnsi="黑体" w:eastAsia="黑体"/>
          <w:bCs w:val="0"/>
        </w:rPr>
        <w:t>本职能及主要工作</w:t>
      </w:r>
      <w:r>
        <w:tab/>
      </w:r>
      <w:r>
        <w:fldChar w:fldCharType="begin"/>
      </w:r>
      <w:r>
        <w:instrText xml:space="preserve"> PAGEREF _Toc24345 \h </w:instrText>
      </w:r>
      <w:r>
        <w:fldChar w:fldCharType="separate"/>
      </w:r>
      <w:r>
        <w:t>5</w:t>
      </w:r>
      <w:r>
        <w:fldChar w:fldCharType="end"/>
      </w:r>
    </w:p>
    <w:p>
      <w:pPr>
        <w:pStyle w:val="9"/>
        <w:tabs>
          <w:tab w:val="right" w:leader="dot" w:pos="8306"/>
        </w:tabs>
      </w:pPr>
      <w:r>
        <w:rPr>
          <w:rFonts w:hint="eastAsia" w:ascii="仿宋" w:hAnsi="仿宋" w:eastAsia="仿宋"/>
          <w:bCs/>
          <w:color w:val="000000"/>
          <w:szCs w:val="32"/>
        </w:rPr>
        <w:t>（一）主要职能。</w:t>
      </w:r>
      <w:r>
        <w:tab/>
      </w:r>
      <w:r>
        <w:fldChar w:fldCharType="begin"/>
      </w:r>
      <w:r>
        <w:instrText xml:space="preserve"> PAGEREF _Toc21365 \h </w:instrText>
      </w:r>
      <w:r>
        <w:fldChar w:fldCharType="separate"/>
      </w:r>
      <w:r>
        <w:t>5</w:t>
      </w:r>
      <w:r>
        <w:fldChar w:fldCharType="end"/>
      </w:r>
    </w:p>
    <w:p>
      <w:pPr>
        <w:pStyle w:val="9"/>
        <w:tabs>
          <w:tab w:val="right" w:leader="dot" w:pos="8306"/>
        </w:tabs>
      </w:pPr>
      <w:r>
        <w:rPr>
          <w:rFonts w:hint="eastAsia" w:ascii="仿宋_GB2312" w:eastAsia="仿宋_GB2312"/>
          <w:szCs w:val="32"/>
        </w:rPr>
        <w:t>1</w:t>
      </w:r>
      <w:r>
        <w:rPr>
          <w:rFonts w:ascii="仿宋_GB2312" w:eastAsia="仿宋_GB2312"/>
          <w:szCs w:val="32"/>
        </w:rPr>
        <w:t>负责县政府全体会议,常务会议,政府党组会议,县长办公会议的会务工作,协助县政府领导同志组织实施会议决定的事项</w:t>
      </w:r>
      <w:r>
        <w:rPr>
          <w:rFonts w:hint="eastAsia" w:ascii="仿宋_GB2312" w:eastAsia="仿宋_GB2312"/>
          <w:szCs w:val="32"/>
        </w:rPr>
        <w:t>；2</w:t>
      </w:r>
      <w:r>
        <w:rPr>
          <w:rFonts w:ascii="仿宋_GB2312" w:eastAsia="仿宋_GB2312"/>
          <w:szCs w:val="32"/>
        </w:rPr>
        <w:t>协助县政府领导同志组织起草或审核以县政府、县政府办公室名义发布的公文; 对县政府各部门和各乡(镇)政府请示(报告)县政府的事项,提出审核意见</w:t>
      </w:r>
      <w:r>
        <w:rPr>
          <w:rFonts w:hint="eastAsia" w:ascii="仿宋_GB2312" w:eastAsia="仿宋_GB2312"/>
          <w:szCs w:val="32"/>
        </w:rPr>
        <w:t>，</w:t>
      </w:r>
      <w:r>
        <w:rPr>
          <w:rFonts w:ascii="仿宋_GB2312" w:eastAsia="仿宋_GB2312"/>
          <w:szCs w:val="32"/>
        </w:rPr>
        <w:t>报县政府领导同志审批。指导全县行政机关公文处理工作</w:t>
      </w:r>
      <w:r>
        <w:rPr>
          <w:rFonts w:hint="eastAsia" w:ascii="仿宋_GB2312" w:eastAsia="仿宋_GB2312"/>
          <w:szCs w:val="32"/>
        </w:rPr>
        <w:t>；3</w:t>
      </w:r>
      <w:r>
        <w:rPr>
          <w:rFonts w:ascii="仿宋_GB2312" w:eastAsia="仿宋_GB2312"/>
          <w:szCs w:val="32"/>
        </w:rPr>
        <w:t>负责上级党政机关下发的各种公文,传真电报的签收、登记,送签,转办, 归档工作; 负责乡镇、部门请示、报告的初审,登记,送签,转办工作; 负责各类机要文件管理和县政府、县政府办公室的文件制文、 文件档案,印章管理,保密工作</w:t>
      </w:r>
      <w:r>
        <w:rPr>
          <w:rFonts w:hint="eastAsia" w:ascii="仿宋_GB2312" w:eastAsia="仿宋_GB2312"/>
          <w:szCs w:val="32"/>
        </w:rPr>
        <w:t>；4</w:t>
      </w:r>
      <w:r>
        <w:rPr>
          <w:rFonts w:ascii="仿宋_GB2312" w:eastAsia="仿宋_GB2312"/>
          <w:szCs w:val="32"/>
        </w:rPr>
        <w:t>负责组织县政府工作报告、工作总结、汇报材料及其它重要材料的起草,修改工作</w:t>
      </w:r>
      <w:r>
        <w:rPr>
          <w:rFonts w:hint="eastAsia" w:ascii="仿宋_GB2312" w:eastAsia="仿宋_GB2312"/>
          <w:szCs w:val="32"/>
        </w:rPr>
        <w:t>；5</w:t>
      </w:r>
      <w:r>
        <w:rPr>
          <w:rFonts w:ascii="仿宋_GB2312" w:eastAsia="仿宋_GB2312"/>
          <w:szCs w:val="32"/>
        </w:rPr>
        <w:t>根据县政府领导同志的指示,对县政府部门间出现的争议问题提出处理意见,报县政府领导同志决定</w:t>
      </w:r>
      <w:r>
        <w:rPr>
          <w:rFonts w:hint="eastAsia" w:ascii="仿宋_GB2312" w:eastAsia="仿宋_GB2312"/>
          <w:szCs w:val="32"/>
        </w:rPr>
        <w:t>；6</w:t>
      </w:r>
      <w:r>
        <w:rPr>
          <w:rFonts w:ascii="仿宋_GB2312" w:eastAsia="仿宋_GB2312"/>
          <w:szCs w:val="32"/>
        </w:rPr>
        <w:t>围绕县政府的中心工作、阶段性重点工作和县政府领导的指示,加强调查研究,及时反映情况,提出建议,为县政府领导同志把握全局、科学决策提供及时、准确、全面的参谋服务</w:t>
      </w:r>
      <w:r>
        <w:rPr>
          <w:rFonts w:hint="eastAsia" w:ascii="仿宋_GB2312" w:eastAsia="仿宋_GB2312"/>
          <w:szCs w:val="32"/>
        </w:rPr>
        <w:t>；7</w:t>
      </w:r>
      <w:r>
        <w:rPr>
          <w:rFonts w:ascii="仿宋_GB2312" w:eastAsia="仿宋_GB2312"/>
          <w:szCs w:val="32"/>
        </w:rPr>
        <w:t>负责组织协调、督促检查涉及政府工作的人大代表建议、批评、意见和政协提案的办理工作</w:t>
      </w:r>
      <w:r>
        <w:rPr>
          <w:rFonts w:hint="eastAsia" w:ascii="仿宋_GB2312" w:eastAsia="仿宋_GB2312"/>
          <w:szCs w:val="32"/>
        </w:rPr>
        <w:t>；8</w:t>
      </w:r>
      <w:r>
        <w:rPr>
          <w:rFonts w:ascii="仿宋_GB2312" w:eastAsia="仿宋_GB2312"/>
          <w:szCs w:val="32"/>
        </w:rPr>
        <w:t>负责上级党委、政府和县委、县政府的重要决策,重要部署、重要文件、重要会议决定事项、领导同志重要指示及下达交办的执行落实情况的督查工作,并及时向县政府领导报告</w:t>
      </w:r>
      <w:r>
        <w:rPr>
          <w:rFonts w:hint="eastAsia" w:ascii="仿宋_GB2312" w:eastAsia="仿宋_GB2312"/>
          <w:szCs w:val="32"/>
        </w:rPr>
        <w:t>；9</w:t>
      </w:r>
      <w:r>
        <w:rPr>
          <w:rFonts w:ascii="仿宋_GB2312" w:eastAsia="仿宋_GB2312"/>
          <w:szCs w:val="32"/>
        </w:rPr>
        <w:t>负责州委、州政府下达的年度目标任务(包括民生工程)的分解、督促、考核工作,负责全县的目标绩效管理工作</w:t>
      </w:r>
      <w:r>
        <w:rPr>
          <w:rFonts w:hint="eastAsia" w:ascii="仿宋_GB2312" w:eastAsia="仿宋_GB2312"/>
          <w:szCs w:val="32"/>
        </w:rPr>
        <w:t>；10</w:t>
      </w:r>
      <w:r>
        <w:rPr>
          <w:rFonts w:ascii="仿宋_GB2312" w:eastAsia="仿宋_GB2312"/>
          <w:szCs w:val="32"/>
        </w:rPr>
        <w:t>负责全县政府信息公开,政府门户网站、方正电子公文交换系统的建设、维护、管理工作; 负责指导、收集,报送和督促全县政务信息公开工作</w:t>
      </w:r>
      <w:r>
        <w:rPr>
          <w:rFonts w:hint="eastAsia" w:ascii="仿宋_GB2312" w:eastAsia="仿宋_GB2312"/>
          <w:szCs w:val="32"/>
        </w:rPr>
        <w:t>；11</w:t>
      </w:r>
      <w:r>
        <w:rPr>
          <w:rFonts w:ascii="仿宋_GB2312" w:eastAsia="仿宋_GB2312"/>
          <w:szCs w:val="32"/>
        </w:rPr>
        <w:t>指导乡(镇)人民政府和县政府部门值班工作,及时向政府领导报告重要情况</w:t>
      </w:r>
      <w:r>
        <w:rPr>
          <w:rFonts w:hint="eastAsia" w:ascii="仿宋_GB2312" w:eastAsia="仿宋_GB2312"/>
          <w:szCs w:val="32"/>
        </w:rPr>
        <w:t>；12</w:t>
      </w:r>
      <w:r>
        <w:rPr>
          <w:rFonts w:ascii="仿宋_GB2312" w:eastAsia="仿宋_GB2312"/>
          <w:szCs w:val="32"/>
        </w:rPr>
        <w:t>负责外事和港澳事务工作</w:t>
      </w:r>
      <w:r>
        <w:rPr>
          <w:rFonts w:hint="eastAsia" w:ascii="仿宋_GB2312" w:eastAsia="仿宋_GB2312"/>
          <w:szCs w:val="32"/>
        </w:rPr>
        <w:t>；13</w:t>
      </w:r>
      <w:r>
        <w:rPr>
          <w:rFonts w:ascii="仿宋_GB2312" w:eastAsia="仿宋_GB2312"/>
          <w:szCs w:val="32"/>
        </w:rPr>
        <w:t>负责县政府人民防空和民防工作</w:t>
      </w:r>
      <w:r>
        <w:rPr>
          <w:rFonts w:hint="eastAsia" w:ascii="仿宋_GB2312" w:eastAsia="仿宋_GB2312"/>
          <w:szCs w:val="32"/>
        </w:rPr>
        <w:t>；14</w:t>
      </w:r>
      <w:r>
        <w:rPr>
          <w:rFonts w:ascii="仿宋_GB2312" w:eastAsia="仿宋_GB2312"/>
          <w:szCs w:val="32"/>
        </w:rPr>
        <w:t>负责全县机关事业单位一般公务用车,执法用车、专业用车编制,及车辆更新、处置,调剂的审批工作; 研究制定全县行政事业单位公务用车配置、使用、维修,监管办法</w:t>
      </w:r>
      <w:r>
        <w:rPr>
          <w:rFonts w:hint="eastAsia" w:ascii="仿宋_GB2312" w:eastAsia="仿宋_GB2312"/>
          <w:szCs w:val="32"/>
        </w:rPr>
        <w:t>；15</w:t>
      </w:r>
      <w:r>
        <w:rPr>
          <w:rFonts w:ascii="仿宋_GB2312" w:eastAsia="仿宋_GB2312"/>
          <w:szCs w:val="32"/>
        </w:rPr>
        <w:t>组织实施政府机关事务管理工作,为县政府领导同志搞好工作所需的各项后勤服务工作</w:t>
      </w:r>
      <w:r>
        <w:rPr>
          <w:rFonts w:hint="eastAsia" w:ascii="仿宋_GB2312" w:eastAsia="仿宋_GB2312"/>
          <w:szCs w:val="32"/>
        </w:rPr>
        <w:t>；16</w:t>
      </w:r>
      <w:r>
        <w:rPr>
          <w:rFonts w:ascii="仿宋_GB2312" w:eastAsia="仿宋_GB2312"/>
          <w:szCs w:val="32"/>
        </w:rPr>
        <w:t>承办县委、县政府交办的其他任务</w:t>
      </w:r>
      <w:r>
        <w:rPr>
          <w:rFonts w:hint="eastAsia" w:ascii="仿宋_GB2312" w:eastAsia="仿宋_GB2312"/>
          <w:szCs w:val="32"/>
        </w:rPr>
        <w:t>。</w:t>
      </w:r>
      <w:r>
        <w:tab/>
      </w:r>
      <w:r>
        <w:fldChar w:fldCharType="begin"/>
      </w:r>
      <w:r>
        <w:instrText xml:space="preserve"> PAGEREF _Toc31676 \h </w:instrText>
      </w:r>
      <w:r>
        <w:fldChar w:fldCharType="separate"/>
      </w:r>
      <w:r>
        <w:t>5</w:t>
      </w:r>
      <w:r>
        <w:fldChar w:fldCharType="end"/>
      </w:r>
    </w:p>
    <w:p>
      <w:pPr>
        <w:pStyle w:val="9"/>
        <w:tabs>
          <w:tab w:val="right" w:leader="dot" w:pos="8306"/>
        </w:tabs>
      </w:pPr>
      <w:r>
        <w:rPr>
          <w:rFonts w:hint="eastAsia" w:ascii="仿宋" w:hAnsi="仿宋" w:eastAsia="仿宋"/>
          <w:bCs/>
          <w:color w:val="000000"/>
          <w:szCs w:val="32"/>
        </w:rPr>
        <w:t>（二）</w:t>
      </w:r>
      <w:r>
        <w:rPr>
          <w:rFonts w:hint="eastAsia" w:ascii="仿宋" w:hAnsi="仿宋" w:eastAsia="仿宋"/>
          <w:bCs/>
          <w:color w:val="000000"/>
          <w:szCs w:val="32"/>
          <w:lang w:eastAsia="zh-CN"/>
        </w:rPr>
        <w:t>2025年</w:t>
      </w:r>
      <w:r>
        <w:rPr>
          <w:rFonts w:hint="eastAsia" w:ascii="仿宋" w:hAnsi="仿宋" w:eastAsia="仿宋"/>
          <w:bCs/>
          <w:color w:val="000000"/>
          <w:szCs w:val="32"/>
        </w:rPr>
        <w:t>重点工作完成情况。</w:t>
      </w:r>
      <w:r>
        <w:tab/>
      </w:r>
      <w:r>
        <w:fldChar w:fldCharType="begin"/>
      </w:r>
      <w:r>
        <w:instrText xml:space="preserve"> PAGEREF _Toc30656 \h </w:instrText>
      </w:r>
      <w:r>
        <w:fldChar w:fldCharType="separate"/>
      </w:r>
      <w:r>
        <w:t>6</w:t>
      </w:r>
      <w:r>
        <w:fldChar w:fldCharType="end"/>
      </w:r>
    </w:p>
    <w:p>
      <w:pPr>
        <w:pStyle w:val="9"/>
        <w:tabs>
          <w:tab w:val="right" w:leader="dot" w:pos="8306"/>
        </w:tabs>
      </w:pPr>
      <w:r>
        <w:rPr>
          <w:rFonts w:hint="eastAsia" w:ascii="仿宋" w:hAnsi="仿宋" w:eastAsia="仿宋"/>
          <w:bCs/>
          <w:color w:val="000000"/>
          <w:szCs w:val="32"/>
          <w:lang w:val="en-US" w:eastAsia="zh-CN"/>
        </w:rPr>
        <w:t>1.加快市政、交通、生态项目等建设。2.培育产业发展，壮大经济实力，加快绿色工业发展，加快发展文化旅游、加快服务产业发展。3.推进乡村振兴工作落地落实，切实改善民生，有效提高教育质量、提高卫计能力、加强就业社会保障。</w:t>
      </w:r>
      <w:r>
        <w:tab/>
      </w:r>
      <w:r>
        <w:fldChar w:fldCharType="begin"/>
      </w:r>
      <w:r>
        <w:instrText xml:space="preserve"> PAGEREF _Toc22101 \h </w:instrText>
      </w:r>
      <w:r>
        <w:fldChar w:fldCharType="separate"/>
      </w:r>
      <w:r>
        <w:t>6</w:t>
      </w:r>
      <w:r>
        <w:fldChar w:fldCharType="end"/>
      </w:r>
    </w:p>
    <w:p>
      <w:pPr>
        <w:pStyle w:val="9"/>
        <w:tabs>
          <w:tab w:val="right" w:leader="dot" w:pos="8306"/>
        </w:tabs>
      </w:pPr>
      <w:r>
        <w:rPr>
          <w:rFonts w:hint="eastAsia" w:ascii="仿宋" w:hAnsi="仿宋" w:eastAsia="仿宋"/>
          <w:bCs/>
          <w:color w:val="000000"/>
          <w:szCs w:val="32"/>
          <w:lang w:val="en-US" w:eastAsia="zh-CN"/>
        </w:rPr>
        <w:t>4.推进社会依法治理，维护和谐稳定，加强公共安全和市场监管，切实推进城乡规划与管理，宗教事务管理法治化。5.推进法治政府建设，建设高效政府、廉洁政府，提升行政效能。</w:t>
      </w:r>
      <w:r>
        <w:tab/>
      </w:r>
      <w:r>
        <w:fldChar w:fldCharType="begin"/>
      </w:r>
      <w:r>
        <w:instrText xml:space="preserve"> PAGEREF _Toc28455 \h </w:instrText>
      </w:r>
      <w:r>
        <w:fldChar w:fldCharType="separate"/>
      </w:r>
      <w:r>
        <w:t>7</w:t>
      </w:r>
      <w:r>
        <w:fldChar w:fldCharType="end"/>
      </w:r>
    </w:p>
    <w:p>
      <w:pPr>
        <w:pStyle w:val="17"/>
        <w:tabs>
          <w:tab w:val="right" w:leader="dot" w:pos="8306"/>
        </w:tabs>
      </w:pPr>
      <w:r>
        <w:rPr>
          <w:rFonts w:hint="eastAsia" w:ascii="黑体" w:eastAsia="黑体"/>
          <w:color w:val="000000"/>
        </w:rPr>
        <w:t>二、</w:t>
      </w:r>
      <w:r>
        <w:rPr>
          <w:rFonts w:hint="eastAsia" w:ascii="黑体" w:hAnsi="黑体" w:eastAsia="黑体"/>
          <w:color w:val="000000"/>
        </w:rPr>
        <w:t>机</w:t>
      </w:r>
      <w:r>
        <w:rPr>
          <w:rFonts w:hint="eastAsia" w:ascii="黑体" w:hAnsi="黑体" w:eastAsia="黑体"/>
          <w:bCs w:val="0"/>
        </w:rPr>
        <w:t>构设置</w:t>
      </w:r>
      <w:r>
        <w:tab/>
      </w:r>
      <w:r>
        <w:fldChar w:fldCharType="begin"/>
      </w:r>
      <w:r>
        <w:instrText xml:space="preserve"> PAGEREF _Toc16819 \h </w:instrText>
      </w:r>
      <w:r>
        <w:fldChar w:fldCharType="separate"/>
      </w:r>
      <w:r>
        <w:t>7</w:t>
      </w:r>
      <w:r>
        <w:fldChar w:fldCharType="end"/>
      </w:r>
    </w:p>
    <w:p>
      <w:pPr>
        <w:pStyle w:val="9"/>
        <w:tabs>
          <w:tab w:val="right" w:leader="dot" w:pos="8306"/>
        </w:tabs>
      </w:pPr>
      <w:r>
        <w:rPr>
          <w:rFonts w:hint="eastAsia"/>
          <w:color w:val="000000"/>
          <w:szCs w:val="32"/>
          <w:lang w:eastAsia="zh-CN"/>
        </w:rPr>
        <w:t>小金县人民</w:t>
      </w:r>
      <w:r>
        <w:rPr>
          <w:rFonts w:hint="eastAsia"/>
          <w:color w:val="000000"/>
          <w:szCs w:val="32"/>
        </w:rPr>
        <w:t>政府</w:t>
      </w:r>
      <w:r>
        <w:rPr>
          <w:rFonts w:hint="eastAsia"/>
          <w:color w:val="000000"/>
          <w:szCs w:val="32"/>
          <w:lang w:eastAsia="zh-CN"/>
        </w:rPr>
        <w:t>办公室属于一级预算单位，</w:t>
      </w:r>
      <w:r>
        <w:rPr>
          <w:rFonts w:hint="eastAsia"/>
          <w:color w:val="000000"/>
          <w:szCs w:val="32"/>
        </w:rPr>
        <w:t>下属二级单位</w:t>
      </w:r>
      <w:r>
        <w:rPr>
          <w:rFonts w:hint="eastAsia"/>
          <w:color w:val="000000"/>
          <w:szCs w:val="32"/>
          <w:lang w:val="en-US" w:eastAsia="zh-CN"/>
        </w:rPr>
        <w:t>2</w:t>
      </w:r>
      <w:r>
        <w:rPr>
          <w:rFonts w:hint="eastAsia"/>
          <w:color w:val="000000"/>
          <w:szCs w:val="32"/>
        </w:rPr>
        <w:t>个，其中行政单位</w:t>
      </w:r>
      <w:r>
        <w:rPr>
          <w:rFonts w:hint="eastAsia"/>
          <w:color w:val="000000"/>
          <w:szCs w:val="32"/>
          <w:lang w:val="en-US" w:eastAsia="zh-CN"/>
        </w:rPr>
        <w:t>1</w:t>
      </w:r>
      <w:r>
        <w:rPr>
          <w:rFonts w:hint="eastAsia"/>
          <w:color w:val="000000"/>
          <w:szCs w:val="32"/>
        </w:rPr>
        <w:t>个，参照公务员法管理的事业单位</w:t>
      </w:r>
      <w:r>
        <w:rPr>
          <w:rFonts w:hint="eastAsia"/>
          <w:bCs/>
          <w:color w:val="000000"/>
          <w:szCs w:val="32"/>
        </w:rPr>
        <w:t>0</w:t>
      </w:r>
      <w:r>
        <w:rPr>
          <w:rFonts w:hint="eastAsia"/>
          <w:color w:val="000000"/>
          <w:szCs w:val="32"/>
        </w:rPr>
        <w:t>个，其他事业单位</w:t>
      </w:r>
      <w:r>
        <w:rPr>
          <w:rFonts w:hint="eastAsia"/>
          <w:color w:val="000000"/>
          <w:szCs w:val="32"/>
          <w:lang w:val="en-US" w:eastAsia="zh-CN"/>
        </w:rPr>
        <w:t>1</w:t>
      </w:r>
      <w:r>
        <w:rPr>
          <w:rFonts w:hint="eastAsia"/>
          <w:color w:val="000000"/>
          <w:szCs w:val="32"/>
        </w:rPr>
        <w:t>个。</w:t>
      </w:r>
      <w:r>
        <w:tab/>
      </w:r>
      <w:r>
        <w:fldChar w:fldCharType="begin"/>
      </w:r>
      <w:r>
        <w:instrText xml:space="preserve"> PAGEREF _Toc758 \h </w:instrText>
      </w:r>
      <w:r>
        <w:fldChar w:fldCharType="separate"/>
      </w:r>
      <w:r>
        <w:t>7</w:t>
      </w:r>
      <w:r>
        <w:fldChar w:fldCharType="end"/>
      </w:r>
    </w:p>
    <w:p>
      <w:pPr>
        <w:pStyle w:val="14"/>
        <w:tabs>
          <w:tab w:val="right" w:leader="dot" w:pos="8306"/>
        </w:tabs>
      </w:pPr>
      <w:r>
        <w:rPr>
          <w:rFonts w:hint="eastAsia" w:ascii="黑体" w:hAnsi="黑体" w:eastAsia="黑体"/>
          <w:color w:val="000000"/>
        </w:rPr>
        <w:t>第二部分</w:t>
      </w:r>
      <w:r>
        <w:rPr>
          <w:rFonts w:ascii="黑体" w:hAnsi="黑体" w:eastAsia="黑体"/>
          <w:color w:val="000000"/>
        </w:rPr>
        <w:t xml:space="preserve"> </w:t>
      </w:r>
      <w:r>
        <w:rPr>
          <w:rFonts w:hint="eastAsia" w:ascii="黑体" w:hAnsi="黑体" w:eastAsia="黑体"/>
          <w:bCs w:val="0"/>
          <w:lang w:eastAsia="zh-CN"/>
        </w:rPr>
        <w:t>2025年</w:t>
      </w:r>
      <w:r>
        <w:rPr>
          <w:rFonts w:hint="eastAsia" w:ascii="黑体" w:hAnsi="黑体" w:eastAsia="黑体"/>
          <w:bCs w:val="0"/>
        </w:rPr>
        <w:t>部门决算情况说明</w:t>
      </w:r>
      <w:r>
        <w:tab/>
      </w:r>
      <w:r>
        <w:fldChar w:fldCharType="begin"/>
      </w:r>
      <w:r>
        <w:instrText xml:space="preserve"> PAGEREF _Toc9385 \h </w:instrText>
      </w:r>
      <w:r>
        <w:fldChar w:fldCharType="separate"/>
      </w:r>
      <w:r>
        <w:t>7</w:t>
      </w:r>
      <w:r>
        <w:fldChar w:fldCharType="end"/>
      </w:r>
    </w:p>
    <w:p>
      <w:pPr>
        <w:pStyle w:val="17"/>
        <w:tabs>
          <w:tab w:val="right" w:leader="dot" w:pos="8306"/>
        </w:tabs>
      </w:pPr>
      <w:r>
        <w:rPr>
          <w:rFonts w:hint="default" w:ascii="黑体" w:hAnsi="黑体" w:eastAsia="黑体" w:cs="Times New Roman"/>
        </w:rPr>
        <w:t xml:space="preserve">一、 </w:t>
      </w:r>
      <w:r>
        <w:rPr>
          <w:rFonts w:hint="eastAsia" w:ascii="黑体" w:hAnsi="黑体" w:eastAsia="黑体"/>
          <w:color w:val="000000"/>
          <w:szCs w:val="32"/>
        </w:rPr>
        <w:t>收</w:t>
      </w:r>
      <w:r>
        <w:rPr>
          <w:rFonts w:hint="eastAsia" w:ascii="黑体" w:hAnsi="黑体" w:eastAsia="黑体"/>
        </w:rPr>
        <w:t>入支出决算总体情况说明</w:t>
      </w:r>
      <w:r>
        <w:tab/>
      </w:r>
      <w:r>
        <w:fldChar w:fldCharType="begin"/>
      </w:r>
      <w:r>
        <w:instrText xml:space="preserve"> PAGEREF _Toc7819 \h </w:instrText>
      </w:r>
      <w:r>
        <w:fldChar w:fldCharType="separate"/>
      </w:r>
      <w:r>
        <w:t>7</w:t>
      </w:r>
      <w:r>
        <w:fldChar w:fldCharType="end"/>
      </w:r>
    </w:p>
    <w:p>
      <w:pPr>
        <w:pStyle w:val="17"/>
        <w:tabs>
          <w:tab w:val="right" w:leader="dot" w:pos="8306"/>
        </w:tabs>
      </w:pPr>
      <w:r>
        <w:rPr>
          <w:rFonts w:hint="default" w:ascii="黑体" w:hAnsi="黑体" w:eastAsia="黑体" w:cs="Times New Roman"/>
        </w:rPr>
        <w:t xml:space="preserve">二、 </w:t>
      </w:r>
      <w:r>
        <w:rPr>
          <w:rFonts w:hint="eastAsia" w:ascii="黑体" w:hAnsi="黑体" w:eastAsia="黑体"/>
          <w:color w:val="000000"/>
          <w:szCs w:val="32"/>
        </w:rPr>
        <w:t>收</w:t>
      </w:r>
      <w:r>
        <w:rPr>
          <w:rFonts w:hint="eastAsia" w:ascii="黑体" w:hAnsi="黑体" w:eastAsia="黑体"/>
        </w:rPr>
        <w:t>入决算情况说明</w:t>
      </w:r>
      <w:r>
        <w:tab/>
      </w:r>
      <w:r>
        <w:fldChar w:fldCharType="begin"/>
      </w:r>
      <w:r>
        <w:instrText xml:space="preserve"> PAGEREF _Toc9642 \h </w:instrText>
      </w:r>
      <w:r>
        <w:fldChar w:fldCharType="separate"/>
      </w:r>
      <w:r>
        <w:t>8</w:t>
      </w:r>
      <w:r>
        <w:fldChar w:fldCharType="end"/>
      </w:r>
    </w:p>
    <w:p>
      <w:pPr>
        <w:pStyle w:val="17"/>
        <w:tabs>
          <w:tab w:val="right" w:leader="dot" w:pos="8306"/>
        </w:tabs>
      </w:pPr>
      <w:r>
        <w:rPr>
          <w:rFonts w:hint="default" w:ascii="黑体" w:hAnsi="黑体" w:eastAsia="黑体" w:cs="Times New Roman"/>
        </w:rPr>
        <w:t xml:space="preserve">三、 </w:t>
      </w:r>
      <w:r>
        <w:rPr>
          <w:rFonts w:hint="eastAsia" w:ascii="黑体" w:hAnsi="黑体" w:eastAsia="黑体"/>
          <w:color w:val="000000"/>
          <w:szCs w:val="32"/>
        </w:rPr>
        <w:t>支</w:t>
      </w:r>
      <w:r>
        <w:rPr>
          <w:rFonts w:hint="eastAsia" w:ascii="黑体" w:hAnsi="黑体" w:eastAsia="黑体"/>
        </w:rPr>
        <w:t>出决算情况说明</w:t>
      </w:r>
      <w:r>
        <w:tab/>
      </w:r>
      <w:r>
        <w:fldChar w:fldCharType="begin"/>
      </w:r>
      <w:r>
        <w:instrText xml:space="preserve"> PAGEREF _Toc15594 \h </w:instrText>
      </w:r>
      <w:r>
        <w:fldChar w:fldCharType="separate"/>
      </w:r>
      <w:r>
        <w:t>8</w:t>
      </w:r>
      <w:r>
        <w:fldChar w:fldCharType="end"/>
      </w:r>
    </w:p>
    <w:p>
      <w:pPr>
        <w:pStyle w:val="17"/>
        <w:tabs>
          <w:tab w:val="right" w:leader="dot" w:pos="8306"/>
        </w:tabs>
      </w:pPr>
      <w:r>
        <w:rPr>
          <w:rFonts w:hint="eastAsia" w:ascii="黑体" w:hAnsi="黑体" w:eastAsia="黑体"/>
          <w:color w:val="000000"/>
          <w:szCs w:val="32"/>
        </w:rPr>
        <w:t>四、财</w:t>
      </w:r>
      <w:r>
        <w:rPr>
          <w:rFonts w:hint="eastAsia" w:ascii="黑体" w:hAnsi="黑体" w:eastAsia="黑体"/>
        </w:rPr>
        <w:t>政拨款收入支出决算总体情况说明</w:t>
      </w:r>
      <w:r>
        <w:tab/>
      </w:r>
      <w:r>
        <w:fldChar w:fldCharType="begin"/>
      </w:r>
      <w:r>
        <w:instrText xml:space="preserve"> PAGEREF _Toc4226 \h </w:instrText>
      </w:r>
      <w:r>
        <w:fldChar w:fldCharType="separate"/>
      </w:r>
      <w:r>
        <w:t>9</w:t>
      </w:r>
      <w:r>
        <w:fldChar w:fldCharType="end"/>
      </w:r>
    </w:p>
    <w:p>
      <w:pPr>
        <w:pStyle w:val="17"/>
        <w:tabs>
          <w:tab w:val="right" w:leader="dot" w:pos="8306"/>
        </w:tabs>
      </w:pPr>
      <w:r>
        <w:rPr>
          <w:rFonts w:hint="eastAsia" w:ascii="黑体" w:hAnsi="黑体" w:eastAsia="黑体"/>
          <w:color w:val="000000"/>
          <w:szCs w:val="32"/>
        </w:rPr>
        <w:t>五、一</w:t>
      </w:r>
      <w:r>
        <w:rPr>
          <w:rFonts w:hint="eastAsia" w:ascii="黑体" w:hAnsi="黑体" w:eastAsia="黑体"/>
        </w:rPr>
        <w:t>般公共预算财政拨款支出决算情况说明</w:t>
      </w:r>
      <w:r>
        <w:tab/>
      </w:r>
      <w:r>
        <w:fldChar w:fldCharType="begin"/>
      </w:r>
      <w:r>
        <w:instrText xml:space="preserve"> PAGEREF _Toc11304 \h </w:instrText>
      </w:r>
      <w:r>
        <w:fldChar w:fldCharType="separate"/>
      </w:r>
      <w:r>
        <w:t>9</w:t>
      </w:r>
      <w:r>
        <w:fldChar w:fldCharType="end"/>
      </w:r>
    </w:p>
    <w:p>
      <w:pPr>
        <w:pStyle w:val="9"/>
        <w:tabs>
          <w:tab w:val="right" w:leader="dot" w:pos="8306"/>
        </w:tabs>
      </w:pPr>
      <w:r>
        <w:rPr>
          <w:rFonts w:hint="eastAsia" w:ascii="仿宋" w:hAnsi="仿宋" w:eastAsia="仿宋"/>
          <w:color w:val="000000"/>
          <w:szCs w:val="32"/>
        </w:rPr>
        <w:t>（一）一般公共预算财政拨款支出决算总体情况</w:t>
      </w:r>
      <w:r>
        <w:tab/>
      </w:r>
      <w:r>
        <w:fldChar w:fldCharType="begin"/>
      </w:r>
      <w:r>
        <w:instrText xml:space="preserve"> PAGEREF _Toc11930 \h </w:instrText>
      </w:r>
      <w:r>
        <w:fldChar w:fldCharType="separate"/>
      </w:r>
      <w:r>
        <w:t>9</w:t>
      </w:r>
      <w:r>
        <w:fldChar w:fldCharType="end"/>
      </w:r>
    </w:p>
    <w:p>
      <w:pPr>
        <w:pStyle w:val="9"/>
        <w:tabs>
          <w:tab w:val="right" w:leader="dot" w:pos="8306"/>
        </w:tabs>
      </w:pPr>
      <w:r>
        <w:rPr>
          <w:rFonts w:hint="eastAsia" w:ascii="仿宋" w:hAnsi="仿宋" w:eastAsia="仿宋"/>
          <w:color w:val="000000"/>
          <w:szCs w:val="32"/>
        </w:rPr>
        <w:t>（二）一般公共预算财政拨款支出决算结构情况</w:t>
      </w:r>
      <w:r>
        <w:tab/>
      </w:r>
      <w:r>
        <w:fldChar w:fldCharType="begin"/>
      </w:r>
      <w:r>
        <w:instrText xml:space="preserve"> PAGEREF _Toc7430 \h </w:instrText>
      </w:r>
      <w:r>
        <w:fldChar w:fldCharType="separate"/>
      </w:r>
      <w:r>
        <w:t>10</w:t>
      </w:r>
      <w:r>
        <w:fldChar w:fldCharType="end"/>
      </w:r>
    </w:p>
    <w:p>
      <w:pPr>
        <w:pStyle w:val="9"/>
        <w:tabs>
          <w:tab w:val="right" w:leader="dot" w:pos="8306"/>
        </w:tabs>
      </w:pPr>
      <w:r>
        <w:rPr>
          <w:rFonts w:hint="eastAsia" w:ascii="仿宋" w:hAnsi="仿宋" w:eastAsia="仿宋"/>
          <w:color w:val="000000"/>
          <w:szCs w:val="32"/>
        </w:rPr>
        <w:t>（三）一般公共预算财政拨款支出决算具体情况</w:t>
      </w:r>
      <w:r>
        <w:tab/>
      </w:r>
      <w:r>
        <w:fldChar w:fldCharType="begin"/>
      </w:r>
      <w:r>
        <w:instrText xml:space="preserve"> PAGEREF _Toc20141 \h </w:instrText>
      </w:r>
      <w:r>
        <w:fldChar w:fldCharType="separate"/>
      </w:r>
      <w:r>
        <w:t>11</w:t>
      </w:r>
      <w:r>
        <w:fldChar w:fldCharType="end"/>
      </w:r>
    </w:p>
    <w:p>
      <w:pPr>
        <w:pStyle w:val="17"/>
        <w:tabs>
          <w:tab w:val="right" w:leader="dot" w:pos="8306"/>
        </w:tabs>
      </w:pPr>
      <w:r>
        <w:rPr>
          <w:rFonts w:hint="eastAsia" w:ascii="黑体" w:eastAsia="黑体"/>
          <w:color w:val="000000"/>
          <w:szCs w:val="32"/>
        </w:rPr>
        <w:t>六、</w:t>
      </w:r>
      <w:r>
        <w:rPr>
          <w:rFonts w:hint="eastAsia" w:ascii="黑体" w:hAnsi="黑体" w:eastAsia="黑体"/>
          <w:color w:val="000000"/>
          <w:szCs w:val="32"/>
        </w:rPr>
        <w:t>一</w:t>
      </w:r>
      <w:r>
        <w:rPr>
          <w:rFonts w:hint="eastAsia" w:ascii="黑体" w:hAnsi="黑体" w:eastAsia="黑体"/>
        </w:rPr>
        <w:t>般公共预算财政拨款基本支出决算情况说明</w:t>
      </w:r>
      <w:r>
        <w:tab/>
      </w:r>
      <w:r>
        <w:fldChar w:fldCharType="begin"/>
      </w:r>
      <w:r>
        <w:instrText xml:space="preserve"> PAGEREF _Toc26726 \h </w:instrText>
      </w:r>
      <w:r>
        <w:fldChar w:fldCharType="separate"/>
      </w:r>
      <w:r>
        <w:t>12</w:t>
      </w:r>
      <w:r>
        <w:fldChar w:fldCharType="end"/>
      </w:r>
    </w:p>
    <w:p>
      <w:pPr>
        <w:pStyle w:val="17"/>
        <w:tabs>
          <w:tab w:val="right" w:leader="dot" w:pos="8306"/>
        </w:tabs>
      </w:pPr>
      <w:r>
        <w:rPr>
          <w:rFonts w:hint="eastAsia" w:ascii="黑体" w:eastAsia="黑体"/>
          <w:color w:val="000000"/>
          <w:szCs w:val="32"/>
        </w:rPr>
        <w:t>七、</w:t>
      </w:r>
      <w:r>
        <w:rPr>
          <w:rFonts w:hint="eastAsia" w:ascii="黑体" w:hAnsi="黑体" w:eastAsia="黑体"/>
        </w:rPr>
        <w:t>“三公”经费财政拨款支出决算情况说明</w:t>
      </w:r>
      <w:r>
        <w:tab/>
      </w:r>
      <w:r>
        <w:fldChar w:fldCharType="begin"/>
      </w:r>
      <w:r>
        <w:instrText xml:space="preserve"> PAGEREF _Toc24283 \h </w:instrText>
      </w:r>
      <w:r>
        <w:fldChar w:fldCharType="separate"/>
      </w:r>
      <w:r>
        <w:t>12</w:t>
      </w:r>
      <w:r>
        <w:fldChar w:fldCharType="end"/>
      </w:r>
    </w:p>
    <w:p>
      <w:pPr>
        <w:pStyle w:val="9"/>
        <w:tabs>
          <w:tab w:val="right" w:leader="dot" w:pos="8306"/>
        </w:tabs>
      </w:pPr>
      <w:r>
        <w:rPr>
          <w:rFonts w:hint="eastAsia" w:ascii="仿宋" w:hAnsi="仿宋" w:eastAsia="仿宋"/>
          <w:color w:val="000000"/>
          <w:szCs w:val="32"/>
        </w:rPr>
        <w:t>（一）“三公”经费财政拨款支出决算总体情况说明</w:t>
      </w:r>
      <w:r>
        <w:tab/>
      </w:r>
      <w:r>
        <w:fldChar w:fldCharType="begin"/>
      </w:r>
      <w:r>
        <w:instrText xml:space="preserve"> PAGEREF _Toc399 \h </w:instrText>
      </w:r>
      <w:r>
        <w:fldChar w:fldCharType="separate"/>
      </w:r>
      <w:r>
        <w:t>12</w:t>
      </w:r>
      <w:r>
        <w:fldChar w:fldCharType="end"/>
      </w:r>
    </w:p>
    <w:p>
      <w:pPr>
        <w:pStyle w:val="9"/>
        <w:tabs>
          <w:tab w:val="right" w:leader="dot" w:pos="8306"/>
        </w:tabs>
      </w:pPr>
      <w:r>
        <w:rPr>
          <w:rFonts w:hint="eastAsia" w:ascii="仿宋" w:hAnsi="仿宋" w:eastAsia="仿宋"/>
          <w:color w:val="000000"/>
          <w:szCs w:val="32"/>
        </w:rPr>
        <w:t>（二）“三公”经费财政拨款支出决算具体情况说明</w:t>
      </w:r>
      <w:r>
        <w:tab/>
      </w:r>
      <w:r>
        <w:fldChar w:fldCharType="begin"/>
      </w:r>
      <w:r>
        <w:instrText xml:space="preserve"> PAGEREF _Toc21613 \h </w:instrText>
      </w:r>
      <w:r>
        <w:fldChar w:fldCharType="separate"/>
      </w:r>
      <w:r>
        <w:t>13</w:t>
      </w:r>
      <w:r>
        <w:fldChar w:fldCharType="end"/>
      </w:r>
    </w:p>
    <w:p>
      <w:pPr>
        <w:pStyle w:val="17"/>
        <w:tabs>
          <w:tab w:val="right" w:leader="dot" w:pos="8306"/>
        </w:tabs>
      </w:pPr>
      <w:r>
        <w:rPr>
          <w:rFonts w:hint="eastAsia" w:ascii="黑体" w:eastAsia="黑体"/>
          <w:color w:val="000000"/>
          <w:szCs w:val="32"/>
        </w:rPr>
        <w:t>八、</w:t>
      </w:r>
      <w:r>
        <w:rPr>
          <w:rFonts w:hint="eastAsia" w:ascii="黑体" w:hAnsi="黑体" w:eastAsia="黑体"/>
        </w:rPr>
        <w:t>政府性基金预算支出决算情况说明</w:t>
      </w:r>
      <w:r>
        <w:tab/>
      </w:r>
      <w:r>
        <w:fldChar w:fldCharType="begin"/>
      </w:r>
      <w:r>
        <w:instrText xml:space="preserve"> PAGEREF _Toc849 \h </w:instrText>
      </w:r>
      <w:r>
        <w:fldChar w:fldCharType="separate"/>
      </w:r>
      <w:r>
        <w:t>14</w:t>
      </w:r>
      <w:r>
        <w:fldChar w:fldCharType="end"/>
      </w:r>
    </w:p>
    <w:p>
      <w:pPr>
        <w:pStyle w:val="17"/>
        <w:tabs>
          <w:tab w:val="right" w:leader="dot" w:pos="8306"/>
        </w:tabs>
      </w:pPr>
      <w:r>
        <w:rPr>
          <w:rFonts w:hint="eastAsia" w:ascii="黑体" w:hAnsi="黑体" w:eastAsia="黑体" w:cs="Times New Roman"/>
        </w:rPr>
        <w:t xml:space="preserve">九、 </w:t>
      </w:r>
      <w:r>
        <w:rPr>
          <w:rFonts w:hint="eastAsia" w:ascii="黑体" w:hAnsi="黑体" w:eastAsia="黑体"/>
        </w:rPr>
        <w:t>国有资本经营预算支出决算情况说明</w:t>
      </w:r>
      <w:r>
        <w:tab/>
      </w:r>
      <w:r>
        <w:fldChar w:fldCharType="begin"/>
      </w:r>
      <w:r>
        <w:instrText xml:space="preserve"> PAGEREF _Toc14044 \h </w:instrText>
      </w:r>
      <w:r>
        <w:fldChar w:fldCharType="separate"/>
      </w:r>
      <w:r>
        <w:t>14</w:t>
      </w:r>
      <w:r>
        <w:fldChar w:fldCharType="end"/>
      </w:r>
    </w:p>
    <w:p>
      <w:pPr>
        <w:pStyle w:val="17"/>
        <w:tabs>
          <w:tab w:val="right" w:leader="dot" w:pos="8306"/>
        </w:tabs>
      </w:pPr>
      <w:r>
        <w:rPr>
          <w:rFonts w:hint="eastAsia" w:ascii="黑体" w:hAnsi="黑体" w:eastAsia="黑体"/>
          <w:color w:val="000000"/>
          <w:szCs w:val="32"/>
        </w:rPr>
        <w:t>十</w:t>
      </w:r>
      <w:r>
        <w:rPr>
          <w:rFonts w:hint="eastAsia" w:ascii="黑体" w:hAnsi="黑体" w:eastAsia="黑体"/>
        </w:rPr>
        <w:t>、其他重要事项的情况说明</w:t>
      </w:r>
      <w:r>
        <w:tab/>
      </w:r>
      <w:r>
        <w:fldChar w:fldCharType="begin"/>
      </w:r>
      <w:r>
        <w:instrText xml:space="preserve"> PAGEREF _Toc30600 \h </w:instrText>
      </w:r>
      <w:r>
        <w:fldChar w:fldCharType="separate"/>
      </w:r>
      <w:r>
        <w:t>14</w:t>
      </w:r>
      <w:r>
        <w:fldChar w:fldCharType="end"/>
      </w:r>
    </w:p>
    <w:p>
      <w:pPr>
        <w:pStyle w:val="9"/>
        <w:tabs>
          <w:tab w:val="right" w:leader="dot" w:pos="8306"/>
        </w:tabs>
      </w:pPr>
      <w:r>
        <w:rPr>
          <w:rFonts w:hint="eastAsia" w:ascii="仿宋" w:hAnsi="仿宋" w:eastAsia="仿宋"/>
          <w:color w:val="000000"/>
          <w:szCs w:val="32"/>
        </w:rPr>
        <w:t>（一）机关运行经费支出情况</w:t>
      </w:r>
      <w:r>
        <w:tab/>
      </w:r>
      <w:r>
        <w:fldChar w:fldCharType="begin"/>
      </w:r>
      <w:r>
        <w:instrText xml:space="preserve"> PAGEREF _Toc4043 \h </w:instrText>
      </w:r>
      <w:r>
        <w:fldChar w:fldCharType="separate"/>
      </w:r>
      <w:r>
        <w:t>14</w:t>
      </w:r>
      <w:r>
        <w:fldChar w:fldCharType="end"/>
      </w:r>
    </w:p>
    <w:p>
      <w:pPr>
        <w:pStyle w:val="9"/>
        <w:tabs>
          <w:tab w:val="right" w:leader="dot" w:pos="8306"/>
        </w:tabs>
      </w:pPr>
      <w:r>
        <w:rPr>
          <w:rFonts w:hint="eastAsia" w:ascii="仿宋" w:hAnsi="仿宋" w:eastAsia="仿宋"/>
          <w:color w:val="000000"/>
          <w:szCs w:val="32"/>
        </w:rPr>
        <w:t>（二）政府采购支出情况</w:t>
      </w:r>
      <w:r>
        <w:tab/>
      </w:r>
      <w:r>
        <w:fldChar w:fldCharType="begin"/>
      </w:r>
      <w:r>
        <w:instrText xml:space="preserve"> PAGEREF _Toc13210 \h </w:instrText>
      </w:r>
      <w:r>
        <w:fldChar w:fldCharType="separate"/>
      </w:r>
      <w:r>
        <w:t>15</w:t>
      </w:r>
      <w:r>
        <w:fldChar w:fldCharType="end"/>
      </w:r>
    </w:p>
    <w:p>
      <w:pPr>
        <w:pStyle w:val="9"/>
        <w:tabs>
          <w:tab w:val="right" w:leader="dot" w:pos="8306"/>
        </w:tabs>
      </w:pPr>
      <w:r>
        <w:rPr>
          <w:rFonts w:hint="eastAsia" w:ascii="仿宋" w:hAnsi="仿宋" w:eastAsia="仿宋"/>
          <w:color w:val="000000"/>
          <w:szCs w:val="32"/>
        </w:rPr>
        <w:t>（三）国有资产占有使用情况</w:t>
      </w:r>
      <w:r>
        <w:tab/>
      </w:r>
      <w:r>
        <w:fldChar w:fldCharType="begin"/>
      </w:r>
      <w:r>
        <w:instrText xml:space="preserve"> PAGEREF _Toc20503 \h </w:instrText>
      </w:r>
      <w:r>
        <w:fldChar w:fldCharType="separate"/>
      </w:r>
      <w:r>
        <w:t>15</w:t>
      </w:r>
      <w:r>
        <w:fldChar w:fldCharType="end"/>
      </w:r>
    </w:p>
    <w:p>
      <w:pPr>
        <w:pStyle w:val="9"/>
        <w:tabs>
          <w:tab w:val="right" w:leader="dot" w:pos="8306"/>
        </w:tabs>
      </w:pPr>
      <w:r>
        <w:rPr>
          <w:rFonts w:hint="eastAsia" w:ascii="仿宋" w:hAnsi="仿宋" w:eastAsia="仿宋"/>
          <w:color w:val="000000"/>
          <w:szCs w:val="32"/>
        </w:rPr>
        <w:t>（四）预算绩效管理情况。</w:t>
      </w:r>
      <w:r>
        <w:tab/>
      </w:r>
      <w:r>
        <w:fldChar w:fldCharType="begin"/>
      </w:r>
      <w:r>
        <w:instrText xml:space="preserve"> PAGEREF _Toc14804 \h </w:instrText>
      </w:r>
      <w:r>
        <w:fldChar w:fldCharType="separate"/>
      </w:r>
      <w:r>
        <w:t>15</w:t>
      </w:r>
      <w:r>
        <w:fldChar w:fldCharType="end"/>
      </w:r>
    </w:p>
    <w:p>
      <w:pPr>
        <w:pStyle w:val="14"/>
        <w:tabs>
          <w:tab w:val="right" w:leader="dot" w:pos="8306"/>
        </w:tabs>
      </w:pPr>
      <w:r>
        <w:rPr>
          <w:rFonts w:hint="eastAsia" w:ascii="黑体" w:hAnsi="黑体" w:eastAsia="黑体" w:cs="Times New Roman"/>
        </w:rPr>
        <w:t xml:space="preserve">第三部分 </w:t>
      </w:r>
      <w:r>
        <w:rPr>
          <w:rFonts w:hint="eastAsia" w:ascii="黑体" w:hAnsi="黑体" w:eastAsia="黑体"/>
          <w:color w:val="000000"/>
          <w:szCs w:val="44"/>
        </w:rPr>
        <w:t>名</w:t>
      </w:r>
      <w:r>
        <w:rPr>
          <w:rFonts w:hint="eastAsia" w:ascii="黑体" w:hAnsi="黑体" w:eastAsia="黑体"/>
        </w:rPr>
        <w:t>词解释</w:t>
      </w:r>
      <w:r>
        <w:tab/>
      </w:r>
      <w:r>
        <w:fldChar w:fldCharType="begin"/>
      </w:r>
      <w:r>
        <w:instrText xml:space="preserve"> PAGEREF _Toc31278 \h </w:instrText>
      </w:r>
      <w:r>
        <w:fldChar w:fldCharType="separate"/>
      </w:r>
      <w:r>
        <w:t>16</w:t>
      </w:r>
      <w:r>
        <w:fldChar w:fldCharType="end"/>
      </w:r>
    </w:p>
    <w:p>
      <w:pPr>
        <w:pStyle w:val="14"/>
        <w:tabs>
          <w:tab w:val="right" w:leader="dot" w:pos="8306"/>
        </w:tabs>
      </w:pPr>
      <w:r>
        <w:rPr>
          <w:rFonts w:hint="eastAsia" w:ascii="黑体" w:hAnsi="黑体" w:eastAsia="黑体"/>
          <w:color w:val="000000"/>
          <w:szCs w:val="44"/>
        </w:rPr>
        <w:t>第</w:t>
      </w:r>
      <w:r>
        <w:rPr>
          <w:rFonts w:hint="eastAsia" w:ascii="黑体" w:hAnsi="黑体" w:eastAsia="黑体"/>
        </w:rPr>
        <w:t>四部分</w:t>
      </w:r>
      <w:r>
        <w:rPr>
          <w:rFonts w:ascii="黑体" w:hAnsi="黑体" w:eastAsia="黑体"/>
        </w:rPr>
        <w:t xml:space="preserve"> </w:t>
      </w:r>
      <w:r>
        <w:rPr>
          <w:rFonts w:hint="eastAsia" w:ascii="黑体" w:hAnsi="黑体" w:eastAsia="黑体"/>
        </w:rPr>
        <w:t>附件</w:t>
      </w:r>
      <w:r>
        <w:tab/>
      </w:r>
      <w:r>
        <w:fldChar w:fldCharType="begin"/>
      </w:r>
      <w:r>
        <w:instrText xml:space="preserve"> PAGEREF _Toc20190 \h </w:instrText>
      </w:r>
      <w:r>
        <w:fldChar w:fldCharType="separate"/>
      </w:r>
      <w:r>
        <w:t>19</w:t>
      </w:r>
      <w:r>
        <w:fldChar w:fldCharType="end"/>
      </w:r>
    </w:p>
    <w:p>
      <w:pPr>
        <w:pStyle w:val="14"/>
        <w:tabs>
          <w:tab w:val="right" w:leader="dot" w:pos="8306"/>
        </w:tabs>
      </w:pPr>
      <w:r>
        <w:rPr>
          <w:rFonts w:hint="eastAsia" w:ascii="黑体" w:hAnsi="黑体" w:eastAsia="黑体" w:cs="黑体"/>
          <w:szCs w:val="32"/>
        </w:rPr>
        <w:t>附件</w:t>
      </w:r>
      <w:r>
        <w:rPr>
          <w:rFonts w:ascii="黑体" w:hAnsi="黑体" w:eastAsia="黑体" w:cs="黑体"/>
          <w:szCs w:val="32"/>
        </w:rPr>
        <w:t>1</w:t>
      </w:r>
      <w:r>
        <w:tab/>
      </w:r>
      <w:r>
        <w:fldChar w:fldCharType="begin"/>
      </w:r>
      <w:r>
        <w:instrText xml:space="preserve"> PAGEREF _Toc9284 \h </w:instrText>
      </w:r>
      <w:r>
        <w:fldChar w:fldCharType="separate"/>
      </w:r>
      <w:r>
        <w:t>19</w:t>
      </w:r>
      <w:r>
        <w:fldChar w:fldCharType="end"/>
      </w:r>
    </w:p>
    <w:p>
      <w:pPr>
        <w:pStyle w:val="14"/>
        <w:tabs>
          <w:tab w:val="right" w:leader="dot" w:pos="8306"/>
        </w:tabs>
      </w:pPr>
      <w:r>
        <w:rPr>
          <w:rFonts w:hint="eastAsia" w:ascii="方正小标宋简体" w:hAnsi="黑体" w:eastAsia="方正小标宋简体" w:cs="黑体"/>
          <w:szCs w:val="44"/>
          <w:lang w:eastAsia="zh-CN"/>
        </w:rPr>
        <w:t>小金县人民政府办公室2025年</w:t>
      </w:r>
      <w:r>
        <w:rPr>
          <w:rFonts w:hint="eastAsia" w:ascii="方正小标宋简体" w:hAnsi="黑体" w:eastAsia="方正小标宋简体" w:cs="黑体"/>
          <w:szCs w:val="44"/>
        </w:rPr>
        <w:t>部门</w:t>
      </w:r>
      <w:r>
        <w:rPr>
          <w:rFonts w:hint="eastAsia" w:ascii="方正小标宋简体" w:hAnsi="黑体" w:eastAsia="方正小标宋简体" w:cs="黑体"/>
          <w:szCs w:val="44"/>
          <w:lang w:val="en-US" w:eastAsia="zh-CN"/>
        </w:rPr>
        <w:t>预算</w:t>
      </w:r>
      <w:r>
        <w:rPr>
          <w:rFonts w:hint="eastAsia" w:ascii="方正小标宋简体" w:hAnsi="黑体" w:eastAsia="方正小标宋简体" w:cs="黑体"/>
          <w:szCs w:val="44"/>
        </w:rPr>
        <w:t>绩效评价报告</w:t>
      </w:r>
      <w:r>
        <w:tab/>
      </w:r>
      <w:r>
        <w:fldChar w:fldCharType="begin"/>
      </w:r>
      <w:r>
        <w:instrText xml:space="preserve"> PAGEREF _Toc11164 \h </w:instrText>
      </w:r>
      <w:r>
        <w:fldChar w:fldCharType="separate"/>
      </w:r>
      <w:r>
        <w:t>19</w:t>
      </w:r>
      <w:r>
        <w:fldChar w:fldCharType="end"/>
      </w:r>
    </w:p>
    <w:p>
      <w:pPr>
        <w:pStyle w:val="14"/>
        <w:tabs>
          <w:tab w:val="right" w:leader="dot" w:pos="8306"/>
        </w:tabs>
      </w:pPr>
      <w:r>
        <w:rPr>
          <w:rFonts w:hint="eastAsia" w:ascii="黑体" w:hAnsi="黑体" w:eastAsia="黑体" w:cs="黑体"/>
          <w:szCs w:val="32"/>
        </w:rPr>
        <w:t>附件</w:t>
      </w:r>
      <w:r>
        <w:rPr>
          <w:rFonts w:ascii="黑体" w:hAnsi="黑体" w:eastAsia="黑体" w:cs="黑体"/>
          <w:szCs w:val="32"/>
        </w:rPr>
        <w:t>2</w:t>
      </w:r>
      <w:r>
        <w:tab/>
      </w:r>
      <w:r>
        <w:fldChar w:fldCharType="begin"/>
      </w:r>
      <w:r>
        <w:instrText xml:space="preserve"> PAGEREF _Toc14635 \h </w:instrText>
      </w:r>
      <w:r>
        <w:fldChar w:fldCharType="separate"/>
      </w:r>
      <w:r>
        <w:t>22</w:t>
      </w:r>
      <w:r>
        <w:fldChar w:fldCharType="end"/>
      </w:r>
    </w:p>
    <w:p>
      <w:pPr>
        <w:pStyle w:val="14"/>
        <w:tabs>
          <w:tab w:val="right" w:leader="dot" w:pos="8306"/>
        </w:tabs>
      </w:pPr>
      <w:r>
        <w:rPr>
          <w:rFonts w:hint="default" w:ascii="Times New Roman" w:hAnsi="Times New Roman" w:eastAsia="楷体_GB2312" w:cs="Times New Roman"/>
          <w:color w:val="auto"/>
          <w:szCs w:val="32"/>
          <w:highlight w:val="none"/>
          <w:u w:val="none"/>
          <w:lang w:val="zh-CN" w:eastAsia="zh-CN"/>
        </w:rPr>
        <w:t>（四）项目绩效目标设置。</w:t>
      </w:r>
      <w:r>
        <w:tab/>
      </w:r>
      <w:r>
        <w:fldChar w:fldCharType="begin"/>
      </w:r>
      <w:r>
        <w:instrText xml:space="preserve"> PAGEREF _Toc14123 \h </w:instrText>
      </w:r>
      <w:r>
        <w:fldChar w:fldCharType="separate"/>
      </w:r>
      <w:r>
        <w:t>23</w:t>
      </w:r>
      <w:r>
        <w:fldChar w:fldCharType="end"/>
      </w:r>
    </w:p>
    <w:p>
      <w:pPr>
        <w:pStyle w:val="14"/>
        <w:tabs>
          <w:tab w:val="right" w:leader="dot" w:pos="8306"/>
        </w:tabs>
      </w:pPr>
      <w:r>
        <w:rPr>
          <w:rFonts w:hint="eastAsia" w:ascii="黑体" w:hAnsi="黑体" w:eastAsia="黑体"/>
        </w:rPr>
        <w:t>第</w:t>
      </w:r>
      <w:r>
        <w:rPr>
          <w:rFonts w:hint="eastAsia" w:ascii="黑体" w:hAnsi="黑体" w:eastAsia="黑体"/>
          <w:lang w:val="en-US" w:eastAsia="zh-CN"/>
        </w:rPr>
        <w:t>五</w:t>
      </w:r>
      <w:r>
        <w:rPr>
          <w:rFonts w:hint="eastAsia" w:ascii="黑体" w:hAnsi="黑体" w:eastAsia="黑体"/>
        </w:rPr>
        <w:t>部分 附表</w:t>
      </w:r>
      <w:r>
        <w:tab/>
      </w:r>
      <w:r>
        <w:fldChar w:fldCharType="begin"/>
      </w:r>
      <w:r>
        <w:instrText xml:space="preserve"> PAGEREF _Toc21709 \h </w:instrText>
      </w:r>
      <w:r>
        <w:fldChar w:fldCharType="separate"/>
      </w:r>
      <w:r>
        <w:t>27</w:t>
      </w:r>
      <w:r>
        <w:fldChar w:fldCharType="end"/>
      </w:r>
    </w:p>
    <w:p>
      <w:pPr>
        <w:pStyle w:val="14"/>
        <w:tabs>
          <w:tab w:val="right" w:leader="dot" w:pos="8306"/>
        </w:tabs>
      </w:pPr>
      <w:r>
        <w:rPr>
          <w:rFonts w:hint="eastAsia" w:ascii="仿宋" w:hAnsi="仿宋" w:eastAsia="仿宋" w:cs="Times New Roman"/>
          <w:bCs w:val="0"/>
          <w:lang w:val="en-US" w:eastAsia="zh-CN" w:bidi="ar-SA"/>
        </w:rPr>
        <w:t>一、收入支出</w:t>
      </w:r>
      <w:r>
        <w:rPr>
          <w:rFonts w:hint="eastAsia" w:ascii="仿宋" w:hAnsi="仿宋" w:eastAsia="仿宋"/>
          <w:bCs w:val="0"/>
        </w:rPr>
        <w:t>决算总表</w:t>
      </w:r>
      <w:r>
        <w:tab/>
      </w:r>
      <w:r>
        <w:fldChar w:fldCharType="begin"/>
      </w:r>
      <w:r>
        <w:instrText xml:space="preserve"> PAGEREF _Toc20976 \h </w:instrText>
      </w:r>
      <w:r>
        <w:fldChar w:fldCharType="separate"/>
      </w:r>
      <w:r>
        <w:t>27</w:t>
      </w:r>
      <w:r>
        <w:fldChar w:fldCharType="end"/>
      </w:r>
    </w:p>
    <w:p>
      <w:pPr>
        <w:pStyle w:val="14"/>
        <w:tabs>
          <w:tab w:val="right" w:leader="dot" w:pos="8306"/>
        </w:tabs>
      </w:pPr>
      <w:r>
        <w:rPr>
          <w:rFonts w:hint="eastAsia" w:ascii="仿宋" w:hAnsi="仿宋" w:eastAsia="仿宋" w:cs="Times New Roman"/>
          <w:bCs w:val="0"/>
          <w:lang w:val="en-US" w:eastAsia="zh-CN" w:bidi="ar-SA"/>
        </w:rPr>
        <w:t>二、收入决算表</w:t>
      </w:r>
      <w:r>
        <w:tab/>
      </w:r>
      <w:r>
        <w:fldChar w:fldCharType="begin"/>
      </w:r>
      <w:r>
        <w:instrText xml:space="preserve"> PAGEREF _Toc16798 \h </w:instrText>
      </w:r>
      <w:r>
        <w:fldChar w:fldCharType="separate"/>
      </w:r>
      <w:r>
        <w:t>27</w:t>
      </w:r>
      <w:r>
        <w:fldChar w:fldCharType="end"/>
      </w:r>
    </w:p>
    <w:p>
      <w:pPr>
        <w:pStyle w:val="14"/>
        <w:tabs>
          <w:tab w:val="right" w:leader="dot" w:pos="8306"/>
        </w:tabs>
      </w:pPr>
      <w:r>
        <w:rPr>
          <w:rFonts w:hint="eastAsia" w:ascii="仿宋" w:hAnsi="仿宋" w:eastAsia="仿宋"/>
          <w:bCs w:val="0"/>
        </w:rPr>
        <w:t>三、</w:t>
      </w:r>
      <w:r>
        <w:rPr>
          <w:rFonts w:hint="eastAsia" w:ascii="仿宋" w:hAnsi="仿宋" w:eastAsia="仿宋" w:cs="Times New Roman"/>
          <w:bCs w:val="0"/>
          <w:lang w:val="en-US" w:eastAsia="zh-CN" w:bidi="ar-SA"/>
        </w:rPr>
        <w:t>支出决算表</w:t>
      </w:r>
      <w:r>
        <w:tab/>
      </w:r>
      <w:r>
        <w:fldChar w:fldCharType="begin"/>
      </w:r>
      <w:r>
        <w:instrText xml:space="preserve"> PAGEREF _Toc16833 \h </w:instrText>
      </w:r>
      <w:r>
        <w:fldChar w:fldCharType="separate"/>
      </w:r>
      <w:r>
        <w:t>27</w:t>
      </w:r>
      <w:r>
        <w:fldChar w:fldCharType="end"/>
      </w:r>
    </w:p>
    <w:p>
      <w:pPr>
        <w:pStyle w:val="14"/>
        <w:tabs>
          <w:tab w:val="right" w:leader="dot" w:pos="8306"/>
        </w:tabs>
      </w:pPr>
      <w:r>
        <w:rPr>
          <w:rFonts w:hint="eastAsia" w:ascii="仿宋" w:hAnsi="仿宋" w:eastAsia="仿宋" w:cs="Times New Roman"/>
          <w:bCs w:val="0"/>
          <w:lang w:val="en-US" w:eastAsia="zh-CN" w:bidi="ar-SA"/>
        </w:rPr>
        <w:t>四、财政拨款收入支出决算总表</w:t>
      </w:r>
      <w:r>
        <w:tab/>
      </w:r>
      <w:r>
        <w:fldChar w:fldCharType="begin"/>
      </w:r>
      <w:r>
        <w:instrText xml:space="preserve"> PAGEREF _Toc1667 \h </w:instrText>
      </w:r>
      <w:r>
        <w:fldChar w:fldCharType="separate"/>
      </w:r>
      <w:r>
        <w:t>27</w:t>
      </w:r>
      <w:r>
        <w:fldChar w:fldCharType="end"/>
      </w:r>
    </w:p>
    <w:p>
      <w:pPr>
        <w:pStyle w:val="14"/>
        <w:tabs>
          <w:tab w:val="right" w:leader="dot" w:pos="8306"/>
        </w:tabs>
      </w:pPr>
      <w:r>
        <w:rPr>
          <w:rFonts w:hint="eastAsia" w:ascii="仿宋" w:hAnsi="仿宋" w:eastAsia="仿宋" w:cs="Times New Roman"/>
          <w:bCs w:val="0"/>
          <w:lang w:val="en-US" w:eastAsia="zh-CN" w:bidi="ar-SA"/>
        </w:rPr>
        <w:t>五、财</w:t>
      </w:r>
      <w:r>
        <w:rPr>
          <w:rFonts w:hint="eastAsia" w:ascii="仿宋" w:hAnsi="仿宋" w:eastAsia="仿宋"/>
          <w:bCs w:val="0"/>
        </w:rPr>
        <w:t>政拨款支出决算明细表</w:t>
      </w:r>
      <w:r>
        <w:tab/>
      </w:r>
      <w:r>
        <w:fldChar w:fldCharType="begin"/>
      </w:r>
      <w:r>
        <w:instrText xml:space="preserve"> PAGEREF _Toc4273 \h </w:instrText>
      </w:r>
      <w:r>
        <w:fldChar w:fldCharType="separate"/>
      </w:r>
      <w:r>
        <w:t>27</w:t>
      </w:r>
      <w:r>
        <w:fldChar w:fldCharType="end"/>
      </w:r>
    </w:p>
    <w:p>
      <w:pPr>
        <w:pStyle w:val="17"/>
        <w:tabs>
          <w:tab w:val="right" w:leader="dot" w:pos="8306"/>
        </w:tabs>
      </w:pPr>
      <w:r>
        <w:rPr>
          <w:rFonts w:hint="eastAsia" w:ascii="仿宋" w:hAnsi="仿宋" w:eastAsia="仿宋"/>
          <w:bCs w:val="0"/>
        </w:rPr>
        <w:t>六、</w:t>
      </w:r>
      <w:r>
        <w:rPr>
          <w:rFonts w:hint="eastAsia" w:ascii="仿宋" w:hAnsi="仿宋" w:eastAsia="仿宋"/>
          <w:color w:val="000000"/>
        </w:rPr>
        <w:t>一</w:t>
      </w:r>
      <w:r>
        <w:rPr>
          <w:rFonts w:hint="eastAsia" w:ascii="仿宋" w:hAnsi="仿宋" w:eastAsia="仿宋"/>
          <w:bCs w:val="0"/>
        </w:rPr>
        <w:t>般公共预算财政拨款支出决算表</w:t>
      </w:r>
      <w:r>
        <w:tab/>
      </w:r>
      <w:r>
        <w:fldChar w:fldCharType="begin"/>
      </w:r>
      <w:r>
        <w:instrText xml:space="preserve"> PAGEREF _Toc12538 \h </w:instrText>
      </w:r>
      <w:r>
        <w:fldChar w:fldCharType="separate"/>
      </w:r>
      <w:r>
        <w:t>27</w:t>
      </w:r>
      <w:r>
        <w:fldChar w:fldCharType="end"/>
      </w:r>
    </w:p>
    <w:p>
      <w:pPr>
        <w:pStyle w:val="17"/>
        <w:tabs>
          <w:tab w:val="right" w:leader="dot" w:pos="8306"/>
        </w:tabs>
      </w:pPr>
      <w:r>
        <w:rPr>
          <w:rFonts w:hint="eastAsia" w:ascii="仿宋" w:hAnsi="仿宋" w:eastAsia="仿宋"/>
          <w:bCs w:val="0"/>
        </w:rPr>
        <w:t>七、</w:t>
      </w:r>
      <w:r>
        <w:rPr>
          <w:rFonts w:hint="eastAsia" w:ascii="仿宋" w:hAnsi="仿宋" w:eastAsia="仿宋"/>
          <w:color w:val="000000"/>
        </w:rPr>
        <w:t>一</w:t>
      </w:r>
      <w:r>
        <w:rPr>
          <w:rFonts w:hint="eastAsia" w:ascii="仿宋" w:hAnsi="仿宋" w:eastAsia="仿宋"/>
          <w:bCs w:val="0"/>
        </w:rPr>
        <w:t>般公共预算财政拨款支出决算明细表</w:t>
      </w:r>
      <w:r>
        <w:tab/>
      </w:r>
      <w:r>
        <w:fldChar w:fldCharType="begin"/>
      </w:r>
      <w:r>
        <w:instrText xml:space="preserve"> PAGEREF _Toc31509 \h </w:instrText>
      </w:r>
      <w:r>
        <w:fldChar w:fldCharType="separate"/>
      </w:r>
      <w:r>
        <w:t>27</w:t>
      </w:r>
      <w:r>
        <w:fldChar w:fldCharType="end"/>
      </w:r>
    </w:p>
    <w:p>
      <w:pPr>
        <w:pStyle w:val="17"/>
        <w:tabs>
          <w:tab w:val="right" w:leader="dot" w:pos="8306"/>
        </w:tabs>
      </w:pPr>
      <w:r>
        <w:rPr>
          <w:rFonts w:hint="eastAsia" w:ascii="仿宋" w:hAnsi="仿宋" w:eastAsia="仿宋"/>
          <w:bCs w:val="0"/>
        </w:rPr>
        <w:t>八、</w:t>
      </w:r>
      <w:r>
        <w:rPr>
          <w:rFonts w:hint="eastAsia" w:ascii="仿宋" w:hAnsi="仿宋" w:eastAsia="仿宋"/>
          <w:color w:val="000000"/>
        </w:rPr>
        <w:t>一</w:t>
      </w:r>
      <w:r>
        <w:rPr>
          <w:rFonts w:hint="eastAsia" w:ascii="仿宋" w:hAnsi="仿宋" w:eastAsia="仿宋"/>
          <w:bCs w:val="0"/>
        </w:rPr>
        <w:t>般公共预算财政拨款基本支出决算表</w:t>
      </w:r>
      <w:r>
        <w:tab/>
      </w:r>
      <w:r>
        <w:fldChar w:fldCharType="begin"/>
      </w:r>
      <w:r>
        <w:instrText xml:space="preserve"> PAGEREF _Toc9615 \h </w:instrText>
      </w:r>
      <w:r>
        <w:fldChar w:fldCharType="separate"/>
      </w:r>
      <w:r>
        <w:t>27</w:t>
      </w:r>
      <w:r>
        <w:fldChar w:fldCharType="end"/>
      </w:r>
    </w:p>
    <w:p>
      <w:pPr>
        <w:pStyle w:val="17"/>
        <w:tabs>
          <w:tab w:val="right" w:leader="dot" w:pos="8306"/>
        </w:tabs>
      </w:pPr>
      <w:r>
        <w:rPr>
          <w:rFonts w:hint="eastAsia" w:ascii="仿宋" w:hAnsi="仿宋" w:eastAsia="仿宋"/>
          <w:bCs w:val="0"/>
        </w:rPr>
        <w:t>九、</w:t>
      </w:r>
      <w:r>
        <w:rPr>
          <w:rFonts w:hint="eastAsia" w:ascii="仿宋" w:hAnsi="仿宋" w:eastAsia="仿宋"/>
          <w:color w:val="000000"/>
        </w:rPr>
        <w:t>一</w:t>
      </w:r>
      <w:r>
        <w:rPr>
          <w:rFonts w:hint="eastAsia" w:ascii="仿宋" w:hAnsi="仿宋" w:eastAsia="仿宋"/>
          <w:bCs w:val="0"/>
        </w:rPr>
        <w:t>般公共预算财政拨款项目支出决算表</w:t>
      </w:r>
      <w:r>
        <w:tab/>
      </w:r>
      <w:r>
        <w:fldChar w:fldCharType="begin"/>
      </w:r>
      <w:r>
        <w:instrText xml:space="preserve"> PAGEREF _Toc11950 \h </w:instrText>
      </w:r>
      <w:r>
        <w:fldChar w:fldCharType="separate"/>
      </w:r>
      <w:r>
        <w:t>27</w:t>
      </w:r>
      <w:r>
        <w:fldChar w:fldCharType="end"/>
      </w:r>
    </w:p>
    <w:p>
      <w:pPr>
        <w:pStyle w:val="17"/>
        <w:tabs>
          <w:tab w:val="right" w:leader="dot" w:pos="8306"/>
        </w:tabs>
      </w:pPr>
      <w:r>
        <w:rPr>
          <w:rFonts w:hint="eastAsia" w:ascii="仿宋" w:hAnsi="仿宋" w:eastAsia="仿宋"/>
          <w:bCs w:val="0"/>
        </w:rPr>
        <w:t>十、</w:t>
      </w:r>
      <w:r>
        <w:rPr>
          <w:rFonts w:hint="eastAsia" w:ascii="仿宋" w:hAnsi="仿宋" w:eastAsia="仿宋"/>
          <w:color w:val="000000"/>
        </w:rPr>
        <w:t>一</w:t>
      </w:r>
      <w:r>
        <w:rPr>
          <w:rFonts w:hint="eastAsia" w:ascii="仿宋" w:hAnsi="仿宋" w:eastAsia="仿宋"/>
          <w:bCs w:val="0"/>
        </w:rPr>
        <w:t>般公共预算财政拨款“三公”经费支出决算表</w:t>
      </w:r>
      <w:r>
        <w:tab/>
      </w:r>
      <w:r>
        <w:fldChar w:fldCharType="begin"/>
      </w:r>
      <w:r>
        <w:instrText xml:space="preserve"> PAGEREF _Toc20701 \h </w:instrText>
      </w:r>
      <w:r>
        <w:fldChar w:fldCharType="separate"/>
      </w:r>
      <w:r>
        <w:t>27</w:t>
      </w:r>
      <w:r>
        <w:fldChar w:fldCharType="end"/>
      </w:r>
    </w:p>
    <w:p>
      <w:pPr>
        <w:pStyle w:val="17"/>
        <w:tabs>
          <w:tab w:val="right" w:leader="dot" w:pos="8306"/>
        </w:tabs>
      </w:pPr>
      <w:r>
        <w:rPr>
          <w:rFonts w:hint="eastAsia" w:ascii="仿宋" w:hAnsi="仿宋" w:eastAsia="仿宋"/>
          <w:bCs w:val="0"/>
        </w:rPr>
        <w:t>十一、</w:t>
      </w:r>
      <w:r>
        <w:rPr>
          <w:rFonts w:hint="eastAsia" w:ascii="仿宋" w:hAnsi="仿宋" w:eastAsia="仿宋"/>
          <w:color w:val="000000"/>
        </w:rPr>
        <w:t>政</w:t>
      </w:r>
      <w:r>
        <w:rPr>
          <w:rFonts w:hint="eastAsia" w:ascii="仿宋" w:hAnsi="仿宋" w:eastAsia="仿宋"/>
          <w:bCs w:val="0"/>
        </w:rPr>
        <w:t>府性基金预算财政拨款收入支出决算表</w:t>
      </w:r>
      <w:r>
        <w:tab/>
      </w:r>
      <w:r>
        <w:fldChar w:fldCharType="begin"/>
      </w:r>
      <w:r>
        <w:instrText xml:space="preserve"> PAGEREF _Toc27676 \h </w:instrText>
      </w:r>
      <w:r>
        <w:fldChar w:fldCharType="separate"/>
      </w:r>
      <w:r>
        <w:t>27</w:t>
      </w:r>
      <w:r>
        <w:fldChar w:fldCharType="end"/>
      </w:r>
    </w:p>
    <w:p>
      <w:pPr>
        <w:pStyle w:val="17"/>
        <w:tabs>
          <w:tab w:val="right" w:leader="dot" w:pos="8306"/>
        </w:tabs>
      </w:pPr>
      <w:r>
        <w:rPr>
          <w:rFonts w:hint="eastAsia" w:ascii="仿宋" w:hAnsi="仿宋" w:eastAsia="仿宋"/>
          <w:bCs w:val="0"/>
        </w:rPr>
        <w:t>十二、</w:t>
      </w:r>
      <w:r>
        <w:rPr>
          <w:rFonts w:hint="eastAsia" w:ascii="仿宋" w:hAnsi="仿宋" w:eastAsia="仿宋"/>
          <w:color w:val="000000"/>
        </w:rPr>
        <w:t>政</w:t>
      </w:r>
      <w:r>
        <w:rPr>
          <w:rFonts w:hint="eastAsia" w:ascii="仿宋" w:hAnsi="仿宋" w:eastAsia="仿宋"/>
          <w:bCs w:val="0"/>
        </w:rPr>
        <w:t>府性基金预算财政拨款“三公”经费支出决算表</w:t>
      </w:r>
      <w:r>
        <w:tab/>
      </w:r>
      <w:r>
        <w:fldChar w:fldCharType="begin"/>
      </w:r>
      <w:r>
        <w:instrText xml:space="preserve"> PAGEREF _Toc9643 \h </w:instrText>
      </w:r>
      <w:r>
        <w:fldChar w:fldCharType="separate"/>
      </w:r>
      <w:r>
        <w:t>27</w:t>
      </w:r>
      <w:r>
        <w:fldChar w:fldCharType="end"/>
      </w:r>
    </w:p>
    <w:p>
      <w:pPr>
        <w:pStyle w:val="17"/>
        <w:tabs>
          <w:tab w:val="right" w:leader="dot" w:pos="8306"/>
        </w:tabs>
      </w:pPr>
      <w:r>
        <w:rPr>
          <w:rFonts w:hint="eastAsia" w:ascii="仿宋" w:hAnsi="仿宋" w:eastAsia="仿宋"/>
          <w:bCs w:val="0"/>
        </w:rPr>
        <w:t>十三、</w:t>
      </w:r>
      <w:r>
        <w:rPr>
          <w:rFonts w:hint="eastAsia" w:ascii="仿宋" w:hAnsi="仿宋" w:eastAsia="仿宋"/>
          <w:color w:val="000000"/>
        </w:rPr>
        <w:t>国</w:t>
      </w:r>
      <w:r>
        <w:rPr>
          <w:rFonts w:hint="eastAsia" w:ascii="仿宋" w:hAnsi="仿宋" w:eastAsia="仿宋"/>
          <w:bCs w:val="0"/>
        </w:rPr>
        <w:t>有资本经营预算财政拨款支出决算表</w:t>
      </w:r>
      <w:r>
        <w:tab/>
      </w:r>
      <w:r>
        <w:fldChar w:fldCharType="begin"/>
      </w:r>
      <w:r>
        <w:instrText xml:space="preserve"> PAGEREF _Toc25869 \h </w:instrText>
      </w:r>
      <w:r>
        <w:fldChar w:fldCharType="separate"/>
      </w:r>
      <w:r>
        <w:t>27</w:t>
      </w:r>
      <w:r>
        <w:fldChar w:fldCharType="end"/>
      </w:r>
    </w:p>
    <w:p>
      <w:pPr>
        <w:pStyle w:val="17"/>
        <w:tabs>
          <w:tab w:val="right" w:leader="dot" w:pos="8306"/>
        </w:tabs>
      </w:pPr>
      <w:r>
        <w:rPr>
          <w:rFonts w:hint="eastAsia" w:ascii="仿宋" w:hAnsi="仿宋" w:eastAsia="仿宋"/>
          <w:bCs w:val="0"/>
        </w:rPr>
        <w:t>十四、国有资本经营预算财政拨款支出决算表</w:t>
      </w:r>
      <w:r>
        <w:tab/>
      </w:r>
      <w:r>
        <w:fldChar w:fldCharType="begin"/>
      </w:r>
      <w:r>
        <w:instrText xml:space="preserve"> PAGEREF _Toc30952 \h </w:instrText>
      </w:r>
      <w:r>
        <w:fldChar w:fldCharType="separate"/>
      </w:r>
      <w:r>
        <w:t>27</w:t>
      </w:r>
      <w:r>
        <w:fldChar w:fldCharType="end"/>
      </w:r>
    </w:p>
    <w:p>
      <w:r>
        <w:rPr>
          <w:rFonts w:asciiTheme="minorHAnsi" w:eastAsiaTheme="minorHAnsi"/>
          <w:bCs/>
          <w:caps/>
          <w:szCs w:val="20"/>
        </w:rPr>
        <w:fldChar w:fldCharType="end"/>
      </w:r>
    </w:p>
    <w:p>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pPr>
        <w:pStyle w:val="3"/>
        <w:jc w:val="center"/>
        <w:rPr>
          <w:rStyle w:val="25"/>
          <w:rFonts w:ascii="黑体" w:hAnsi="黑体" w:eastAsia="黑体"/>
          <w:b/>
          <w:bCs w:val="0"/>
        </w:rPr>
      </w:pPr>
      <w:bookmarkStart w:id="14" w:name="_Toc79163601"/>
      <w:bookmarkStart w:id="15" w:name="_Toc30226"/>
      <w:r>
        <w:rPr>
          <w:rFonts w:hint="eastAsia" w:ascii="黑体" w:hAnsi="黑体" w:eastAsia="黑体"/>
          <w:b w:val="0"/>
        </w:rPr>
        <w:t>第一部分</w:t>
      </w:r>
      <w:r>
        <w:rPr>
          <w:rFonts w:ascii="黑体" w:hAnsi="黑体" w:eastAsia="黑体"/>
          <w:b w:val="0"/>
        </w:rPr>
        <w:t xml:space="preserve"> </w:t>
      </w:r>
      <w:r>
        <w:rPr>
          <w:rStyle w:val="25"/>
          <w:rFonts w:hint="eastAsia" w:ascii="黑体" w:hAnsi="黑体" w:eastAsia="黑体"/>
          <w:b w:val="0"/>
          <w:bCs w:val="0"/>
        </w:rPr>
        <w:t>部门概况</w:t>
      </w:r>
      <w:bookmarkEnd w:id="12"/>
      <w:bookmarkEnd w:id="13"/>
      <w:bookmarkEnd w:id="14"/>
      <w:bookmarkEnd w:id="15"/>
    </w:p>
    <w:p>
      <w:pPr>
        <w:widowControl/>
        <w:jc w:val="left"/>
        <w:rPr>
          <w:rFonts w:ascii="黑体" w:eastAsia="黑体"/>
          <w:color w:val="000000"/>
          <w:sz w:val="32"/>
          <w:szCs w:val="32"/>
        </w:rPr>
      </w:pPr>
    </w:p>
    <w:p>
      <w:pPr>
        <w:pStyle w:val="4"/>
        <w:rPr>
          <w:rStyle w:val="26"/>
          <w:rFonts w:ascii="仿宋" w:hAnsi="仿宋" w:eastAsia="仿宋"/>
          <w:b w:val="0"/>
          <w:bCs w:val="0"/>
        </w:rPr>
      </w:pPr>
      <w:bookmarkStart w:id="16" w:name="_Toc79163602"/>
      <w:bookmarkStart w:id="17" w:name="_Toc15396600"/>
      <w:bookmarkStart w:id="18" w:name="_Toc15377197"/>
      <w:bookmarkStart w:id="19" w:name="_Toc24345"/>
      <w:r>
        <w:rPr>
          <w:rFonts w:hint="eastAsia" w:ascii="黑体" w:hAnsi="黑体" w:eastAsia="黑体"/>
          <w:b w:val="0"/>
          <w:color w:val="000000"/>
        </w:rPr>
        <w:t>一、基</w:t>
      </w:r>
      <w:r>
        <w:rPr>
          <w:rStyle w:val="26"/>
          <w:rFonts w:hint="eastAsia" w:ascii="黑体" w:hAnsi="黑体" w:eastAsia="黑体"/>
          <w:b w:val="0"/>
          <w:bCs w:val="0"/>
        </w:rPr>
        <w:t>本职能及主要工作</w:t>
      </w:r>
      <w:bookmarkEnd w:id="16"/>
      <w:bookmarkEnd w:id="17"/>
      <w:bookmarkEnd w:id="18"/>
      <w:bookmarkEnd w:id="19"/>
    </w:p>
    <w:p>
      <w:pPr>
        <w:pStyle w:val="7"/>
        <w:adjustRightInd w:val="0"/>
        <w:snapToGrid w:val="0"/>
        <w:spacing w:before="93" w:line="600" w:lineRule="exact"/>
        <w:ind w:firstLine="672" w:firstLineChars="210"/>
        <w:outlineLvl w:val="2"/>
        <w:rPr>
          <w:rFonts w:ascii="仿宋" w:hAnsi="仿宋" w:eastAsia="仿宋"/>
          <w:bCs/>
          <w:color w:val="000000"/>
          <w:sz w:val="32"/>
          <w:szCs w:val="32"/>
        </w:rPr>
      </w:pPr>
      <w:bookmarkStart w:id="20" w:name="_Toc79163603"/>
      <w:bookmarkStart w:id="21" w:name="_Toc21365"/>
      <w:bookmarkStart w:id="22" w:name="_Toc15377198"/>
      <w:bookmarkStart w:id="23" w:name="_Toc15378445"/>
      <w:r>
        <w:rPr>
          <w:rFonts w:hint="eastAsia" w:ascii="仿宋" w:hAnsi="仿宋" w:eastAsia="仿宋"/>
          <w:bCs/>
          <w:color w:val="000000"/>
          <w:sz w:val="32"/>
          <w:szCs w:val="32"/>
        </w:rPr>
        <w:t>（一）主要职能。</w:t>
      </w:r>
      <w:bookmarkEnd w:id="20"/>
      <w:bookmarkEnd w:id="21"/>
    </w:p>
    <w:p>
      <w:pPr>
        <w:pStyle w:val="7"/>
        <w:adjustRightInd w:val="0"/>
        <w:snapToGrid w:val="0"/>
        <w:spacing w:before="93" w:line="600" w:lineRule="exact"/>
        <w:ind w:firstLine="672" w:firstLineChars="210"/>
        <w:outlineLvl w:val="2"/>
        <w:rPr>
          <w:rFonts w:hint="eastAsia" w:ascii="仿宋_GB2312" w:eastAsia="仿宋_GB2312"/>
          <w:sz w:val="32"/>
          <w:szCs w:val="32"/>
        </w:rPr>
      </w:pPr>
      <w:bookmarkStart w:id="24" w:name="_Toc31676"/>
      <w:r>
        <w:rPr>
          <w:rFonts w:hint="eastAsia" w:ascii="仿宋_GB2312" w:eastAsia="仿宋_GB2312"/>
          <w:sz w:val="32"/>
          <w:szCs w:val="32"/>
        </w:rPr>
        <w:t>1</w:t>
      </w:r>
      <w:r>
        <w:rPr>
          <w:rFonts w:ascii="仿宋_GB2312" w:eastAsia="仿宋_GB2312"/>
          <w:sz w:val="32"/>
          <w:szCs w:val="32"/>
        </w:rPr>
        <w:t>负责县政府全体会议,常务会议,政府党组会议,县长办公会议的会务工作,协助县政府领导同志组织实施会议决定的事项</w:t>
      </w:r>
      <w:r>
        <w:rPr>
          <w:rFonts w:hint="eastAsia" w:ascii="仿宋_GB2312" w:eastAsia="仿宋_GB2312"/>
          <w:sz w:val="32"/>
          <w:szCs w:val="32"/>
        </w:rPr>
        <w:t>；2</w:t>
      </w:r>
      <w:r>
        <w:rPr>
          <w:rFonts w:ascii="仿宋_GB2312" w:eastAsia="仿宋_GB2312"/>
          <w:sz w:val="32"/>
          <w:szCs w:val="32"/>
        </w:rPr>
        <w:t>协助县政府领导同志组织起草或审核以县政府、县政府办公室名义发布的公文; 对县政府各部门和各乡(镇)政府请示(报告)县政府的事项,提出审核意见</w:t>
      </w:r>
      <w:r>
        <w:rPr>
          <w:rFonts w:hint="eastAsia" w:ascii="仿宋_GB2312" w:eastAsia="仿宋_GB2312"/>
          <w:sz w:val="32"/>
          <w:szCs w:val="32"/>
        </w:rPr>
        <w:t>，</w:t>
      </w:r>
      <w:r>
        <w:rPr>
          <w:rFonts w:ascii="仿宋_GB2312" w:eastAsia="仿宋_GB2312"/>
          <w:sz w:val="32"/>
          <w:szCs w:val="32"/>
        </w:rPr>
        <w:t>报县政府领导同志审批。指导全县行政机关公文处理工作</w:t>
      </w:r>
      <w:r>
        <w:rPr>
          <w:rFonts w:hint="eastAsia" w:ascii="仿宋_GB2312" w:eastAsia="仿宋_GB2312"/>
          <w:sz w:val="32"/>
          <w:szCs w:val="32"/>
        </w:rPr>
        <w:t>；3</w:t>
      </w:r>
      <w:r>
        <w:rPr>
          <w:rFonts w:ascii="仿宋_GB2312" w:eastAsia="仿宋_GB2312"/>
          <w:sz w:val="32"/>
          <w:szCs w:val="32"/>
        </w:rPr>
        <w:t>负责上级党政机关下发的各种公文,传真电报的签收、登记,送签,转办, 归档工作; 负责乡镇、部门请示、报告的初审,登记,送签,转办工作; 负责各类机要文件管理和县政府、县政府办公室的文件制文、 文件档案,印章管理,保密工作</w:t>
      </w:r>
      <w:r>
        <w:rPr>
          <w:rFonts w:hint="eastAsia" w:ascii="仿宋_GB2312" w:eastAsia="仿宋_GB2312"/>
          <w:sz w:val="32"/>
          <w:szCs w:val="32"/>
        </w:rPr>
        <w:t>；4</w:t>
      </w:r>
      <w:r>
        <w:rPr>
          <w:rFonts w:ascii="仿宋_GB2312" w:eastAsia="仿宋_GB2312"/>
          <w:sz w:val="32"/>
          <w:szCs w:val="32"/>
        </w:rPr>
        <w:t>负责组织县政府工作报告、工作总结、汇报材料及其它重要材料的起草,修改工作</w:t>
      </w:r>
      <w:r>
        <w:rPr>
          <w:rFonts w:hint="eastAsia" w:ascii="仿宋_GB2312" w:eastAsia="仿宋_GB2312"/>
          <w:sz w:val="32"/>
          <w:szCs w:val="32"/>
        </w:rPr>
        <w:t>；5</w:t>
      </w:r>
      <w:r>
        <w:rPr>
          <w:rFonts w:ascii="仿宋_GB2312" w:eastAsia="仿宋_GB2312"/>
          <w:sz w:val="32"/>
          <w:szCs w:val="32"/>
        </w:rPr>
        <w:t>根据县政府领导同志的指示,对县政府部门间出现的争议问题提出处理意见,报县政府领导同志决定</w:t>
      </w:r>
      <w:r>
        <w:rPr>
          <w:rFonts w:hint="eastAsia" w:ascii="仿宋_GB2312" w:eastAsia="仿宋_GB2312"/>
          <w:sz w:val="32"/>
          <w:szCs w:val="32"/>
        </w:rPr>
        <w:t>；6</w:t>
      </w:r>
      <w:r>
        <w:rPr>
          <w:rFonts w:ascii="仿宋_GB2312" w:eastAsia="仿宋_GB2312"/>
          <w:sz w:val="32"/>
          <w:szCs w:val="32"/>
        </w:rPr>
        <w:t>围绕县政府的中心工作、阶段性重点工作和县政府领导的指示,加强调查研究,及时反映情况,提出建议,为县政府领导同志把握全局、科学决策提供及时、准确、全面的参谋服务</w:t>
      </w:r>
      <w:r>
        <w:rPr>
          <w:rFonts w:hint="eastAsia" w:ascii="仿宋_GB2312" w:eastAsia="仿宋_GB2312"/>
          <w:sz w:val="32"/>
          <w:szCs w:val="32"/>
        </w:rPr>
        <w:t>；7</w:t>
      </w:r>
      <w:r>
        <w:rPr>
          <w:rFonts w:ascii="仿宋_GB2312" w:eastAsia="仿宋_GB2312"/>
          <w:sz w:val="32"/>
          <w:szCs w:val="32"/>
        </w:rPr>
        <w:t>负责组织协调、督促检查涉及政府工作的人大代表建议、批评、意见和政协提案的办理工作</w:t>
      </w:r>
      <w:r>
        <w:rPr>
          <w:rFonts w:hint="eastAsia" w:ascii="仿宋_GB2312" w:eastAsia="仿宋_GB2312"/>
          <w:sz w:val="32"/>
          <w:szCs w:val="32"/>
        </w:rPr>
        <w:t>；8</w:t>
      </w:r>
      <w:r>
        <w:rPr>
          <w:rFonts w:ascii="仿宋_GB2312" w:eastAsia="仿宋_GB2312"/>
          <w:sz w:val="32"/>
          <w:szCs w:val="32"/>
        </w:rPr>
        <w:t>负责上级党委、政府和县委、县政府的重要决策,重要部署、重要文件、重要会议决定事项、领导同志重要指示及下达交办的执行落实情况的督查工作,并及时向县政府领导报告</w:t>
      </w:r>
      <w:r>
        <w:rPr>
          <w:rFonts w:hint="eastAsia" w:ascii="仿宋_GB2312" w:eastAsia="仿宋_GB2312"/>
          <w:sz w:val="32"/>
          <w:szCs w:val="32"/>
        </w:rPr>
        <w:t>；9</w:t>
      </w:r>
      <w:r>
        <w:rPr>
          <w:rFonts w:ascii="仿宋_GB2312" w:eastAsia="仿宋_GB2312"/>
          <w:sz w:val="32"/>
          <w:szCs w:val="32"/>
        </w:rPr>
        <w:t>负责州委、州政府下达的年度目标任务(包括民生工程)的分解、督促、考核工作,负责全县的目标绩效管理工作</w:t>
      </w:r>
      <w:r>
        <w:rPr>
          <w:rFonts w:hint="eastAsia" w:ascii="仿宋_GB2312" w:eastAsia="仿宋_GB2312"/>
          <w:sz w:val="32"/>
          <w:szCs w:val="32"/>
        </w:rPr>
        <w:t>；10</w:t>
      </w:r>
      <w:r>
        <w:rPr>
          <w:rFonts w:ascii="仿宋_GB2312" w:eastAsia="仿宋_GB2312"/>
          <w:sz w:val="32"/>
          <w:szCs w:val="32"/>
        </w:rPr>
        <w:t>负责全县政府信息公开,政府门户网站、方正电子公文交换系统的建设、维护、管理工作; 负责指导、收集,报送和督促全县政务信息公开工作</w:t>
      </w:r>
      <w:r>
        <w:rPr>
          <w:rFonts w:hint="eastAsia" w:ascii="仿宋_GB2312" w:eastAsia="仿宋_GB2312"/>
          <w:sz w:val="32"/>
          <w:szCs w:val="32"/>
        </w:rPr>
        <w:t>；11</w:t>
      </w:r>
      <w:r>
        <w:rPr>
          <w:rFonts w:ascii="仿宋_GB2312" w:eastAsia="仿宋_GB2312"/>
          <w:sz w:val="32"/>
          <w:szCs w:val="32"/>
        </w:rPr>
        <w:t>指导乡(镇)人民政府和县政府部门值班工作,及时向政府领导报告重要情况</w:t>
      </w:r>
      <w:r>
        <w:rPr>
          <w:rFonts w:hint="eastAsia" w:ascii="仿宋_GB2312" w:eastAsia="仿宋_GB2312"/>
          <w:sz w:val="32"/>
          <w:szCs w:val="32"/>
        </w:rPr>
        <w:t>；12</w:t>
      </w:r>
      <w:r>
        <w:rPr>
          <w:rFonts w:ascii="仿宋_GB2312" w:eastAsia="仿宋_GB2312"/>
          <w:sz w:val="32"/>
          <w:szCs w:val="32"/>
        </w:rPr>
        <w:t>负责外事和港澳事务工作</w:t>
      </w:r>
      <w:r>
        <w:rPr>
          <w:rFonts w:hint="eastAsia" w:ascii="仿宋_GB2312" w:eastAsia="仿宋_GB2312"/>
          <w:sz w:val="32"/>
          <w:szCs w:val="32"/>
        </w:rPr>
        <w:t>；13</w:t>
      </w:r>
      <w:r>
        <w:rPr>
          <w:rFonts w:ascii="仿宋_GB2312" w:eastAsia="仿宋_GB2312"/>
          <w:sz w:val="32"/>
          <w:szCs w:val="32"/>
        </w:rPr>
        <w:t>负责县政府人民防空和民防工作</w:t>
      </w:r>
      <w:r>
        <w:rPr>
          <w:rFonts w:hint="eastAsia" w:ascii="仿宋_GB2312" w:eastAsia="仿宋_GB2312"/>
          <w:sz w:val="32"/>
          <w:szCs w:val="32"/>
        </w:rPr>
        <w:t>；14</w:t>
      </w:r>
      <w:r>
        <w:rPr>
          <w:rFonts w:ascii="仿宋_GB2312" w:eastAsia="仿宋_GB2312"/>
          <w:sz w:val="32"/>
          <w:szCs w:val="32"/>
        </w:rPr>
        <w:t>负责全县机关事业单位一般公务用车,执法用车、专业用车编制,及车辆更新、处置,调剂的审批工作; 研究制定全县行政事业单位公务用车配置、使用、维修,监管办法</w:t>
      </w:r>
      <w:r>
        <w:rPr>
          <w:rFonts w:hint="eastAsia" w:ascii="仿宋_GB2312" w:eastAsia="仿宋_GB2312"/>
          <w:sz w:val="32"/>
          <w:szCs w:val="32"/>
        </w:rPr>
        <w:t>；15</w:t>
      </w:r>
      <w:r>
        <w:rPr>
          <w:rFonts w:ascii="仿宋_GB2312" w:eastAsia="仿宋_GB2312"/>
          <w:sz w:val="32"/>
          <w:szCs w:val="32"/>
        </w:rPr>
        <w:t>组织实施政府机关事务管理工作,为县政府领导同志搞好工作所需的各项后勤服务工作</w:t>
      </w:r>
      <w:r>
        <w:rPr>
          <w:rFonts w:hint="eastAsia" w:ascii="仿宋_GB2312" w:eastAsia="仿宋_GB2312"/>
          <w:sz w:val="32"/>
          <w:szCs w:val="32"/>
        </w:rPr>
        <w:t>；16</w:t>
      </w:r>
      <w:r>
        <w:rPr>
          <w:rFonts w:ascii="仿宋_GB2312" w:eastAsia="仿宋_GB2312"/>
          <w:sz w:val="32"/>
          <w:szCs w:val="32"/>
        </w:rPr>
        <w:t>承办县委、县政府交办的其他任务</w:t>
      </w:r>
      <w:r>
        <w:rPr>
          <w:rFonts w:hint="eastAsia" w:ascii="仿宋_GB2312" w:eastAsia="仿宋_GB2312"/>
          <w:sz w:val="32"/>
          <w:szCs w:val="32"/>
        </w:rPr>
        <w:t>。</w:t>
      </w:r>
      <w:bookmarkEnd w:id="24"/>
    </w:p>
    <w:p>
      <w:pPr>
        <w:pStyle w:val="7"/>
        <w:adjustRightInd w:val="0"/>
        <w:snapToGrid w:val="0"/>
        <w:spacing w:before="93" w:line="600" w:lineRule="exact"/>
        <w:ind w:firstLine="640" w:firstLineChars="200"/>
        <w:outlineLvl w:val="2"/>
        <w:rPr>
          <w:rFonts w:hint="eastAsia" w:ascii="仿宋" w:hAnsi="仿宋" w:eastAsia="仿宋"/>
          <w:bCs/>
          <w:color w:val="000000"/>
          <w:sz w:val="32"/>
          <w:szCs w:val="32"/>
        </w:rPr>
      </w:pPr>
      <w:bookmarkStart w:id="25" w:name="_Toc30656"/>
      <w:r>
        <w:rPr>
          <w:rFonts w:hint="eastAsia" w:ascii="仿宋" w:hAnsi="仿宋" w:eastAsia="仿宋"/>
          <w:bCs/>
          <w:color w:val="000000"/>
          <w:sz w:val="32"/>
          <w:szCs w:val="32"/>
        </w:rPr>
        <w:t>（二）</w:t>
      </w:r>
      <w:r>
        <w:rPr>
          <w:rFonts w:hint="eastAsia" w:ascii="仿宋" w:hAnsi="仿宋" w:eastAsia="仿宋"/>
          <w:bCs/>
          <w:color w:val="000000"/>
          <w:sz w:val="32"/>
          <w:szCs w:val="32"/>
          <w:lang w:eastAsia="zh-CN"/>
        </w:rPr>
        <w:t>2025年</w:t>
      </w:r>
      <w:r>
        <w:rPr>
          <w:rFonts w:hint="eastAsia" w:ascii="仿宋" w:hAnsi="仿宋" w:eastAsia="仿宋"/>
          <w:bCs/>
          <w:color w:val="000000"/>
          <w:sz w:val="32"/>
          <w:szCs w:val="32"/>
        </w:rPr>
        <w:t>重点工作完成情况。</w:t>
      </w:r>
      <w:bookmarkEnd w:id="25"/>
    </w:p>
    <w:p>
      <w:pPr>
        <w:pStyle w:val="7"/>
        <w:numPr>
          <w:ilvl w:val="0"/>
          <w:numId w:val="0"/>
        </w:numPr>
        <w:adjustRightInd w:val="0"/>
        <w:snapToGrid w:val="0"/>
        <w:spacing w:before="93" w:line="600" w:lineRule="exact"/>
        <w:ind w:firstLine="640" w:firstLineChars="200"/>
        <w:outlineLvl w:val="2"/>
        <w:rPr>
          <w:rFonts w:hint="default" w:ascii="仿宋" w:hAnsi="仿宋" w:eastAsia="仿宋"/>
          <w:bCs/>
          <w:color w:val="000000"/>
          <w:sz w:val="32"/>
          <w:szCs w:val="32"/>
          <w:lang w:val="en-US" w:eastAsia="zh-CN"/>
        </w:rPr>
      </w:pPr>
      <w:r>
        <w:rPr>
          <w:rFonts w:hint="eastAsia" w:ascii="仿宋" w:hAnsi="仿宋" w:eastAsia="仿宋"/>
          <w:bCs/>
          <w:color w:val="000000"/>
          <w:sz w:val="32"/>
          <w:szCs w:val="32"/>
          <w:lang w:val="en-US" w:eastAsia="zh-CN"/>
        </w:rPr>
        <w:t xml:space="preserve"> </w:t>
      </w:r>
      <w:bookmarkStart w:id="26" w:name="_Toc22101"/>
      <w:r>
        <w:rPr>
          <w:rFonts w:hint="eastAsia" w:ascii="仿宋" w:hAnsi="仿宋" w:eastAsia="仿宋"/>
          <w:bCs/>
          <w:color w:val="000000"/>
          <w:sz w:val="32"/>
          <w:szCs w:val="32"/>
          <w:lang w:val="en-US" w:eastAsia="zh-CN"/>
        </w:rPr>
        <w:t>1.加快市政、交通、生态项目等建设。2.培育产业发展，壮大经济实力，加快绿色工业发展，加快发展文化旅游、加快服务产业发展。3.推进乡村振兴工作落地落实，切实改善民生，有效提高教育质量、提高卫计能力、加强就业社会保障。</w:t>
      </w:r>
      <w:bookmarkEnd w:id="26"/>
    </w:p>
    <w:p>
      <w:pPr>
        <w:pStyle w:val="7"/>
        <w:numPr>
          <w:ilvl w:val="0"/>
          <w:numId w:val="0"/>
        </w:numPr>
        <w:adjustRightInd w:val="0"/>
        <w:snapToGrid w:val="0"/>
        <w:spacing w:before="93" w:line="600" w:lineRule="exact"/>
        <w:outlineLvl w:val="2"/>
        <w:rPr>
          <w:rFonts w:hint="default" w:ascii="仿宋" w:hAnsi="仿宋" w:eastAsia="仿宋"/>
          <w:bCs/>
          <w:color w:val="000000"/>
          <w:sz w:val="32"/>
          <w:szCs w:val="32"/>
          <w:lang w:val="en-US" w:eastAsia="zh-CN"/>
        </w:rPr>
      </w:pPr>
      <w:bookmarkStart w:id="27" w:name="_Toc28455"/>
      <w:r>
        <w:rPr>
          <w:rFonts w:hint="eastAsia" w:ascii="仿宋" w:hAnsi="仿宋" w:eastAsia="仿宋"/>
          <w:bCs/>
          <w:color w:val="000000"/>
          <w:sz w:val="32"/>
          <w:szCs w:val="32"/>
          <w:lang w:val="en-US" w:eastAsia="zh-CN"/>
        </w:rPr>
        <w:t>4.推进社会依法治理，维护和谐稳定，加强公共安全和市场监管，切实推进城乡规划与管理，宗教事务管理法治化。5.推进法治政府建设，建设高效政府、廉洁政府，提升行政效能。</w:t>
      </w:r>
      <w:bookmarkEnd w:id="27"/>
    </w:p>
    <w:p>
      <w:pPr>
        <w:pStyle w:val="4"/>
        <w:rPr>
          <w:rStyle w:val="26"/>
          <w:b w:val="0"/>
          <w:bCs w:val="0"/>
        </w:rPr>
      </w:pPr>
      <w:bookmarkStart w:id="28" w:name="_Toc16819"/>
      <w:r>
        <w:rPr>
          <w:rFonts w:hint="eastAsia" w:ascii="黑体" w:eastAsia="黑体"/>
          <w:b w:val="0"/>
          <w:color w:val="000000"/>
        </w:rPr>
        <w:t>二、</w:t>
      </w:r>
      <w:r>
        <w:rPr>
          <w:rFonts w:hint="eastAsia" w:ascii="黑体" w:hAnsi="黑体" w:eastAsia="黑体"/>
          <w:b w:val="0"/>
          <w:color w:val="000000"/>
        </w:rPr>
        <w:t>机</w:t>
      </w:r>
      <w:r>
        <w:rPr>
          <w:rStyle w:val="26"/>
          <w:rFonts w:hint="eastAsia" w:ascii="黑体" w:hAnsi="黑体" w:eastAsia="黑体"/>
          <w:b w:val="0"/>
          <w:bCs w:val="0"/>
        </w:rPr>
        <w:t>构设置</w:t>
      </w:r>
      <w:bookmarkEnd w:id="28"/>
    </w:p>
    <w:p>
      <w:pPr>
        <w:pStyle w:val="7"/>
        <w:numPr>
          <w:ilvl w:val="0"/>
          <w:numId w:val="0"/>
        </w:numPr>
        <w:adjustRightInd w:val="0"/>
        <w:snapToGrid w:val="0"/>
        <w:spacing w:before="93" w:line="600" w:lineRule="exact"/>
        <w:ind w:firstLine="640" w:firstLineChars="200"/>
        <w:outlineLvl w:val="2"/>
        <w:rPr>
          <w:rFonts w:hint="eastAsia" w:ascii="黑体" w:hAnsi="黑体" w:eastAsia="黑体"/>
          <w:b w:val="0"/>
          <w:color w:val="000000"/>
        </w:rPr>
      </w:pPr>
      <w:bookmarkStart w:id="29" w:name="_Toc758"/>
      <w:r>
        <w:rPr>
          <w:rFonts w:hint="eastAsia"/>
          <w:color w:val="000000"/>
          <w:sz w:val="32"/>
          <w:szCs w:val="32"/>
          <w:lang w:eastAsia="zh-CN"/>
        </w:rPr>
        <w:t>小金县人民</w:t>
      </w:r>
      <w:r>
        <w:rPr>
          <w:rFonts w:hint="eastAsia"/>
          <w:color w:val="000000"/>
          <w:sz w:val="32"/>
          <w:szCs w:val="32"/>
        </w:rPr>
        <w:t>政府</w:t>
      </w:r>
      <w:r>
        <w:rPr>
          <w:rFonts w:hint="eastAsia"/>
          <w:color w:val="000000"/>
          <w:sz w:val="32"/>
          <w:szCs w:val="32"/>
          <w:lang w:eastAsia="zh-CN"/>
        </w:rPr>
        <w:t>办公室属于一级预算单位，</w:t>
      </w:r>
      <w:r>
        <w:rPr>
          <w:rFonts w:hint="eastAsia"/>
          <w:color w:val="000000"/>
          <w:sz w:val="32"/>
          <w:szCs w:val="32"/>
        </w:rPr>
        <w:t>下属二级单位</w:t>
      </w:r>
      <w:r>
        <w:rPr>
          <w:rFonts w:hint="eastAsia"/>
          <w:color w:val="000000"/>
          <w:sz w:val="32"/>
          <w:szCs w:val="32"/>
          <w:lang w:val="en-US" w:eastAsia="zh-CN"/>
        </w:rPr>
        <w:t>2</w:t>
      </w:r>
      <w:r>
        <w:rPr>
          <w:rFonts w:hint="eastAsia"/>
          <w:color w:val="000000"/>
          <w:sz w:val="32"/>
          <w:szCs w:val="32"/>
        </w:rPr>
        <w:t>个，其中行政单位</w:t>
      </w:r>
      <w:r>
        <w:rPr>
          <w:rFonts w:hint="eastAsia"/>
          <w:color w:val="000000"/>
          <w:sz w:val="32"/>
          <w:szCs w:val="32"/>
          <w:lang w:val="en-US" w:eastAsia="zh-CN"/>
        </w:rPr>
        <w:t>1</w:t>
      </w:r>
      <w:r>
        <w:rPr>
          <w:rFonts w:hint="eastAsia"/>
          <w:color w:val="000000"/>
          <w:sz w:val="32"/>
          <w:szCs w:val="32"/>
        </w:rPr>
        <w:t>个，参照公务员法管理的事业单位</w:t>
      </w:r>
      <w:r>
        <w:rPr>
          <w:rFonts w:hint="eastAsia"/>
          <w:bCs/>
          <w:color w:val="000000"/>
          <w:sz w:val="32"/>
          <w:szCs w:val="32"/>
        </w:rPr>
        <w:t>0</w:t>
      </w:r>
      <w:r>
        <w:rPr>
          <w:rFonts w:hint="eastAsia"/>
          <w:color w:val="000000"/>
          <w:sz w:val="32"/>
          <w:szCs w:val="32"/>
        </w:rPr>
        <w:t>个，其他事业单位</w:t>
      </w:r>
      <w:r>
        <w:rPr>
          <w:rFonts w:hint="eastAsia"/>
          <w:color w:val="000000"/>
          <w:sz w:val="32"/>
          <w:szCs w:val="32"/>
          <w:lang w:val="en-US" w:eastAsia="zh-CN"/>
        </w:rPr>
        <w:t>1</w:t>
      </w:r>
      <w:r>
        <w:rPr>
          <w:rFonts w:hint="eastAsia"/>
          <w:color w:val="000000"/>
          <w:sz w:val="32"/>
          <w:szCs w:val="32"/>
        </w:rPr>
        <w:t>个。</w:t>
      </w:r>
      <w:bookmarkEnd w:id="22"/>
      <w:bookmarkEnd w:id="23"/>
      <w:bookmarkEnd w:id="29"/>
      <w:bookmarkStart w:id="30" w:name="_Toc15396602"/>
      <w:bookmarkStart w:id="31" w:name="_Toc15377204"/>
      <w:bookmarkStart w:id="32" w:name="_Toc79163609"/>
    </w:p>
    <w:p>
      <w:pPr>
        <w:pStyle w:val="3"/>
        <w:ind w:right="440"/>
        <w:jc w:val="right"/>
      </w:pPr>
      <w:bookmarkStart w:id="33" w:name="_Toc9385"/>
      <w:r>
        <w:rPr>
          <w:rFonts w:hint="eastAsia" w:ascii="黑体" w:hAnsi="黑体" w:eastAsia="黑体"/>
          <w:b w:val="0"/>
          <w:color w:val="000000"/>
        </w:rPr>
        <w:t>第二部分</w:t>
      </w:r>
      <w:r>
        <w:rPr>
          <w:rFonts w:ascii="黑体" w:hAnsi="黑体" w:eastAsia="黑体"/>
          <w:color w:val="000000"/>
        </w:rPr>
        <w:t xml:space="preserve"> </w:t>
      </w:r>
      <w:r>
        <w:rPr>
          <w:rStyle w:val="25"/>
          <w:rFonts w:hint="eastAsia" w:ascii="黑体" w:hAnsi="黑体" w:eastAsia="黑体"/>
          <w:b w:val="0"/>
          <w:bCs w:val="0"/>
          <w:lang w:eastAsia="zh-CN"/>
        </w:rPr>
        <w:t>2025年</w:t>
      </w:r>
      <w:r>
        <w:rPr>
          <w:rStyle w:val="25"/>
          <w:rFonts w:hint="eastAsia" w:ascii="黑体" w:hAnsi="黑体" w:eastAsia="黑体"/>
          <w:b w:val="0"/>
          <w:bCs w:val="0"/>
        </w:rPr>
        <w:t>部门决算情况说明</w:t>
      </w:r>
      <w:bookmarkEnd w:id="30"/>
      <w:bookmarkEnd w:id="31"/>
      <w:bookmarkEnd w:id="32"/>
      <w:bookmarkEnd w:id="33"/>
    </w:p>
    <w:p>
      <w:pPr>
        <w:pStyle w:val="36"/>
        <w:numPr>
          <w:ilvl w:val="0"/>
          <w:numId w:val="1"/>
        </w:numPr>
        <w:spacing w:line="600" w:lineRule="exact"/>
        <w:ind w:firstLineChars="0"/>
        <w:outlineLvl w:val="1"/>
        <w:rPr>
          <w:rStyle w:val="26"/>
          <w:rFonts w:ascii="黑体" w:hAnsi="黑体" w:eastAsia="黑体"/>
          <w:b w:val="0"/>
        </w:rPr>
      </w:pPr>
      <w:bookmarkStart w:id="34" w:name="_Toc15377205"/>
      <w:bookmarkStart w:id="35" w:name="_Toc7819"/>
      <w:bookmarkStart w:id="36" w:name="_Toc79163610"/>
      <w:bookmarkStart w:id="37" w:name="_Toc15396603"/>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34"/>
      <w:bookmarkEnd w:id="35"/>
      <w:bookmarkEnd w:id="36"/>
      <w:bookmarkEnd w:id="37"/>
    </w:p>
    <w:p>
      <w:pPr>
        <w:spacing w:line="600" w:lineRule="exact"/>
        <w:ind w:firstLine="640" w:firstLineChars="200"/>
        <w:rPr>
          <w:rFonts w:hint="default" w:ascii="仿宋" w:hAnsi="仿宋" w:eastAsia="仿宋"/>
          <w:color w:val="000000"/>
          <w:sz w:val="32"/>
          <w:szCs w:val="32"/>
          <w:lang w:val="en-US"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2046.91</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其中一般公共预算财政拨款收入</w:t>
      </w:r>
      <w:r>
        <w:rPr>
          <w:rFonts w:hint="eastAsia" w:ascii="仿宋" w:hAnsi="仿宋" w:eastAsia="仿宋"/>
          <w:color w:val="000000"/>
          <w:sz w:val="32"/>
          <w:szCs w:val="32"/>
          <w:lang w:val="en-US" w:eastAsia="zh-CN"/>
        </w:rPr>
        <w:t>2038.18万元、其他收入8.23万元；年初结转和结余0.5万元</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2024年</w:t>
      </w:r>
      <w:r>
        <w:rPr>
          <w:rFonts w:hint="eastAsia" w:ascii="仿宋" w:hAnsi="仿宋" w:eastAsia="仿宋"/>
          <w:color w:val="000000"/>
          <w:sz w:val="32"/>
          <w:szCs w:val="32"/>
          <w:lang w:val="en-US" w:eastAsia="zh-CN"/>
        </w:rPr>
        <w:t>2030.02万元</w:t>
      </w:r>
      <w:r>
        <w:rPr>
          <w:rFonts w:hint="eastAsia" w:ascii="仿宋" w:hAnsi="仿宋" w:eastAsia="仿宋"/>
          <w:color w:val="000000"/>
          <w:sz w:val="32"/>
          <w:szCs w:val="32"/>
        </w:rPr>
        <w:t>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增加16.89</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增加0.83</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2025年人员增加</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lang w:eastAsia="zh-CN"/>
        </w:rPr>
        <w:t>2025年支出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2046.41</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。年末结转和结余</w:t>
      </w:r>
      <w:r>
        <w:rPr>
          <w:rFonts w:hint="eastAsia" w:ascii="仿宋" w:hAnsi="仿宋" w:eastAsia="仿宋"/>
          <w:color w:val="000000"/>
          <w:sz w:val="32"/>
          <w:szCs w:val="32"/>
          <w:lang w:val="en-US" w:eastAsia="zh-CN"/>
        </w:rPr>
        <w:t>0.5万元。</w:t>
      </w:r>
    </w:p>
    <w:p>
      <w:pPr>
        <w:spacing w:line="600" w:lineRule="exact"/>
        <w:ind w:firstLine="420" w:firstLineChars="200"/>
        <w:rPr>
          <w:rFonts w:hint="eastAsia" w:ascii="仿宋" w:hAnsi="仿宋" w:eastAsia="仿宋"/>
          <w:color w:val="000000"/>
          <w:sz w:val="32"/>
          <w:szCs w:val="32"/>
          <w:lang w:val="en-US" w:eastAsia="zh-CN"/>
        </w:rPr>
      </w:pPr>
      <w:r>
        <w:rPr>
          <w:rFonts w:hint="eastAsia" w:eastAsia="宋体"/>
          <w:lang w:eastAsia="zh-CN"/>
        </w:rPr>
        <w:drawing>
          <wp:anchor distT="0" distB="0" distL="114300" distR="114300" simplePos="0" relativeHeight="251660288" behindDoc="1" locked="0" layoutInCell="1" allowOverlap="1">
            <wp:simplePos x="0" y="0"/>
            <wp:positionH relativeFrom="column">
              <wp:posOffset>410845</wp:posOffset>
            </wp:positionH>
            <wp:positionV relativeFrom="paragraph">
              <wp:posOffset>311150</wp:posOffset>
            </wp:positionV>
            <wp:extent cx="4373245" cy="2273300"/>
            <wp:effectExtent l="4445" t="5080" r="22860" b="7620"/>
            <wp:wrapTight wrapText="bothSides">
              <wp:wrapPolygon>
                <wp:start x="-22" y="-48"/>
                <wp:lineTo x="-22" y="21491"/>
                <wp:lineTo x="21525" y="21491"/>
                <wp:lineTo x="21525" y="-48"/>
                <wp:lineTo x="-22" y="-48"/>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spacing w:line="600" w:lineRule="exact"/>
        <w:ind w:firstLine="640" w:firstLineChars="200"/>
        <w:rPr>
          <w:rFonts w:hint="eastAsia" w:ascii="仿宋" w:hAnsi="仿宋" w:eastAsia="仿宋"/>
          <w:color w:val="000000"/>
          <w:sz w:val="32"/>
          <w:szCs w:val="32"/>
          <w:lang w:val="en-US" w:eastAsia="zh-CN"/>
        </w:rPr>
      </w:pPr>
    </w:p>
    <w:p>
      <w:pPr>
        <w:spacing w:line="600" w:lineRule="exact"/>
        <w:ind w:firstLine="640" w:firstLineChars="200"/>
        <w:rPr>
          <w:rFonts w:hint="eastAsia" w:ascii="仿宋" w:hAnsi="仿宋" w:eastAsia="仿宋"/>
          <w:color w:val="000000"/>
          <w:sz w:val="32"/>
          <w:szCs w:val="32"/>
          <w:lang w:val="en-US" w:eastAsia="zh-CN"/>
        </w:rPr>
      </w:pPr>
    </w:p>
    <w:p>
      <w:pPr>
        <w:spacing w:line="600" w:lineRule="exact"/>
        <w:rPr>
          <w:rFonts w:ascii="仿宋_GB2312" w:eastAsia="仿宋_GB2312"/>
          <w:color w:val="000000"/>
          <w:sz w:val="32"/>
          <w:szCs w:val="32"/>
        </w:rPr>
      </w:pPr>
    </w:p>
    <w:p>
      <w:pPr>
        <w:spacing w:line="600" w:lineRule="exact"/>
        <w:rPr>
          <w:rFonts w:ascii="仿宋_GB2312" w:eastAsia="仿宋_GB2312"/>
          <w:color w:val="000000"/>
          <w:sz w:val="32"/>
          <w:szCs w:val="32"/>
        </w:rPr>
      </w:pPr>
    </w:p>
    <w:p>
      <w:pPr>
        <w:pStyle w:val="36"/>
        <w:numPr>
          <w:ilvl w:val="0"/>
          <w:numId w:val="0"/>
        </w:numPr>
        <w:spacing w:line="600" w:lineRule="exact"/>
        <w:ind w:left="640" w:leftChars="0"/>
        <w:outlineLvl w:val="1"/>
        <w:rPr>
          <w:rStyle w:val="26"/>
          <w:rFonts w:ascii="黑体" w:hAnsi="黑体" w:eastAsia="黑体"/>
          <w:b w:val="0"/>
        </w:rPr>
      </w:pPr>
      <w:bookmarkStart w:id="38" w:name="_Toc15377206"/>
      <w:bookmarkStart w:id="39" w:name="_Toc79163611"/>
      <w:bookmarkStart w:id="40" w:name="_Toc15396604"/>
    </w:p>
    <w:p>
      <w:pPr>
        <w:pStyle w:val="36"/>
        <w:numPr>
          <w:ilvl w:val="0"/>
          <w:numId w:val="0"/>
        </w:numPr>
        <w:spacing w:line="600" w:lineRule="exact"/>
        <w:ind w:left="640" w:leftChars="0"/>
        <w:outlineLvl w:val="1"/>
        <w:rPr>
          <w:rFonts w:hint="eastAsia" w:ascii="仿宋" w:hAnsi="仿宋" w:eastAsia="仿宋"/>
          <w:color w:val="000000"/>
          <w:sz w:val="32"/>
          <w:szCs w:val="32"/>
        </w:rPr>
      </w:pPr>
    </w:p>
    <w:p>
      <w:pPr>
        <w:tabs>
          <w:tab w:val="left" w:pos="1970"/>
        </w:tabs>
        <w:bidi w:val="0"/>
        <w:ind w:firstLine="960" w:firstLineChars="300"/>
        <w:jc w:val="left"/>
        <w:rPr>
          <w:rFonts w:hint="eastAsia" w:eastAsia="宋体"/>
          <w:lang w:eastAsia="zh-CN"/>
        </w:rPr>
      </w:pPr>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r>
        <w:rPr>
          <w:rFonts w:hint="eastAsia" w:ascii="仿宋" w:hAnsi="仿宋" w:eastAsia="仿宋"/>
          <w:color w:val="000000"/>
          <w:sz w:val="32"/>
          <w:szCs w:val="32"/>
          <w:lang w:val="en-US" w:eastAsia="zh-CN"/>
        </w:rPr>
        <w:t xml:space="preserve"> </w:t>
      </w:r>
    </w:p>
    <w:p>
      <w:pPr>
        <w:pStyle w:val="36"/>
        <w:numPr>
          <w:ilvl w:val="0"/>
          <w:numId w:val="1"/>
        </w:numPr>
        <w:spacing w:line="600" w:lineRule="exact"/>
        <w:ind w:firstLineChars="0"/>
        <w:outlineLvl w:val="1"/>
        <w:rPr>
          <w:rStyle w:val="26"/>
          <w:rFonts w:ascii="黑体" w:hAnsi="黑体" w:eastAsia="黑体"/>
          <w:b w:val="0"/>
        </w:rPr>
      </w:pPr>
      <w:bookmarkStart w:id="41" w:name="_Toc9642"/>
      <w:r>
        <w:rPr>
          <w:rFonts w:hint="eastAsia" w:ascii="黑体" w:hAnsi="黑体" w:eastAsia="黑体"/>
          <w:color w:val="000000"/>
          <w:sz w:val="32"/>
          <w:szCs w:val="32"/>
        </w:rPr>
        <w:t>收</w:t>
      </w:r>
      <w:r>
        <w:rPr>
          <w:rStyle w:val="26"/>
          <w:rFonts w:hint="eastAsia" w:ascii="黑体" w:hAnsi="黑体" w:eastAsia="黑体"/>
          <w:b w:val="0"/>
        </w:rPr>
        <w:t>入决算情况说明</w:t>
      </w:r>
      <w:bookmarkEnd w:id="38"/>
      <w:bookmarkEnd w:id="39"/>
      <w:bookmarkEnd w:id="40"/>
      <w:bookmarkEnd w:id="41"/>
    </w:p>
    <w:p>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本年收入合计</w:t>
      </w:r>
      <w:r>
        <w:rPr>
          <w:rFonts w:hint="eastAsia" w:ascii="仿宋" w:hAnsi="仿宋" w:eastAsia="仿宋"/>
          <w:color w:val="000000"/>
          <w:sz w:val="32"/>
          <w:szCs w:val="32"/>
          <w:lang w:val="en-US" w:eastAsia="zh-CN"/>
        </w:rPr>
        <w:t>2046.91</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2046.41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99.98</w:t>
      </w:r>
      <w:r>
        <w:rPr>
          <w:rFonts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其他收入8.23万元，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0.4</w:t>
      </w:r>
      <w:r>
        <w:rPr>
          <w:rFonts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年初结转结余0.5万元，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0.02</w:t>
      </w:r>
      <w:r>
        <w:rPr>
          <w:rFonts w:ascii="仿宋" w:hAnsi="仿宋" w:eastAsia="仿宋"/>
          <w:color w:val="000000"/>
          <w:sz w:val="32"/>
          <w:szCs w:val="32"/>
        </w:rPr>
        <w:t>%</w:t>
      </w:r>
      <w:r>
        <w:rPr>
          <w:rFonts w:hint="eastAsia" w:ascii="仿宋" w:hAnsi="仿宋" w:eastAsia="仿宋"/>
          <w:color w:val="000000"/>
          <w:sz w:val="32"/>
          <w:szCs w:val="32"/>
        </w:rPr>
        <w:t>；政府性基金预算财政拨款收入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lang w:eastAsia="zh-CN"/>
        </w:rPr>
        <w:t>；年初结转和结余收入</w:t>
      </w:r>
      <w:r>
        <w:rPr>
          <w:rFonts w:hint="eastAsia" w:ascii="仿宋" w:hAnsi="仿宋" w:eastAsia="仿宋"/>
          <w:color w:val="000000"/>
          <w:sz w:val="32"/>
          <w:szCs w:val="32"/>
          <w:lang w:val="en-US" w:eastAsia="zh-CN"/>
        </w:rPr>
        <w:t>0万元，占0%</w:t>
      </w:r>
      <w:r>
        <w:rPr>
          <w:rFonts w:hint="eastAsia" w:ascii="仿宋" w:hAnsi="仿宋" w:eastAsia="仿宋"/>
          <w:color w:val="000000"/>
          <w:sz w:val="32"/>
          <w:szCs w:val="32"/>
        </w:rPr>
        <w:t>。</w:t>
      </w:r>
    </w:p>
    <w:p>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61312" behindDoc="1" locked="0" layoutInCell="1" allowOverlap="1">
            <wp:simplePos x="0" y="0"/>
            <wp:positionH relativeFrom="column">
              <wp:posOffset>555625</wp:posOffset>
            </wp:positionH>
            <wp:positionV relativeFrom="paragraph">
              <wp:posOffset>290830</wp:posOffset>
            </wp:positionV>
            <wp:extent cx="4146550" cy="2273300"/>
            <wp:effectExtent l="4445" t="5080" r="20955" b="7620"/>
            <wp:wrapTight wrapText="bothSides">
              <wp:wrapPolygon>
                <wp:start x="-23" y="-48"/>
                <wp:lineTo x="-23" y="21491"/>
                <wp:lineTo x="21511" y="21491"/>
                <wp:lineTo x="21511" y="-48"/>
                <wp:lineTo x="-23" y="-48"/>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 w:hAnsi="仿宋" w:eastAsia="仿宋"/>
          <w:color w:val="000000"/>
          <w:sz w:val="32"/>
          <w:szCs w:val="32"/>
        </w:rPr>
      </w:pPr>
    </w:p>
    <w:p>
      <w:pPr>
        <w:spacing w:line="600" w:lineRule="exact"/>
        <w:ind w:firstLine="640" w:firstLineChars="200"/>
        <w:rPr>
          <w:rFonts w:hint="eastAsia" w:ascii="仿宋_GB2312" w:eastAsia="仿宋_GB2312"/>
          <w:color w:val="FF0000"/>
          <w:sz w:val="32"/>
          <w:szCs w:val="32"/>
          <w:lang w:eastAsia="zh-CN"/>
        </w:rPr>
      </w:pP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p>
    <w:p>
      <w:pPr>
        <w:pStyle w:val="36"/>
        <w:numPr>
          <w:ilvl w:val="0"/>
          <w:numId w:val="1"/>
        </w:numPr>
        <w:spacing w:line="600" w:lineRule="exact"/>
        <w:ind w:firstLineChars="0"/>
        <w:outlineLvl w:val="1"/>
        <w:rPr>
          <w:rStyle w:val="26"/>
          <w:rFonts w:ascii="黑体" w:hAnsi="黑体" w:eastAsia="黑体"/>
          <w:b w:val="0"/>
        </w:rPr>
      </w:pPr>
      <w:bookmarkStart w:id="42" w:name="_Toc15396605"/>
      <w:bookmarkStart w:id="43" w:name="_Toc15377207"/>
      <w:bookmarkStart w:id="44" w:name="_Toc15594"/>
      <w:bookmarkStart w:id="45" w:name="_Toc79163612"/>
      <w:r>
        <w:rPr>
          <w:rFonts w:hint="eastAsia" w:ascii="黑体" w:hAnsi="黑体" w:eastAsia="黑体"/>
          <w:color w:val="000000"/>
          <w:sz w:val="32"/>
          <w:szCs w:val="32"/>
        </w:rPr>
        <w:t>支</w:t>
      </w:r>
      <w:r>
        <w:rPr>
          <w:rStyle w:val="26"/>
          <w:rFonts w:hint="eastAsia" w:ascii="黑体" w:hAnsi="黑体" w:eastAsia="黑体"/>
          <w:b w:val="0"/>
        </w:rPr>
        <w:t>出决算情况说明</w:t>
      </w:r>
      <w:bookmarkEnd w:id="42"/>
      <w:bookmarkEnd w:id="43"/>
      <w:bookmarkEnd w:id="44"/>
      <w:bookmarkEnd w:id="45"/>
    </w:p>
    <w:p>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本年支出合计</w:t>
      </w:r>
      <w:r>
        <w:rPr>
          <w:rFonts w:hint="eastAsia" w:ascii="仿宋_GB2312" w:eastAsia="仿宋_GB2312"/>
          <w:sz w:val="32"/>
          <w:szCs w:val="32"/>
          <w:lang w:val="en-US" w:eastAsia="zh-CN"/>
        </w:rPr>
        <w:t>2046.41</w:t>
      </w:r>
      <w:r>
        <w:rPr>
          <w:rFonts w:hint="eastAsia" w:ascii="仿宋_GB2312" w:eastAsia="仿宋_GB2312"/>
          <w:sz w:val="32"/>
          <w:szCs w:val="32"/>
        </w:rPr>
        <w:t>万元，其中：基本支出</w:t>
      </w:r>
      <w:r>
        <w:rPr>
          <w:rFonts w:hint="eastAsia" w:ascii="仿宋_GB2312" w:eastAsia="仿宋_GB2312"/>
          <w:sz w:val="32"/>
          <w:szCs w:val="32"/>
          <w:lang w:val="en-US" w:eastAsia="zh-CN"/>
        </w:rPr>
        <w:t>1386.38</w:t>
      </w:r>
      <w:r>
        <w:rPr>
          <w:rFonts w:hint="eastAsia" w:ascii="仿宋_GB2312" w:eastAsia="仿宋_GB2312"/>
          <w:sz w:val="32"/>
          <w:szCs w:val="32"/>
        </w:rPr>
        <w:t>万元，占</w:t>
      </w:r>
      <w:r>
        <w:rPr>
          <w:rFonts w:hint="eastAsia" w:ascii="仿宋_GB2312" w:eastAsia="仿宋_GB2312"/>
          <w:sz w:val="32"/>
          <w:szCs w:val="32"/>
          <w:lang w:val="en-US" w:eastAsia="zh-CN"/>
        </w:rPr>
        <w:t>67.75</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660.03</w:t>
      </w:r>
      <w:r>
        <w:rPr>
          <w:rFonts w:hint="eastAsia" w:ascii="仿宋_GB2312" w:eastAsia="仿宋_GB2312"/>
          <w:sz w:val="32"/>
          <w:szCs w:val="32"/>
        </w:rPr>
        <w:t>万元，占</w:t>
      </w:r>
      <w:r>
        <w:rPr>
          <w:rFonts w:hint="eastAsia" w:ascii="仿宋_GB2312" w:eastAsia="仿宋_GB2312"/>
          <w:sz w:val="32"/>
          <w:szCs w:val="32"/>
          <w:lang w:val="en-US" w:eastAsia="zh-CN"/>
        </w:rPr>
        <w:t>32.25</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pPr>
        <w:spacing w:line="600" w:lineRule="exact"/>
        <w:ind w:firstLine="640" w:firstLineChars="200"/>
        <w:rPr>
          <w:rFonts w:ascii="仿宋_GB2312" w:eastAsia="仿宋_GB2312"/>
          <w:color w:val="FF0000"/>
          <w:sz w:val="32"/>
          <w:szCs w:val="32"/>
        </w:rPr>
      </w:pPr>
      <w:r>
        <w:rPr>
          <w:rFonts w:hint="eastAsia" w:ascii="仿宋_GB2312" w:eastAsia="仿宋_GB2312"/>
          <w:sz w:val="32"/>
          <w:szCs w:val="32"/>
          <w:lang w:eastAsia="zh-CN"/>
        </w:rPr>
        <w:drawing>
          <wp:anchor distT="0" distB="0" distL="114300" distR="114300" simplePos="0" relativeHeight="251662336" behindDoc="1" locked="0" layoutInCell="1" allowOverlap="1">
            <wp:simplePos x="0" y="0"/>
            <wp:positionH relativeFrom="column">
              <wp:posOffset>-114300</wp:posOffset>
            </wp:positionH>
            <wp:positionV relativeFrom="paragraph">
              <wp:posOffset>364490</wp:posOffset>
            </wp:positionV>
            <wp:extent cx="4899660" cy="2785745"/>
            <wp:effectExtent l="4445" t="4445" r="10795" b="10160"/>
            <wp:wrapTight wrapText="bothSides">
              <wp:wrapPolygon>
                <wp:start x="-20" y="-34"/>
                <wp:lineTo x="-20" y="21531"/>
                <wp:lineTo x="21564" y="21531"/>
                <wp:lineTo x="21564" y="-34"/>
                <wp:lineTo x="-20" y="-34"/>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spacing w:line="600" w:lineRule="exact"/>
        <w:ind w:firstLine="640" w:firstLineChars="200"/>
        <w:rPr>
          <w:rFonts w:ascii="仿宋_GB2312" w:eastAsia="仿宋_GB2312"/>
          <w:color w:val="FF0000"/>
          <w:sz w:val="32"/>
          <w:szCs w:val="32"/>
        </w:rPr>
      </w:pPr>
    </w:p>
    <w:p>
      <w:pPr>
        <w:spacing w:line="600" w:lineRule="exact"/>
        <w:ind w:firstLine="640" w:firstLineChars="200"/>
        <w:rPr>
          <w:rFonts w:ascii="仿宋_GB2312" w:eastAsia="仿宋_GB2312"/>
          <w:color w:val="FF0000"/>
          <w:sz w:val="32"/>
          <w:szCs w:val="32"/>
        </w:rPr>
      </w:pPr>
    </w:p>
    <w:p>
      <w:pPr>
        <w:spacing w:line="600" w:lineRule="exact"/>
        <w:ind w:firstLine="640" w:firstLineChars="200"/>
        <w:rPr>
          <w:rFonts w:ascii="仿宋_GB2312" w:eastAsia="仿宋_GB2312"/>
          <w:color w:val="FF0000"/>
          <w:sz w:val="32"/>
          <w:szCs w:val="32"/>
        </w:rPr>
      </w:pPr>
    </w:p>
    <w:p>
      <w:pPr>
        <w:spacing w:line="600" w:lineRule="exact"/>
        <w:ind w:firstLine="640" w:firstLineChars="200"/>
        <w:rPr>
          <w:rFonts w:ascii="仿宋_GB2312" w:eastAsia="仿宋_GB2312"/>
          <w:color w:val="FF0000"/>
          <w:sz w:val="32"/>
          <w:szCs w:val="32"/>
        </w:rPr>
      </w:pPr>
    </w:p>
    <w:p>
      <w:pPr>
        <w:spacing w:line="600" w:lineRule="exact"/>
        <w:outlineLvl w:val="1"/>
        <w:rPr>
          <w:rFonts w:hint="eastAsia" w:ascii="黑体" w:hAnsi="黑体" w:eastAsia="黑体"/>
          <w:color w:val="000000"/>
          <w:sz w:val="32"/>
          <w:szCs w:val="32"/>
        </w:rPr>
      </w:pPr>
      <w:bookmarkStart w:id="46" w:name="_Toc15396606"/>
      <w:bookmarkStart w:id="47" w:name="_Toc79163613"/>
      <w:bookmarkStart w:id="48" w:name="_Toc15377208"/>
    </w:p>
    <w:p>
      <w:pPr>
        <w:spacing w:line="600" w:lineRule="exact"/>
        <w:ind w:firstLine="640" w:firstLineChars="200"/>
        <w:rPr>
          <w:rFonts w:hint="eastAsia" w:ascii="仿宋_GB2312" w:eastAsia="仿宋_GB2312"/>
          <w:sz w:val="32"/>
          <w:szCs w:val="32"/>
        </w:rPr>
      </w:pPr>
    </w:p>
    <w:p>
      <w:pPr>
        <w:spacing w:line="600" w:lineRule="exact"/>
        <w:ind w:firstLine="640" w:firstLineChars="200"/>
        <w:rPr>
          <w:rFonts w:hint="eastAsia" w:ascii="仿宋_GB2312" w:eastAsia="仿宋_GB2312"/>
          <w:sz w:val="32"/>
          <w:szCs w:val="32"/>
        </w:rPr>
      </w:pPr>
    </w:p>
    <w:p>
      <w:pPr>
        <w:spacing w:line="600" w:lineRule="exact"/>
        <w:ind w:firstLine="640" w:firstLineChars="200"/>
        <w:rPr>
          <w:rFonts w:ascii="仿宋" w:hAnsi="仿宋" w:eastAsia="仿宋"/>
          <w:color w:val="000000"/>
          <w:sz w:val="32"/>
          <w:szCs w:val="32"/>
          <w:shd w:val="pct10" w:color="auto" w:fill="FFFFFF"/>
        </w:rPr>
      </w:pPr>
      <w:r>
        <w:rPr>
          <w:rFonts w:hint="eastAsia" w:ascii="仿宋_GB2312" w:eastAsia="仿宋_GB2312"/>
          <w:sz w:val="32"/>
          <w:szCs w:val="32"/>
        </w:rPr>
        <w:t>（注：数据来源于财决</w:t>
      </w:r>
      <w:r>
        <w:rPr>
          <w:rFonts w:ascii="仿宋_GB2312" w:eastAsia="仿宋_GB2312"/>
          <w:sz w:val="32"/>
          <w:szCs w:val="32"/>
        </w:rPr>
        <w:t>04</w:t>
      </w:r>
      <w:r>
        <w:rPr>
          <w:rFonts w:hint="eastAsia" w:ascii="仿宋_GB2312" w:eastAsia="仿宋_GB2312"/>
          <w:sz w:val="32"/>
          <w:szCs w:val="32"/>
        </w:rPr>
        <w:t>表）</w:t>
      </w:r>
    </w:p>
    <w:p>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pPr>
        <w:spacing w:line="600" w:lineRule="exact"/>
        <w:ind w:firstLine="640" w:firstLineChars="200"/>
        <w:outlineLvl w:val="1"/>
        <w:rPr>
          <w:rStyle w:val="26"/>
          <w:rFonts w:ascii="黑体" w:hAnsi="黑体" w:eastAsia="黑体"/>
          <w:b w:val="0"/>
        </w:rPr>
      </w:pPr>
      <w:bookmarkStart w:id="49" w:name="_Toc4226"/>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46"/>
      <w:bookmarkEnd w:id="47"/>
      <w:bookmarkEnd w:id="48"/>
      <w:bookmarkEnd w:id="49"/>
    </w:p>
    <w:p>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财政拨款收、支总计</w:t>
      </w:r>
      <w:r>
        <w:rPr>
          <w:rFonts w:hint="eastAsia" w:ascii="仿宋" w:hAnsi="仿宋" w:eastAsia="仿宋"/>
          <w:color w:val="000000"/>
          <w:sz w:val="32"/>
          <w:szCs w:val="32"/>
          <w:lang w:val="en-US" w:eastAsia="zh-CN"/>
        </w:rPr>
        <w:t>2038.18</w:t>
      </w:r>
      <w:r>
        <w:rPr>
          <w:rFonts w:hint="eastAsia" w:ascii="仿宋" w:hAnsi="仿宋" w:eastAsia="仿宋"/>
          <w:color w:val="000000"/>
          <w:sz w:val="32"/>
          <w:szCs w:val="32"/>
        </w:rPr>
        <w:t>万元。与</w:t>
      </w:r>
      <w:r>
        <w:rPr>
          <w:rFonts w:hint="eastAsia" w:ascii="仿宋" w:hAnsi="仿宋" w:eastAsia="仿宋"/>
          <w:color w:val="000000"/>
          <w:sz w:val="32"/>
          <w:szCs w:val="32"/>
          <w:lang w:val="en-US" w:eastAsia="zh-CN"/>
        </w:rPr>
        <w:t>2024年年1895.89万元</w:t>
      </w:r>
      <w:r>
        <w:rPr>
          <w:rFonts w:hint="eastAsia" w:ascii="仿宋" w:hAnsi="仿宋" w:eastAsia="仿宋"/>
          <w:color w:val="000000"/>
          <w:sz w:val="32"/>
          <w:szCs w:val="32"/>
        </w:rPr>
        <w:t>相比，收、支总计各</w:t>
      </w:r>
      <w:r>
        <w:rPr>
          <w:rFonts w:hint="eastAsia" w:ascii="仿宋" w:hAnsi="仿宋" w:eastAsia="仿宋"/>
          <w:color w:val="000000"/>
          <w:sz w:val="32"/>
          <w:szCs w:val="32"/>
          <w:lang w:val="en-US" w:eastAsia="zh-CN"/>
        </w:rPr>
        <w:t>增加142.29</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7.5</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人员增加</w:t>
      </w:r>
      <w:r>
        <w:rPr>
          <w:rFonts w:hint="eastAsia" w:ascii="仿宋" w:hAnsi="仿宋" w:eastAsia="仿宋"/>
          <w:color w:val="000000"/>
          <w:sz w:val="32"/>
          <w:szCs w:val="32"/>
          <w:lang w:eastAsia="zh-CN"/>
        </w:rPr>
        <w:t>。</w:t>
      </w:r>
    </w:p>
    <w:p>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drawing>
          <wp:anchor distT="0" distB="0" distL="114300" distR="114300" simplePos="0" relativeHeight="251663360" behindDoc="1" locked="0" layoutInCell="1" allowOverlap="1">
            <wp:simplePos x="0" y="0"/>
            <wp:positionH relativeFrom="column">
              <wp:posOffset>414655</wp:posOffset>
            </wp:positionH>
            <wp:positionV relativeFrom="paragraph">
              <wp:posOffset>109855</wp:posOffset>
            </wp:positionV>
            <wp:extent cx="4388485" cy="2126615"/>
            <wp:effectExtent l="4445" t="5080" r="7620" b="20955"/>
            <wp:wrapTight wrapText="bothSides">
              <wp:wrapPolygon>
                <wp:start x="-22" y="-52"/>
                <wp:lineTo x="-22" y="21426"/>
                <wp:lineTo x="21544" y="21426"/>
                <wp:lineTo x="21544" y="-52"/>
                <wp:lineTo x="-22" y="-52"/>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spacing w:line="600" w:lineRule="exact"/>
        <w:ind w:firstLine="640"/>
        <w:rPr>
          <w:rFonts w:hint="eastAsia" w:ascii="仿宋" w:hAnsi="仿宋" w:eastAsia="仿宋"/>
          <w:color w:val="000000"/>
          <w:sz w:val="32"/>
          <w:szCs w:val="32"/>
          <w:lang w:eastAsia="zh-CN"/>
        </w:rPr>
      </w:pPr>
    </w:p>
    <w:p>
      <w:pPr>
        <w:spacing w:line="600" w:lineRule="exact"/>
        <w:ind w:firstLine="640"/>
        <w:rPr>
          <w:rFonts w:hint="eastAsia" w:ascii="仿宋" w:hAnsi="仿宋" w:eastAsia="仿宋"/>
          <w:color w:val="000000"/>
          <w:sz w:val="32"/>
          <w:szCs w:val="32"/>
          <w:lang w:eastAsia="zh-CN"/>
        </w:rPr>
      </w:pPr>
    </w:p>
    <w:p>
      <w:pPr>
        <w:spacing w:line="600" w:lineRule="exact"/>
        <w:ind w:firstLine="640"/>
        <w:rPr>
          <w:rFonts w:hint="eastAsia" w:ascii="仿宋" w:hAnsi="仿宋" w:eastAsia="仿宋"/>
          <w:color w:val="000000"/>
          <w:sz w:val="32"/>
          <w:szCs w:val="32"/>
          <w:lang w:eastAsia="zh-CN"/>
        </w:rPr>
      </w:pPr>
    </w:p>
    <w:p>
      <w:pPr>
        <w:spacing w:line="600" w:lineRule="exact"/>
        <w:ind w:firstLine="640"/>
        <w:rPr>
          <w:rFonts w:hint="eastAsia" w:ascii="仿宋" w:hAnsi="仿宋" w:eastAsia="仿宋"/>
          <w:color w:val="000000"/>
          <w:sz w:val="32"/>
          <w:szCs w:val="32"/>
          <w:lang w:eastAsia="zh-CN"/>
        </w:rPr>
      </w:pPr>
    </w:p>
    <w:p>
      <w:pPr>
        <w:spacing w:line="600" w:lineRule="exact"/>
        <w:ind w:firstLine="640"/>
        <w:rPr>
          <w:rFonts w:hint="eastAsia" w:ascii="仿宋" w:hAnsi="仿宋" w:eastAsia="仿宋"/>
          <w:color w:val="000000"/>
          <w:sz w:val="32"/>
          <w:szCs w:val="32"/>
          <w:lang w:eastAsia="zh-CN"/>
        </w:rPr>
      </w:pPr>
    </w:p>
    <w:p>
      <w:pPr>
        <w:spacing w:line="600" w:lineRule="exact"/>
        <w:ind w:firstLine="640" w:firstLineChars="200"/>
        <w:rPr>
          <w:rFonts w:hint="eastAsia" w:ascii="黑体" w:hAnsi="黑体" w:eastAsia="黑体"/>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bookmarkStart w:id="50" w:name="_Toc15396607"/>
      <w:bookmarkStart w:id="51" w:name="_Toc15377209"/>
      <w:bookmarkStart w:id="52" w:name="_Toc79163614"/>
    </w:p>
    <w:p>
      <w:pPr>
        <w:spacing w:line="600" w:lineRule="exact"/>
        <w:ind w:firstLine="640" w:firstLineChars="200"/>
        <w:outlineLvl w:val="1"/>
        <w:rPr>
          <w:rStyle w:val="26"/>
          <w:rFonts w:ascii="黑体" w:hAnsi="黑体" w:eastAsia="黑体"/>
          <w:b w:val="0"/>
        </w:rPr>
      </w:pPr>
      <w:bookmarkStart w:id="53" w:name="_Toc11304"/>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50"/>
      <w:bookmarkEnd w:id="51"/>
      <w:bookmarkEnd w:id="52"/>
      <w:bookmarkEnd w:id="53"/>
    </w:p>
    <w:p>
      <w:pPr>
        <w:spacing w:line="600" w:lineRule="exact"/>
        <w:ind w:firstLine="643" w:firstLineChars="200"/>
        <w:outlineLvl w:val="2"/>
        <w:rPr>
          <w:rFonts w:ascii="仿宋" w:hAnsi="仿宋" w:eastAsia="仿宋"/>
          <w:b/>
          <w:color w:val="000000"/>
          <w:sz w:val="32"/>
          <w:szCs w:val="32"/>
        </w:rPr>
      </w:pPr>
      <w:bookmarkStart w:id="54" w:name="_Toc15377210"/>
      <w:bookmarkStart w:id="55" w:name="_Toc79163615"/>
      <w:bookmarkStart w:id="56" w:name="_Toc11930"/>
      <w:r>
        <w:rPr>
          <w:rFonts w:hint="eastAsia" w:ascii="仿宋" w:hAnsi="仿宋" w:eastAsia="仿宋"/>
          <w:b/>
          <w:color w:val="000000"/>
          <w:sz w:val="32"/>
          <w:szCs w:val="32"/>
        </w:rPr>
        <w:t>（一）一般公共预算财政拨款支出决算总体情况</w:t>
      </w:r>
      <w:bookmarkEnd w:id="54"/>
      <w:bookmarkEnd w:id="55"/>
      <w:bookmarkEnd w:id="56"/>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val="en-US" w:eastAsia="zh-CN"/>
        </w:rPr>
        <w:t>2038.18</w:t>
      </w:r>
      <w:r>
        <w:rPr>
          <w:rFonts w:hint="eastAsia" w:ascii="仿宋" w:hAnsi="仿宋" w:eastAsia="仿宋"/>
          <w:color w:val="000000"/>
          <w:sz w:val="32"/>
          <w:szCs w:val="32"/>
        </w:rPr>
        <w:t>万元，占本年支出</w:t>
      </w:r>
      <w:r>
        <w:rPr>
          <w:rFonts w:hint="eastAsia" w:ascii="仿宋" w:hAnsi="仿宋" w:eastAsia="仿宋"/>
          <w:color w:val="000000"/>
          <w:sz w:val="32"/>
          <w:szCs w:val="32"/>
          <w:lang w:val="en-US" w:eastAsia="zh-CN"/>
        </w:rPr>
        <w:t>99.59</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highlight w:val="none"/>
        </w:rPr>
        <w:t>与</w:t>
      </w:r>
      <w:r>
        <w:rPr>
          <w:rFonts w:hint="eastAsia" w:ascii="仿宋" w:hAnsi="仿宋" w:eastAsia="仿宋"/>
          <w:color w:val="000000"/>
          <w:sz w:val="32"/>
          <w:szCs w:val="32"/>
          <w:highlight w:val="none"/>
          <w:lang w:val="en-US" w:eastAsia="zh-CN"/>
        </w:rPr>
        <w:t>2024年</w:t>
      </w:r>
      <w:r>
        <w:rPr>
          <w:rFonts w:hint="eastAsia" w:ascii="仿宋" w:hAnsi="仿宋" w:eastAsia="仿宋"/>
          <w:color w:val="000000"/>
          <w:sz w:val="32"/>
          <w:szCs w:val="32"/>
          <w:highlight w:val="none"/>
        </w:rPr>
        <w:t>财政拨款收、支总计</w:t>
      </w:r>
      <w:r>
        <w:rPr>
          <w:rFonts w:hint="eastAsia" w:ascii="仿宋" w:hAnsi="仿宋" w:eastAsia="仿宋"/>
          <w:color w:val="000000"/>
          <w:sz w:val="32"/>
          <w:szCs w:val="32"/>
          <w:highlight w:val="none"/>
          <w:lang w:val="en-US" w:eastAsia="zh-CN"/>
        </w:rPr>
        <w:t>1895.89</w:t>
      </w:r>
      <w:r>
        <w:rPr>
          <w:rFonts w:hint="eastAsia" w:ascii="仿宋" w:hAnsi="仿宋" w:eastAsia="仿宋"/>
          <w:color w:val="000000"/>
          <w:sz w:val="32"/>
          <w:szCs w:val="32"/>
          <w:highlight w:val="none"/>
        </w:rPr>
        <w:t>万元相比，</w:t>
      </w:r>
      <w:r>
        <w:rPr>
          <w:rFonts w:hint="eastAsia" w:ascii="仿宋" w:hAnsi="仿宋" w:eastAsia="仿宋"/>
          <w:color w:val="000000"/>
          <w:sz w:val="32"/>
          <w:szCs w:val="32"/>
          <w:highlight w:val="none"/>
          <w:lang w:val="en-US" w:eastAsia="zh-CN"/>
        </w:rPr>
        <w:t>增加142.29</w:t>
      </w:r>
      <w:r>
        <w:rPr>
          <w:rFonts w:hint="eastAsia" w:ascii="仿宋" w:hAnsi="仿宋" w:eastAsia="仿宋"/>
          <w:color w:val="000000"/>
          <w:sz w:val="32"/>
          <w:szCs w:val="32"/>
          <w:highlight w:val="none"/>
        </w:rPr>
        <w:t>万元，</w:t>
      </w:r>
      <w:r>
        <w:rPr>
          <w:rFonts w:hint="eastAsia" w:ascii="仿宋" w:hAnsi="仿宋" w:eastAsia="仿宋"/>
          <w:color w:val="000000"/>
          <w:sz w:val="32"/>
          <w:szCs w:val="32"/>
          <w:highlight w:val="none"/>
          <w:lang w:val="en-US" w:eastAsia="zh-CN"/>
        </w:rPr>
        <w:t>增加7.5</w:t>
      </w:r>
      <w:r>
        <w:rPr>
          <w:rFonts w:ascii="仿宋" w:hAnsi="仿宋" w:eastAsia="仿宋"/>
          <w:color w:val="000000"/>
          <w:sz w:val="32"/>
          <w:szCs w:val="32"/>
          <w:highlight w:val="none"/>
        </w:rPr>
        <w:t>%</w:t>
      </w:r>
      <w:r>
        <w:rPr>
          <w:rFonts w:hint="eastAsia" w:ascii="仿宋" w:hAnsi="仿宋" w:eastAsia="仿宋"/>
          <w:color w:val="000000"/>
          <w:sz w:val="32"/>
          <w:szCs w:val="32"/>
          <w:highlight w:val="none"/>
        </w:rPr>
        <w:t>。主要变动原因是</w:t>
      </w:r>
      <w:r>
        <w:rPr>
          <w:rFonts w:hint="eastAsia" w:ascii="仿宋" w:hAnsi="仿宋" w:eastAsia="仿宋"/>
          <w:color w:val="000000"/>
          <w:sz w:val="32"/>
          <w:szCs w:val="32"/>
          <w:highlight w:val="none"/>
          <w:lang w:val="en-US" w:eastAsia="zh-CN"/>
        </w:rPr>
        <w:t>人员增加</w:t>
      </w:r>
      <w:r>
        <w:rPr>
          <w:rFonts w:hint="eastAsia" w:ascii="仿宋" w:hAnsi="仿宋" w:eastAsia="仿宋"/>
          <w:color w:val="000000"/>
          <w:sz w:val="32"/>
          <w:szCs w:val="32"/>
          <w:lang w:eastAsia="zh-CN"/>
        </w:rPr>
        <w:t>。</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64384" behindDoc="1" locked="0" layoutInCell="1" allowOverlap="1">
            <wp:simplePos x="0" y="0"/>
            <wp:positionH relativeFrom="column">
              <wp:posOffset>648335</wp:posOffset>
            </wp:positionH>
            <wp:positionV relativeFrom="paragraph">
              <wp:posOffset>208915</wp:posOffset>
            </wp:positionV>
            <wp:extent cx="4289425" cy="2091055"/>
            <wp:effectExtent l="5080" t="4445" r="10795" b="57150"/>
            <wp:wrapTight wrapText="bothSides">
              <wp:wrapPolygon>
                <wp:start x="-26" y="-46"/>
                <wp:lineTo x="-26" y="21403"/>
                <wp:lineTo x="21558" y="21403"/>
                <wp:lineTo x="21558" y="-46"/>
                <wp:lineTo x="-26" y="-46"/>
              </wp:wrapPolygon>
            </wp:wrapTight>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640" w:firstLineChars="200"/>
        <w:rPr>
          <w:rFonts w:ascii="仿宋" w:hAnsi="仿宋" w:eastAsia="仿宋"/>
          <w:color w:val="000000"/>
          <w:sz w:val="32"/>
          <w:szCs w:val="32"/>
        </w:rPr>
      </w:pPr>
    </w:p>
    <w:p>
      <w:pPr>
        <w:spacing w:line="600" w:lineRule="exact"/>
        <w:ind w:firstLine="640" w:firstLineChars="200"/>
        <w:rPr>
          <w:rFonts w:ascii="仿宋" w:hAnsi="仿宋" w:eastAsia="仿宋"/>
          <w:color w:val="000000"/>
          <w:sz w:val="32"/>
          <w:szCs w:val="32"/>
        </w:rPr>
      </w:pPr>
    </w:p>
    <w:p>
      <w:pPr>
        <w:spacing w:line="600" w:lineRule="exact"/>
        <w:ind w:firstLine="640" w:firstLineChars="200"/>
        <w:rPr>
          <w:rFonts w:ascii="仿宋" w:hAnsi="仿宋" w:eastAsia="仿宋"/>
          <w:color w:val="000000"/>
          <w:sz w:val="32"/>
          <w:szCs w:val="32"/>
        </w:rPr>
      </w:pPr>
    </w:p>
    <w:p>
      <w:pPr>
        <w:spacing w:line="600" w:lineRule="exact"/>
        <w:jc w:val="both"/>
        <w:outlineLvl w:val="2"/>
        <w:rPr>
          <w:rFonts w:hint="eastAsia" w:ascii="仿宋" w:hAnsi="仿宋" w:eastAsia="仿宋"/>
          <w:b/>
          <w:color w:val="000000"/>
          <w:sz w:val="32"/>
          <w:szCs w:val="32"/>
        </w:rPr>
      </w:pPr>
      <w:bookmarkStart w:id="57" w:name="_Toc15377211"/>
      <w:bookmarkStart w:id="58" w:name="_Toc79163616"/>
    </w:p>
    <w:p>
      <w:pPr>
        <w:spacing w:line="600" w:lineRule="exact"/>
        <w:ind w:firstLine="640" w:firstLineChars="200"/>
        <w:rPr>
          <w:rFonts w:hint="eastAsia" w:ascii="仿宋" w:hAnsi="仿宋" w:eastAsia="仿宋"/>
          <w:b/>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p>
      <w:pPr>
        <w:spacing w:line="600" w:lineRule="exact"/>
        <w:ind w:firstLine="643" w:firstLineChars="200"/>
        <w:outlineLvl w:val="2"/>
        <w:rPr>
          <w:rFonts w:ascii="仿宋" w:hAnsi="仿宋" w:eastAsia="仿宋"/>
          <w:b/>
          <w:color w:val="000000"/>
          <w:sz w:val="32"/>
          <w:szCs w:val="32"/>
        </w:rPr>
      </w:pPr>
      <w:bookmarkStart w:id="59" w:name="_Toc7430"/>
      <w:r>
        <w:rPr>
          <w:rFonts w:hint="eastAsia" w:ascii="仿宋" w:hAnsi="仿宋" w:eastAsia="仿宋"/>
          <w:b/>
          <w:color w:val="000000"/>
          <w:sz w:val="32"/>
          <w:szCs w:val="32"/>
        </w:rPr>
        <w:t>（二）一般公共预算财政拨款支出决算结构情况</w:t>
      </w:r>
      <w:bookmarkEnd w:id="57"/>
      <w:bookmarkEnd w:id="58"/>
      <w:bookmarkEnd w:id="59"/>
    </w:p>
    <w:p>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val="en-US" w:eastAsia="zh-CN"/>
        </w:rPr>
        <w:t>2038.18</w:t>
      </w:r>
      <w:r>
        <w:rPr>
          <w:rFonts w:hint="eastAsia" w:ascii="仿宋" w:hAnsi="仿宋" w:eastAsia="仿宋"/>
          <w:color w:val="000000"/>
          <w:sz w:val="32"/>
          <w:szCs w:val="32"/>
        </w:rPr>
        <w:t>万元，主要用于以下方面</w:t>
      </w:r>
      <w:r>
        <w:rPr>
          <w:rFonts w:ascii="仿宋" w:hAnsi="仿宋" w:eastAsia="仿宋"/>
          <w:color w:val="000000"/>
          <w:sz w:val="32"/>
          <w:szCs w:val="32"/>
        </w:rPr>
        <w:t>:</w:t>
      </w:r>
      <w:r>
        <w:rPr>
          <w:rFonts w:hint="eastAsia" w:ascii="仿宋" w:hAnsi="仿宋" w:eastAsia="仿宋"/>
          <w:b/>
          <w:color w:val="000000"/>
          <w:sz w:val="32"/>
          <w:szCs w:val="32"/>
        </w:rPr>
        <w:t>一般公共服务（类）</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1765.12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86.6</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教育支出（类）</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科学技术（类）</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文化旅游体育与传媒（类）支出</w:t>
      </w:r>
      <w:r>
        <w:rPr>
          <w:rFonts w:hint="eastAsia" w:ascii="仿宋" w:hAnsi="仿宋" w:eastAsia="仿宋"/>
          <w:b/>
          <w:bCs/>
          <w:color w:val="000000"/>
          <w:sz w:val="32"/>
          <w:szCs w:val="32"/>
          <w:lang w:val="en-US" w:eastAsia="zh-CN"/>
        </w:rPr>
        <w:t>0</w:t>
      </w:r>
      <w:r>
        <w:rPr>
          <w:rFonts w:hint="eastAsia" w:ascii="仿宋" w:hAnsi="仿宋" w:eastAsia="仿宋"/>
          <w:b/>
          <w:bCs/>
          <w:color w:val="000000"/>
          <w:sz w:val="32"/>
          <w:szCs w:val="32"/>
        </w:rPr>
        <w:t>万元，占</w:t>
      </w:r>
      <w:r>
        <w:rPr>
          <w:rFonts w:hint="eastAsia" w:ascii="仿宋" w:hAnsi="仿宋" w:eastAsia="仿宋"/>
          <w:b/>
          <w:bCs/>
          <w:color w:val="000000"/>
          <w:sz w:val="32"/>
          <w:szCs w:val="32"/>
          <w:lang w:val="en-US" w:eastAsia="zh-CN"/>
        </w:rPr>
        <w:t>0</w:t>
      </w:r>
      <w:r>
        <w:rPr>
          <w:rFonts w:ascii="仿宋" w:hAnsi="仿宋" w:eastAsia="仿宋"/>
          <w:b/>
          <w:bCs/>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社会保障和就业（类）</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136.57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6.7</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卫生健康支出</w:t>
      </w:r>
      <w:r>
        <w:rPr>
          <w:rFonts w:hint="eastAsia" w:ascii="仿宋" w:hAnsi="仿宋" w:eastAsia="仿宋"/>
          <w:color w:val="000000"/>
          <w:sz w:val="32"/>
          <w:szCs w:val="32"/>
          <w:lang w:val="en-US" w:eastAsia="zh-CN"/>
        </w:rPr>
        <w:t>58.51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2.87</w:t>
      </w:r>
      <w:r>
        <w:rPr>
          <w:rFonts w:ascii="仿宋" w:hAnsi="仿宋" w:eastAsia="仿宋"/>
          <w:color w:val="000000"/>
          <w:sz w:val="32"/>
          <w:szCs w:val="32"/>
        </w:rPr>
        <w:t>%</w:t>
      </w:r>
      <w:r>
        <w:rPr>
          <w:rFonts w:hint="eastAsia" w:ascii="仿宋" w:hAnsi="仿宋" w:eastAsia="仿宋"/>
          <w:color w:val="000000"/>
          <w:sz w:val="32"/>
          <w:szCs w:val="32"/>
        </w:rPr>
        <w:t>；住房保障支出</w:t>
      </w:r>
      <w:r>
        <w:rPr>
          <w:rFonts w:hint="eastAsia" w:ascii="仿宋" w:hAnsi="仿宋" w:eastAsia="仿宋"/>
          <w:color w:val="000000"/>
          <w:sz w:val="32"/>
          <w:szCs w:val="32"/>
          <w:lang w:val="en-US" w:eastAsia="zh-CN"/>
        </w:rPr>
        <w:t>77.98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3.83</w:t>
      </w:r>
      <w:r>
        <w:rPr>
          <w:rFonts w:ascii="仿宋" w:hAnsi="仿宋" w:eastAsia="仿宋"/>
          <w:color w:val="000000"/>
          <w:sz w:val="32"/>
          <w:szCs w:val="32"/>
        </w:rPr>
        <w:t>%</w:t>
      </w:r>
      <w:r>
        <w:rPr>
          <w:rFonts w:hint="eastAsia" w:ascii="仿宋" w:hAnsi="仿宋" w:eastAsia="仿宋"/>
          <w:color w:val="000000"/>
          <w:sz w:val="32"/>
          <w:szCs w:val="32"/>
          <w:lang w:eastAsia="zh-CN"/>
        </w:rPr>
        <w:t>。</w:t>
      </w:r>
    </w:p>
    <w:p>
      <w:pPr>
        <w:spacing w:line="600" w:lineRule="exact"/>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drawing>
          <wp:anchor distT="0" distB="0" distL="114300" distR="114300" simplePos="0" relativeHeight="251665408" behindDoc="0" locked="0" layoutInCell="1" allowOverlap="1">
            <wp:simplePos x="0" y="0"/>
            <wp:positionH relativeFrom="column">
              <wp:posOffset>393065</wp:posOffset>
            </wp:positionH>
            <wp:positionV relativeFrom="paragraph">
              <wp:posOffset>-7649210</wp:posOffset>
            </wp:positionV>
            <wp:extent cx="5009515" cy="2600325"/>
            <wp:effectExtent l="4445" t="4445" r="15240" b="508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rPr>
          <w:rFonts w:hint="eastAsia" w:ascii="仿宋" w:hAnsi="仿宋" w:eastAsia="仿宋"/>
          <w:color w:val="000000"/>
          <w:sz w:val="32"/>
          <w:szCs w:val="32"/>
        </w:rPr>
      </w:pPr>
    </w:p>
    <w:p>
      <w:pPr>
        <w:spacing w:line="600" w:lineRule="exact"/>
        <w:rPr>
          <w:rFonts w:hint="eastAsia" w:ascii="仿宋" w:hAnsi="仿宋" w:eastAsia="仿宋"/>
          <w:color w:val="000000"/>
          <w:sz w:val="32"/>
          <w:szCs w:val="32"/>
        </w:rPr>
      </w:pPr>
    </w:p>
    <w:p>
      <w:pPr>
        <w:spacing w:line="600" w:lineRule="exact"/>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bookmarkStart w:id="60" w:name="_Toc15377212"/>
      <w:bookmarkStart w:id="61" w:name="_Toc79163617"/>
    </w:p>
    <w:p>
      <w:pPr>
        <w:spacing w:line="600" w:lineRule="exact"/>
        <w:ind w:firstLine="643" w:firstLineChars="200"/>
        <w:outlineLvl w:val="2"/>
        <w:rPr>
          <w:rFonts w:ascii="仿宋" w:hAnsi="仿宋" w:eastAsia="仿宋"/>
          <w:b/>
          <w:color w:val="000000"/>
          <w:sz w:val="32"/>
          <w:szCs w:val="32"/>
        </w:rPr>
      </w:pPr>
      <w:bookmarkStart w:id="62" w:name="_Toc20141"/>
      <w:r>
        <w:rPr>
          <w:rFonts w:hint="eastAsia" w:ascii="仿宋" w:hAnsi="仿宋" w:eastAsia="仿宋"/>
          <w:b/>
          <w:color w:val="000000"/>
          <w:sz w:val="32"/>
          <w:szCs w:val="32"/>
        </w:rPr>
        <w:t>（三）一般公共预算财政拨款支出决算具体情况</w:t>
      </w:r>
      <w:bookmarkEnd w:id="62"/>
    </w:p>
    <w:p>
      <w:pPr>
        <w:spacing w:line="600" w:lineRule="exact"/>
        <w:ind w:firstLine="643" w:firstLineChars="200"/>
        <w:rPr>
          <w:rFonts w:ascii="仿宋_GB2312" w:eastAsia="仿宋_GB2312"/>
          <w:b/>
          <w:bCs/>
          <w:sz w:val="32"/>
          <w:szCs w:val="32"/>
        </w:rPr>
      </w:pPr>
      <w:r>
        <w:rPr>
          <w:rFonts w:hint="eastAsia" w:ascii="仿宋_GB2312" w:eastAsia="仿宋_GB2312"/>
          <w:b/>
          <w:bCs/>
          <w:sz w:val="32"/>
          <w:szCs w:val="32"/>
          <w:lang w:eastAsia="zh-CN"/>
        </w:rPr>
        <w:t>2025年</w:t>
      </w:r>
      <w:r>
        <w:rPr>
          <w:rFonts w:hint="eastAsia" w:ascii="仿宋_GB2312" w:eastAsia="仿宋_GB2312"/>
          <w:b/>
          <w:bCs/>
          <w:sz w:val="32"/>
          <w:szCs w:val="32"/>
        </w:rPr>
        <w:t>一般公共预算支出决算数为</w:t>
      </w:r>
      <w:r>
        <w:rPr>
          <w:rFonts w:hint="eastAsia" w:ascii="仿宋" w:hAnsi="仿宋" w:eastAsia="仿宋"/>
          <w:color w:val="000000"/>
          <w:sz w:val="32"/>
          <w:szCs w:val="32"/>
          <w:lang w:val="en-US" w:eastAsia="zh-CN"/>
        </w:rPr>
        <w:t>2038.18</w:t>
      </w:r>
      <w:r>
        <w:rPr>
          <w:rFonts w:hint="eastAsia" w:ascii="仿宋_GB2312" w:eastAsia="仿宋_GB2312"/>
          <w:b/>
          <w:bCs/>
          <w:sz w:val="32"/>
          <w:szCs w:val="32"/>
          <w:lang w:val="en-US" w:eastAsia="zh-CN"/>
        </w:rPr>
        <w:t>万元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p>
    <w:p>
      <w:pPr>
        <w:spacing w:line="600" w:lineRule="exact"/>
        <w:ind w:firstLine="643" w:firstLineChars="200"/>
        <w:rPr>
          <w:rFonts w:ascii="仿宋" w:hAnsi="仿宋" w:eastAsia="仿宋"/>
          <w:b/>
          <w:color w:val="000000"/>
          <w:sz w:val="32"/>
          <w:szCs w:val="32"/>
        </w:rPr>
      </w:pPr>
      <w:r>
        <w:rPr>
          <w:rStyle w:val="23"/>
          <w:rFonts w:ascii="仿宋" w:hAnsi="仿宋" w:eastAsia="仿宋"/>
          <w:bCs/>
          <w:color w:val="000000"/>
          <w:sz w:val="32"/>
          <w:szCs w:val="32"/>
        </w:rPr>
        <w:t>1.</w:t>
      </w:r>
      <w:r>
        <w:rPr>
          <w:rStyle w:val="23"/>
          <w:rFonts w:hint="eastAsia" w:ascii="仿宋" w:hAnsi="仿宋" w:eastAsia="仿宋"/>
          <w:bCs/>
          <w:color w:val="000000"/>
          <w:sz w:val="32"/>
          <w:szCs w:val="32"/>
        </w:rPr>
        <w:t>一般公共服务（</w:t>
      </w:r>
      <w:r>
        <w:rPr>
          <w:rStyle w:val="23"/>
          <w:rFonts w:hint="eastAsia" w:ascii="仿宋" w:hAnsi="仿宋" w:eastAsia="仿宋"/>
          <w:bCs/>
          <w:color w:val="000000"/>
          <w:sz w:val="32"/>
          <w:szCs w:val="32"/>
          <w:lang w:val="en-US" w:eastAsia="zh-CN"/>
        </w:rPr>
        <w:t>201</w:t>
      </w:r>
      <w:r>
        <w:rPr>
          <w:rStyle w:val="23"/>
          <w:rFonts w:hint="eastAsia" w:ascii="仿宋" w:hAnsi="仿宋" w:eastAsia="仿宋"/>
          <w:bCs/>
          <w:color w:val="000000"/>
          <w:sz w:val="32"/>
          <w:szCs w:val="32"/>
        </w:rPr>
        <w:t>）政府办公厅（室）及相关机构事务（</w:t>
      </w:r>
      <w:r>
        <w:rPr>
          <w:rStyle w:val="23"/>
          <w:rFonts w:hint="eastAsia" w:ascii="仿宋" w:hAnsi="仿宋" w:eastAsia="仿宋"/>
          <w:bCs/>
          <w:color w:val="000000"/>
          <w:sz w:val="32"/>
          <w:szCs w:val="32"/>
          <w:lang w:val="en-US" w:eastAsia="zh-CN"/>
        </w:rPr>
        <w:t>20103</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事业运行</w:t>
      </w:r>
      <w:r>
        <w:rPr>
          <w:rStyle w:val="23"/>
          <w:rFonts w:hint="eastAsia" w:ascii="仿宋" w:hAnsi="仿宋" w:eastAsia="仿宋"/>
          <w:bCs/>
          <w:color w:val="000000"/>
          <w:sz w:val="32"/>
          <w:szCs w:val="32"/>
          <w:lang w:val="en-US" w:eastAsia="zh-CN"/>
        </w:rPr>
        <w:t>/</w:t>
      </w:r>
      <w:r>
        <w:rPr>
          <w:rStyle w:val="23"/>
          <w:rFonts w:hint="eastAsia" w:ascii="仿宋" w:hAnsi="仿宋" w:eastAsia="仿宋"/>
          <w:bCs/>
          <w:color w:val="000000"/>
          <w:sz w:val="32"/>
          <w:szCs w:val="32"/>
          <w:lang w:eastAsia="zh-CN"/>
        </w:rPr>
        <w:t>行政运行</w:t>
      </w:r>
      <w:r>
        <w:rPr>
          <w:rStyle w:val="23"/>
          <w:rFonts w:hint="eastAsia" w:ascii="仿宋" w:hAnsi="仿宋" w:eastAsia="仿宋"/>
          <w:bCs/>
          <w:color w:val="000000"/>
          <w:sz w:val="32"/>
          <w:szCs w:val="32"/>
          <w:lang w:val="en-US" w:eastAsia="zh-CN"/>
        </w:rPr>
        <w:t>/  其他政府办公厅（室）及相关机构事务支出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2010350/2010301/2010302</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1765.12</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，决算数小于</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等于预算数的主要原因是</w:t>
      </w:r>
      <w:r>
        <w:rPr>
          <w:rStyle w:val="23"/>
          <w:rFonts w:hint="eastAsia" w:ascii="仿宋" w:hAnsi="仿宋" w:eastAsia="仿宋"/>
          <w:b w:val="0"/>
          <w:bCs/>
          <w:color w:val="000000"/>
          <w:sz w:val="32"/>
          <w:szCs w:val="32"/>
          <w:lang w:eastAsia="zh-CN"/>
        </w:rPr>
        <w:t>工作任务增加</w:t>
      </w:r>
      <w:r>
        <w:rPr>
          <w:rStyle w:val="23"/>
          <w:rFonts w:hint="eastAsia" w:ascii="仿宋" w:hAnsi="仿宋" w:eastAsia="仿宋"/>
          <w:b w:val="0"/>
          <w:bCs/>
          <w:color w:val="000000"/>
          <w:sz w:val="32"/>
          <w:szCs w:val="32"/>
        </w:rPr>
        <w:t>。</w:t>
      </w:r>
    </w:p>
    <w:p>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2</w:t>
      </w:r>
      <w:r>
        <w:rPr>
          <w:rStyle w:val="23"/>
          <w:rFonts w:ascii="仿宋" w:hAnsi="仿宋" w:eastAsia="仿宋"/>
          <w:bCs/>
          <w:color w:val="000000"/>
          <w:sz w:val="32"/>
          <w:szCs w:val="32"/>
        </w:rPr>
        <w:t>.</w:t>
      </w:r>
      <w:r>
        <w:rPr>
          <w:rStyle w:val="23"/>
          <w:rFonts w:ascii="仿宋_GB2312" w:hAnsi="Times New Roman" w:eastAsia="仿宋_GB2312" w:cs="仿宋_GB2312"/>
          <w:i w:val="0"/>
          <w:iCs w:val="0"/>
          <w:caps w:val="0"/>
          <w:color w:val="333333"/>
          <w:spacing w:val="0"/>
          <w:sz w:val="32"/>
          <w:szCs w:val="32"/>
          <w:shd w:val="clear" w:fill="FFFFFF"/>
          <w:vertAlign w:val="baseline"/>
        </w:rPr>
        <w:t>社会保障和就业（208）-行政事业单位离退休（20805） 机关事业单位基本养老保险缴费支出/ 机关事业单位职业年金缴费支出（2080505/2080506）:</w:t>
      </w:r>
      <w:r>
        <w:rPr>
          <w:rFonts w:hint="eastAsia" w:ascii="仿宋_GB2312" w:hAnsi="Times New Roman" w:eastAsia="仿宋_GB2312" w:cs="仿宋_GB2312"/>
          <w:i w:val="0"/>
          <w:iCs w:val="0"/>
          <w:caps w:val="0"/>
          <w:color w:val="333333"/>
          <w:spacing w:val="0"/>
          <w:sz w:val="32"/>
          <w:szCs w:val="32"/>
          <w:shd w:val="clear" w:fill="FFFFFF"/>
          <w:vertAlign w:val="baseline"/>
        </w:rPr>
        <w:t> </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136.57</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，决算数小于</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等于预算数的主要原因是</w:t>
      </w:r>
      <w:r>
        <w:rPr>
          <w:rStyle w:val="23"/>
          <w:rFonts w:hint="eastAsia" w:ascii="仿宋" w:hAnsi="仿宋" w:eastAsia="仿宋"/>
          <w:b w:val="0"/>
          <w:bCs/>
          <w:color w:val="000000"/>
          <w:sz w:val="32"/>
          <w:szCs w:val="32"/>
          <w:lang w:eastAsia="zh-CN"/>
        </w:rPr>
        <w:t>人员调整</w:t>
      </w:r>
      <w:r>
        <w:rPr>
          <w:rStyle w:val="23"/>
          <w:rFonts w:hint="eastAsia" w:ascii="仿宋" w:hAnsi="仿宋" w:eastAsia="仿宋"/>
          <w:b w:val="0"/>
          <w:bCs/>
          <w:color w:val="000000"/>
          <w:sz w:val="32"/>
          <w:szCs w:val="32"/>
        </w:rPr>
        <w:t>。</w:t>
      </w:r>
    </w:p>
    <w:p>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3</w:t>
      </w:r>
      <w:r>
        <w:rPr>
          <w:rStyle w:val="23"/>
          <w:rFonts w:ascii="仿宋" w:hAnsi="仿宋" w:eastAsia="仿宋"/>
          <w:bCs/>
          <w:color w:val="000000"/>
          <w:sz w:val="32"/>
          <w:szCs w:val="32"/>
        </w:rPr>
        <w:t>.</w:t>
      </w:r>
      <w:r>
        <w:rPr>
          <w:rStyle w:val="23"/>
          <w:rFonts w:ascii="仿宋_GB2312" w:hAnsi="Times New Roman" w:eastAsia="仿宋_GB2312" w:cs="仿宋_GB2312"/>
          <w:i w:val="0"/>
          <w:iCs w:val="0"/>
          <w:caps w:val="0"/>
          <w:color w:val="333333"/>
          <w:spacing w:val="0"/>
          <w:sz w:val="32"/>
          <w:szCs w:val="32"/>
          <w:shd w:val="clear" w:fill="FFFFFF"/>
          <w:vertAlign w:val="baseline"/>
        </w:rPr>
        <w:t>卫生健康（210）-行政事业单位医疗（21011）-行政单位医疗/事业单位医疗/ 公务员医疗补助/ 公其他行政事业单位医疗支出（2101101/ 2101102/2101103/2101109）</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58.51</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大</w:t>
      </w:r>
      <w:r>
        <w:rPr>
          <w:rStyle w:val="23"/>
          <w:rFonts w:hint="eastAsia" w:ascii="仿宋" w:hAnsi="仿宋" w:eastAsia="仿宋"/>
          <w:b w:val="0"/>
          <w:bCs/>
          <w:color w:val="000000"/>
          <w:sz w:val="32"/>
          <w:szCs w:val="32"/>
        </w:rPr>
        <w:t>于预算数的主要原因是</w:t>
      </w:r>
      <w:r>
        <w:rPr>
          <w:rStyle w:val="23"/>
          <w:rFonts w:hint="eastAsia" w:ascii="仿宋" w:hAnsi="仿宋" w:eastAsia="仿宋"/>
          <w:b w:val="0"/>
          <w:bCs/>
          <w:color w:val="000000"/>
          <w:sz w:val="32"/>
          <w:szCs w:val="32"/>
          <w:lang w:eastAsia="zh-CN"/>
        </w:rPr>
        <w:t>人员调整</w:t>
      </w:r>
      <w:r>
        <w:rPr>
          <w:rStyle w:val="23"/>
          <w:rFonts w:hint="eastAsia" w:ascii="仿宋" w:hAnsi="仿宋" w:eastAsia="仿宋"/>
          <w:b w:val="0"/>
          <w:bCs/>
          <w:color w:val="000000"/>
          <w:sz w:val="32"/>
          <w:szCs w:val="32"/>
        </w:rPr>
        <w:t>。</w:t>
      </w:r>
    </w:p>
    <w:p>
      <w:pPr>
        <w:spacing w:line="600" w:lineRule="exact"/>
        <w:ind w:firstLine="640" w:firstLineChars="200"/>
        <w:rPr>
          <w:rFonts w:ascii="仿宋" w:hAnsi="仿宋" w:eastAsia="仿宋"/>
          <w:b/>
          <w:color w:val="000000"/>
          <w:sz w:val="32"/>
          <w:szCs w:val="32"/>
        </w:rPr>
      </w:pPr>
      <w:r>
        <w:rPr>
          <w:rFonts w:hint="eastAsia" w:ascii="仿宋" w:hAnsi="仿宋" w:eastAsia="仿宋"/>
          <w:color w:val="000000"/>
          <w:sz w:val="32"/>
          <w:szCs w:val="32"/>
          <w:lang w:val="en-US" w:eastAsia="zh-CN"/>
        </w:rPr>
        <w:t>4.</w:t>
      </w:r>
      <w:r>
        <w:rPr>
          <w:rStyle w:val="23"/>
          <w:rFonts w:ascii="仿宋_GB2312" w:hAnsi="Times New Roman" w:eastAsia="仿宋_GB2312" w:cs="仿宋_GB2312"/>
          <w:i w:val="0"/>
          <w:iCs w:val="0"/>
          <w:caps w:val="0"/>
          <w:color w:val="333333"/>
          <w:spacing w:val="0"/>
          <w:sz w:val="32"/>
          <w:szCs w:val="32"/>
          <w:shd w:val="clear" w:fill="FFFFFF"/>
          <w:vertAlign w:val="baseline"/>
        </w:rPr>
        <w:t>住房保障（221）-住房改革支出（22102）-住房公积金（2210201）</w:t>
      </w:r>
      <w:r>
        <w:rPr>
          <w:rStyle w:val="23"/>
          <w:rFonts w:hint="eastAsia" w:ascii="仿宋_GB2312" w:eastAsia="仿宋_GB2312" w:cs="仿宋_GB2312"/>
          <w:i w:val="0"/>
          <w:iCs w:val="0"/>
          <w:caps w:val="0"/>
          <w:color w:val="333333"/>
          <w:spacing w:val="0"/>
          <w:sz w:val="32"/>
          <w:szCs w:val="32"/>
          <w:shd w:val="clear" w:fill="FFFFFF"/>
          <w:vertAlign w:val="baseline"/>
          <w:lang w:eastAsia="zh-CN"/>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77.98</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w:t>
      </w:r>
      <w:r>
        <w:rPr>
          <w:rStyle w:val="23"/>
          <w:rFonts w:hint="eastAsia" w:ascii="仿宋" w:hAnsi="仿宋" w:eastAsia="仿宋"/>
          <w:b w:val="0"/>
          <w:bCs/>
          <w:color w:val="000000"/>
          <w:sz w:val="32"/>
          <w:szCs w:val="32"/>
          <w:lang w:eastAsia="zh-CN"/>
        </w:rPr>
        <w:t>大</w:t>
      </w:r>
      <w:r>
        <w:rPr>
          <w:rStyle w:val="23"/>
          <w:rFonts w:hint="eastAsia" w:ascii="仿宋" w:hAnsi="仿宋" w:eastAsia="仿宋"/>
          <w:b w:val="0"/>
          <w:bCs/>
          <w:color w:val="000000"/>
          <w:sz w:val="32"/>
          <w:szCs w:val="32"/>
        </w:rPr>
        <w:t>于预算数的主要原因是</w:t>
      </w:r>
      <w:r>
        <w:rPr>
          <w:rStyle w:val="23"/>
          <w:rFonts w:hint="eastAsia" w:ascii="仿宋" w:hAnsi="仿宋" w:eastAsia="仿宋"/>
          <w:b w:val="0"/>
          <w:bCs/>
          <w:color w:val="000000"/>
          <w:sz w:val="32"/>
          <w:szCs w:val="32"/>
          <w:lang w:eastAsia="zh-CN"/>
        </w:rPr>
        <w:t>人员调整</w:t>
      </w:r>
      <w:r>
        <w:rPr>
          <w:rStyle w:val="23"/>
          <w:rFonts w:hint="eastAsia" w:ascii="仿宋" w:hAnsi="仿宋" w:eastAsia="仿宋"/>
          <w:b w:val="0"/>
          <w:bCs/>
          <w:color w:val="000000"/>
          <w:sz w:val="32"/>
          <w:szCs w:val="32"/>
        </w:rPr>
        <w:t>。</w:t>
      </w:r>
      <w:bookmarkEnd w:id="60"/>
      <w:bookmarkEnd w:id="61"/>
    </w:p>
    <w:p>
      <w:pPr>
        <w:tabs>
          <w:tab w:val="right" w:pos="8306"/>
        </w:tabs>
        <w:spacing w:line="600" w:lineRule="exact"/>
        <w:ind w:firstLine="640"/>
        <w:outlineLvl w:val="1"/>
        <w:rPr>
          <w:rStyle w:val="26"/>
        </w:rPr>
      </w:pPr>
      <w:bookmarkStart w:id="63" w:name="_Toc15396608"/>
      <w:bookmarkStart w:id="64" w:name="_Toc15377214"/>
      <w:bookmarkStart w:id="65" w:name="_Toc79163618"/>
      <w:bookmarkStart w:id="66" w:name="_Toc26726"/>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63"/>
      <w:bookmarkEnd w:id="64"/>
      <w:bookmarkEnd w:id="65"/>
      <w:bookmarkEnd w:id="66"/>
      <w:r>
        <w:rPr>
          <w:rStyle w:val="26"/>
          <w:rFonts w:ascii="黑体" w:hAnsi="黑体" w:eastAsia="黑体"/>
          <w:b w:val="0"/>
        </w:rPr>
        <w:tab/>
      </w:r>
    </w:p>
    <w:p>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一般公共预算财政拨款基本支出</w:t>
      </w:r>
      <w:r>
        <w:rPr>
          <w:rFonts w:hint="eastAsia" w:ascii="仿宋" w:hAnsi="仿宋" w:eastAsia="仿宋"/>
          <w:color w:val="000000"/>
          <w:sz w:val="32"/>
          <w:szCs w:val="32"/>
          <w:lang w:val="en-US" w:eastAsia="zh-CN"/>
        </w:rPr>
        <w:t>1386.38</w:t>
      </w:r>
      <w:r>
        <w:rPr>
          <w:rFonts w:hint="eastAsia" w:ascii="仿宋" w:hAnsi="仿宋" w:eastAsia="仿宋"/>
          <w:color w:val="000000"/>
          <w:sz w:val="32"/>
          <w:szCs w:val="32"/>
        </w:rPr>
        <w:t>万元，其中：</w:t>
      </w:r>
    </w:p>
    <w:p>
      <w:pPr>
        <w:spacing w:line="600" w:lineRule="exact"/>
        <w:ind w:firstLine="645"/>
        <w:rPr>
          <w:rFonts w:hint="eastAsia" w:ascii="仿宋" w:hAnsi="仿宋" w:eastAsia="仿宋"/>
          <w:color w:val="000000"/>
          <w:sz w:val="32"/>
          <w:szCs w:val="32"/>
          <w:lang w:eastAsia="zh-CN"/>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1029.32</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spacing w:line="600" w:lineRule="exact"/>
        <w:ind w:firstLine="640" w:firstLineChars="200"/>
        <w:rPr>
          <w:rFonts w:ascii="仿宋" w:hAnsi="仿宋" w:eastAsia="仿宋"/>
          <w:b/>
          <w:color w:val="FF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357.06</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6"/>
          <w:rFonts w:ascii="黑体" w:hAnsi="黑体" w:eastAsia="黑体"/>
          <w:b w:val="0"/>
        </w:rPr>
      </w:pPr>
      <w:bookmarkStart w:id="67" w:name="_Toc15396609"/>
      <w:bookmarkStart w:id="68" w:name="_Toc15377215"/>
      <w:bookmarkStart w:id="69" w:name="_Toc79163619"/>
      <w:bookmarkStart w:id="70" w:name="_Toc24283"/>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67"/>
      <w:bookmarkEnd w:id="68"/>
      <w:bookmarkEnd w:id="69"/>
      <w:bookmarkEnd w:id="70"/>
    </w:p>
    <w:p>
      <w:pPr>
        <w:spacing w:line="600" w:lineRule="exact"/>
        <w:ind w:firstLine="640"/>
        <w:outlineLvl w:val="2"/>
        <w:rPr>
          <w:rFonts w:ascii="仿宋" w:hAnsi="仿宋" w:eastAsia="仿宋"/>
          <w:b/>
          <w:color w:val="000000"/>
          <w:sz w:val="32"/>
          <w:szCs w:val="32"/>
        </w:rPr>
      </w:pPr>
      <w:bookmarkStart w:id="71" w:name="_Toc79163620"/>
      <w:bookmarkStart w:id="72" w:name="_Toc15377216"/>
      <w:bookmarkStart w:id="73" w:name="_Toc399"/>
      <w:r>
        <w:rPr>
          <w:rFonts w:hint="eastAsia" w:ascii="仿宋" w:hAnsi="仿宋" w:eastAsia="仿宋"/>
          <w:b/>
          <w:color w:val="000000"/>
          <w:sz w:val="32"/>
          <w:szCs w:val="32"/>
        </w:rPr>
        <w:t>（一）“三公”经费财政拨款支出决算总体情况说明</w:t>
      </w:r>
      <w:bookmarkEnd w:id="71"/>
      <w:bookmarkEnd w:id="72"/>
      <w:bookmarkEnd w:id="73"/>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“三公”经费财政拨款支出决算为</w:t>
      </w:r>
      <w:r>
        <w:rPr>
          <w:rFonts w:hint="eastAsia" w:ascii="仿宋" w:hAnsi="仿宋" w:eastAsia="仿宋"/>
          <w:color w:val="000000"/>
          <w:sz w:val="32"/>
          <w:szCs w:val="32"/>
          <w:lang w:val="en-US" w:eastAsia="zh-CN"/>
        </w:rPr>
        <w:t>87.67</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，决算数</w:t>
      </w:r>
      <w:r>
        <w:rPr>
          <w:rFonts w:hint="eastAsia" w:ascii="仿宋" w:hAnsi="仿宋" w:eastAsia="仿宋"/>
          <w:color w:val="000000"/>
          <w:sz w:val="32"/>
          <w:szCs w:val="32"/>
          <w:lang w:val="en-US" w:eastAsia="zh-CN"/>
        </w:rPr>
        <w:t>大</w:t>
      </w:r>
      <w:r>
        <w:rPr>
          <w:rFonts w:hint="eastAsia" w:ascii="仿宋" w:hAnsi="仿宋" w:eastAsia="仿宋"/>
          <w:color w:val="000000"/>
          <w:sz w:val="32"/>
          <w:szCs w:val="32"/>
        </w:rPr>
        <w:t>于预算数的主要原因是</w:t>
      </w:r>
      <w:r>
        <w:rPr>
          <w:rFonts w:hint="eastAsia" w:ascii="仿宋" w:hAnsi="仿宋" w:eastAsia="仿宋"/>
          <w:color w:val="000000"/>
          <w:sz w:val="32"/>
          <w:szCs w:val="32"/>
          <w:lang w:val="en-US" w:eastAsia="zh-CN"/>
        </w:rPr>
        <w:t>人员增加、出差下乡次数增加</w:t>
      </w:r>
      <w:r>
        <w:rPr>
          <w:rFonts w:hint="eastAsia" w:ascii="仿宋" w:hAnsi="仿宋" w:eastAsia="仿宋"/>
          <w:color w:val="000000"/>
          <w:sz w:val="32"/>
          <w:szCs w:val="32"/>
        </w:rPr>
        <w:t>。</w:t>
      </w:r>
    </w:p>
    <w:p>
      <w:pPr>
        <w:spacing w:line="600" w:lineRule="exact"/>
        <w:ind w:firstLine="640"/>
        <w:outlineLvl w:val="2"/>
        <w:rPr>
          <w:rFonts w:ascii="仿宋" w:hAnsi="仿宋" w:eastAsia="仿宋"/>
          <w:b/>
          <w:color w:val="000000"/>
          <w:sz w:val="32"/>
          <w:szCs w:val="32"/>
        </w:rPr>
      </w:pPr>
      <w:bookmarkStart w:id="74" w:name="_Toc15377217"/>
      <w:bookmarkStart w:id="75" w:name="_Toc79163621"/>
      <w:bookmarkStart w:id="76" w:name="_Toc21613"/>
      <w:r>
        <w:rPr>
          <w:rFonts w:hint="eastAsia" w:ascii="仿宋" w:hAnsi="仿宋" w:eastAsia="仿宋"/>
          <w:b/>
          <w:color w:val="000000"/>
          <w:sz w:val="32"/>
          <w:szCs w:val="32"/>
        </w:rPr>
        <w:t>（二）“三公”经费财政拨款支出决算具体情况说明</w:t>
      </w:r>
      <w:bookmarkEnd w:id="74"/>
      <w:bookmarkEnd w:id="75"/>
      <w:bookmarkEnd w:id="76"/>
    </w:p>
    <w:p>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87.67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。具体情况如下：</w:t>
      </w:r>
    </w:p>
    <w:p>
      <w:pPr>
        <w:spacing w:line="600" w:lineRule="exact"/>
        <w:ind w:firstLine="640"/>
        <w:rPr>
          <w:rFonts w:hint="eastAsia" w:ascii="仿宋" w:hAnsi="仿宋" w:eastAsia="仿宋"/>
          <w:color w:val="000000"/>
          <w:sz w:val="32"/>
          <w:szCs w:val="32"/>
        </w:rPr>
      </w:pPr>
      <w:bookmarkStart w:id="176" w:name="_GoBack"/>
      <w:bookmarkEnd w:id="176"/>
      <w:r>
        <w:rPr>
          <w:rFonts w:hint="eastAsia" w:ascii="仿宋" w:hAns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804545</wp:posOffset>
            </wp:positionH>
            <wp:positionV relativeFrom="paragraph">
              <wp:posOffset>103505</wp:posOffset>
            </wp:positionV>
            <wp:extent cx="3594735" cy="2657475"/>
            <wp:effectExtent l="4445" t="4445" r="20320" b="508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7</w:t>
      </w:r>
      <w:r>
        <w:rPr>
          <w:rFonts w:hint="eastAsia" w:ascii="仿宋" w:hAnsi="仿宋" w:eastAsia="仿宋"/>
          <w:color w:val="000000"/>
          <w:sz w:val="32"/>
          <w:szCs w:val="32"/>
        </w:rPr>
        <w:t>：“三公”经费财政拨款支出结构）（饼状图）</w:t>
      </w:r>
    </w:p>
    <w:p>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人。因公出国（境）支出决算比</w:t>
      </w:r>
      <w:r>
        <w:rPr>
          <w:rFonts w:hint="eastAsia" w:ascii="仿宋_GB2312" w:eastAsia="仿宋_GB2312"/>
          <w:color w:val="000000"/>
          <w:sz w:val="32"/>
          <w:szCs w:val="32"/>
          <w:lang w:val="en-US" w:eastAsia="zh-CN"/>
        </w:rPr>
        <w:t>2025年年减少9.98</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减少100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我单位</w:t>
      </w:r>
      <w:r>
        <w:rPr>
          <w:rFonts w:hint="eastAsia" w:ascii="仿宋_GB2312" w:eastAsia="仿宋_GB2312"/>
          <w:color w:val="000000"/>
          <w:sz w:val="32"/>
          <w:szCs w:val="32"/>
          <w:lang w:val="en-US" w:eastAsia="zh-CN"/>
        </w:rPr>
        <w:t>未</w:t>
      </w:r>
      <w:r>
        <w:rPr>
          <w:rFonts w:hint="eastAsia" w:ascii="仿宋_GB2312" w:eastAsia="仿宋_GB2312"/>
          <w:color w:val="000000"/>
          <w:sz w:val="32"/>
          <w:szCs w:val="32"/>
          <w:lang w:eastAsia="zh-CN"/>
        </w:rPr>
        <w:t>安排因公出境</w:t>
      </w:r>
      <w:r>
        <w:rPr>
          <w:rFonts w:hint="eastAsia" w:ascii="仿宋_GB2312" w:eastAsia="仿宋_GB2312"/>
          <w:color w:val="000000"/>
          <w:sz w:val="32"/>
          <w:szCs w:val="32"/>
        </w:rPr>
        <w:t>。</w:t>
      </w:r>
    </w:p>
    <w:p>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87.67</w:t>
      </w:r>
      <w:r>
        <w:rPr>
          <w:rFonts w:hint="eastAsia" w:ascii="仿宋_GB2312" w:eastAsia="仿宋_GB2312"/>
          <w:color w:val="000000"/>
          <w:sz w:val="32"/>
          <w:szCs w:val="32"/>
        </w:rPr>
        <w:t>万元</w:t>
      </w:r>
      <w:r>
        <w:rPr>
          <w:rFonts w:ascii="仿宋_GB2312" w:eastAsia="仿宋_GB2312"/>
          <w:color w:val="000000"/>
          <w:sz w:val="32"/>
          <w:szCs w:val="32"/>
        </w:rPr>
        <w:t>,</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hint="eastAsia" w:ascii="仿宋_GB2312" w:eastAsia="仿宋_GB2312"/>
          <w:color w:val="000000"/>
          <w:sz w:val="32"/>
          <w:szCs w:val="32"/>
          <w:lang w:val="en-US" w:eastAsia="zh-CN"/>
        </w:rPr>
        <w:t>2025年137.98万元，减少50.31</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减少36.46</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2025年厉行节约</w:t>
      </w:r>
      <w:r>
        <w:rPr>
          <w:rFonts w:hint="eastAsia" w:ascii="仿宋_GB2312" w:eastAsia="仿宋_GB2312"/>
          <w:color w:val="000000"/>
          <w:sz w:val="32"/>
          <w:szCs w:val="32"/>
          <w:lang w:eastAsia="zh-CN"/>
        </w:rPr>
        <w:t>。</w:t>
      </w:r>
    </w:p>
    <w:p>
      <w:pPr>
        <w:spacing w:line="600" w:lineRule="exact"/>
        <w:ind w:firstLine="640" w:firstLineChars="200"/>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57.67</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57.67</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万元。截至</w:t>
      </w:r>
      <w:r>
        <w:rPr>
          <w:rFonts w:hint="eastAsia" w:ascii="仿宋_GB2312" w:eastAsia="仿宋_GB2312"/>
          <w:color w:val="000000"/>
          <w:sz w:val="32"/>
          <w:szCs w:val="32"/>
          <w:lang w:eastAsia="zh-CN"/>
        </w:rPr>
        <w:t>2025年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辆、越野车</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辆、载客汽车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p>
    <w:p>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30</w:t>
      </w:r>
      <w:r>
        <w:rPr>
          <w:rFonts w:hint="eastAsia" w:ascii="仿宋_GB2312" w:eastAsia="仿宋_GB2312"/>
          <w:color w:val="000000"/>
          <w:sz w:val="32"/>
          <w:szCs w:val="32"/>
        </w:rPr>
        <w:t>万元。主要用于</w:t>
      </w:r>
      <w:r>
        <w:rPr>
          <w:rFonts w:hint="eastAsia" w:ascii="仿宋_GB2312" w:eastAsia="仿宋_GB2312"/>
          <w:color w:val="000000"/>
          <w:sz w:val="32"/>
          <w:szCs w:val="32"/>
          <w:lang w:eastAsia="zh-CN"/>
        </w:rPr>
        <w:t>出差、下乡、森林草原防灭火</w:t>
      </w:r>
      <w:r>
        <w:rPr>
          <w:rFonts w:hint="eastAsia" w:ascii="仿宋_GB2312" w:eastAsia="仿宋_GB2312"/>
          <w:color w:val="000000"/>
          <w:sz w:val="32"/>
          <w:szCs w:val="32"/>
        </w:rPr>
        <w:t>等所需的公务用车燃料费、维修费、过路过桥费、保险费等支出。</w:t>
      </w:r>
    </w:p>
    <w:p>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hint="eastAsia" w:ascii="仿宋_GB2312" w:eastAsia="仿宋_GB2312"/>
          <w:color w:val="000000"/>
          <w:sz w:val="32"/>
          <w:szCs w:val="32"/>
          <w:lang w:val="en-US" w:eastAsia="zh-CN"/>
        </w:rPr>
        <w:t>2025年年</w:t>
      </w:r>
      <w:r>
        <w:rPr>
          <w:rFonts w:hint="eastAsia" w:ascii="仿宋_GB2312" w:eastAsia="仿宋_GB2312"/>
          <w:color w:val="000000"/>
          <w:sz w:val="32"/>
          <w:szCs w:val="32"/>
        </w:rPr>
        <w:t>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万元，主要用于</w:t>
      </w:r>
      <w:r>
        <w:rPr>
          <w:rFonts w:ascii="仿宋_GB2312" w:eastAsia="仿宋_GB2312"/>
          <w:color w:val="000000"/>
          <w:sz w:val="32"/>
          <w:szCs w:val="32"/>
        </w:rPr>
        <w:t>(</w:t>
      </w:r>
      <w:r>
        <w:rPr>
          <w:rFonts w:hint="eastAsia" w:ascii="仿宋_GB2312" w:eastAsia="仿宋_GB2312"/>
          <w:color w:val="000000"/>
          <w:sz w:val="32"/>
          <w:szCs w:val="32"/>
        </w:rPr>
        <w:t>执行公务、开展业务活动开支的交通费、住宿费、用餐费等</w:t>
      </w:r>
      <w:r>
        <w:rPr>
          <w:rFonts w:ascii="仿宋_GB2312" w:eastAsia="仿宋_GB2312"/>
          <w:color w:val="000000"/>
          <w:sz w:val="32"/>
          <w:szCs w:val="32"/>
        </w:rPr>
        <w:t>)</w:t>
      </w:r>
      <w:r>
        <w:rPr>
          <w:rFonts w:hint="eastAsia" w:ascii="仿宋_GB2312" w:eastAsia="仿宋_GB2312"/>
          <w:color w:val="000000"/>
          <w:sz w:val="32"/>
          <w:szCs w:val="32"/>
        </w:rPr>
        <w:t>。国内公务接待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人次（不包括陪同人员），共计支出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643" w:firstLineChars="200"/>
        <w:rPr>
          <w:rFonts w:ascii="仿宋_GB2312" w:eastAsia="仿宋_GB2312"/>
          <w:color w:val="000000"/>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万元，外事接待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640"/>
        <w:outlineLvl w:val="1"/>
        <w:rPr>
          <w:rStyle w:val="26"/>
          <w:rFonts w:ascii="黑体" w:hAnsi="黑体" w:eastAsia="黑体"/>
        </w:rPr>
      </w:pPr>
      <w:bookmarkStart w:id="77" w:name="_Toc15396610"/>
      <w:bookmarkStart w:id="78" w:name="_Toc15377218"/>
      <w:bookmarkStart w:id="79" w:name="_Toc79163622"/>
      <w:bookmarkStart w:id="80" w:name="_Toc849"/>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77"/>
      <w:bookmarkEnd w:id="78"/>
      <w:bookmarkEnd w:id="79"/>
      <w:bookmarkEnd w:id="80"/>
    </w:p>
    <w:p>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numPr>
          <w:ilvl w:val="0"/>
          <w:numId w:val="2"/>
        </w:numPr>
        <w:spacing w:line="600" w:lineRule="exact"/>
        <w:ind w:firstLine="640"/>
        <w:outlineLvl w:val="1"/>
        <w:rPr>
          <w:rStyle w:val="26"/>
          <w:rFonts w:ascii="黑体" w:hAnsi="黑体" w:eastAsia="黑体"/>
          <w:b w:val="0"/>
        </w:rPr>
      </w:pPr>
      <w:bookmarkStart w:id="81" w:name="_Toc15377219"/>
      <w:bookmarkStart w:id="82" w:name="_Toc15396611"/>
      <w:bookmarkStart w:id="83" w:name="_Toc79163623"/>
      <w:bookmarkStart w:id="84" w:name="_Toc14044"/>
      <w:r>
        <w:rPr>
          <w:rStyle w:val="26"/>
          <w:rFonts w:hint="eastAsia" w:ascii="黑体" w:hAnsi="黑体" w:eastAsia="黑体"/>
          <w:b w:val="0"/>
        </w:rPr>
        <w:t>国有资本经营预算支出决算情况说明</w:t>
      </w:r>
      <w:bookmarkEnd w:id="81"/>
      <w:bookmarkEnd w:id="82"/>
      <w:bookmarkEnd w:id="83"/>
      <w:bookmarkEnd w:id="84"/>
    </w:p>
    <w:p>
      <w:pPr>
        <w:spacing w:line="600" w:lineRule="exact"/>
        <w:ind w:firstLine="640"/>
        <w:rPr>
          <w:rFonts w:ascii="方正小标宋简体" w:hAnsi="方正小标宋简体" w:eastAsia="方正小标宋简体" w:cs="方正小标宋简体"/>
          <w:sz w:val="44"/>
          <w:szCs w:val="44"/>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800" w:firstLineChars="250"/>
        <w:outlineLvl w:val="1"/>
        <w:rPr>
          <w:rStyle w:val="26"/>
          <w:rFonts w:ascii="黑体" w:hAnsi="黑体" w:eastAsia="黑体"/>
        </w:rPr>
      </w:pPr>
      <w:bookmarkStart w:id="85" w:name="_Toc15377221"/>
      <w:bookmarkStart w:id="86" w:name="_Toc15396612"/>
      <w:bookmarkStart w:id="87" w:name="_Toc79163624"/>
      <w:bookmarkStart w:id="88" w:name="_Toc30600"/>
      <w:r>
        <w:rPr>
          <w:rFonts w:hint="eastAsia" w:ascii="黑体" w:hAnsi="黑体" w:eastAsia="黑体"/>
          <w:color w:val="000000"/>
          <w:sz w:val="32"/>
          <w:szCs w:val="32"/>
        </w:rPr>
        <w:t>十</w:t>
      </w:r>
      <w:r>
        <w:rPr>
          <w:rStyle w:val="26"/>
          <w:rFonts w:hint="eastAsia" w:ascii="黑体" w:hAnsi="黑体" w:eastAsia="黑体"/>
        </w:rPr>
        <w:t>、</w:t>
      </w:r>
      <w:r>
        <w:rPr>
          <w:rStyle w:val="26"/>
          <w:rFonts w:hint="eastAsia" w:ascii="黑体" w:hAnsi="黑体" w:eastAsia="黑体"/>
          <w:b w:val="0"/>
        </w:rPr>
        <w:t>其他重要事项的情况说明</w:t>
      </w:r>
      <w:bookmarkEnd w:id="85"/>
      <w:bookmarkEnd w:id="86"/>
      <w:bookmarkEnd w:id="87"/>
      <w:bookmarkEnd w:id="88"/>
    </w:p>
    <w:p>
      <w:pPr>
        <w:spacing w:line="600" w:lineRule="exact"/>
        <w:ind w:firstLine="643" w:firstLineChars="200"/>
        <w:outlineLvl w:val="2"/>
        <w:rPr>
          <w:rFonts w:ascii="仿宋" w:hAnsi="仿宋" w:eastAsia="仿宋"/>
          <w:color w:val="000000"/>
          <w:sz w:val="32"/>
          <w:szCs w:val="32"/>
        </w:rPr>
      </w:pPr>
      <w:bookmarkStart w:id="89" w:name="_Toc15377222"/>
      <w:bookmarkStart w:id="90" w:name="_Toc79163625"/>
      <w:bookmarkStart w:id="91" w:name="_Toc4043"/>
      <w:r>
        <w:rPr>
          <w:rFonts w:hint="eastAsia" w:ascii="仿宋" w:hAnsi="仿宋" w:eastAsia="仿宋"/>
          <w:b/>
          <w:color w:val="000000"/>
          <w:sz w:val="32"/>
          <w:szCs w:val="32"/>
        </w:rPr>
        <w:t>（一）机关运行经费支出情况</w:t>
      </w:r>
      <w:bookmarkEnd w:id="89"/>
      <w:bookmarkEnd w:id="90"/>
      <w:bookmarkEnd w:id="91"/>
    </w:p>
    <w:p>
      <w:pPr>
        <w:spacing w:line="600" w:lineRule="exac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341.81</w:t>
      </w:r>
      <w:r>
        <w:rPr>
          <w:rFonts w:hint="eastAsia" w:ascii="仿宋_GB2312" w:eastAsia="仿宋_GB2312"/>
          <w:color w:val="000000"/>
          <w:sz w:val="32"/>
          <w:szCs w:val="32"/>
        </w:rPr>
        <w:t>万元，比</w:t>
      </w:r>
      <w:r>
        <w:rPr>
          <w:rFonts w:hint="eastAsia" w:ascii="仿宋_GB2312" w:eastAsia="仿宋_GB2312"/>
          <w:color w:val="000000"/>
          <w:sz w:val="32"/>
          <w:szCs w:val="32"/>
          <w:lang w:val="en-US" w:eastAsia="zh-CN"/>
        </w:rPr>
        <w:t>2025年年378.77万元减少36.96</w:t>
      </w:r>
      <w:r>
        <w:rPr>
          <w:rFonts w:hint="eastAsia" w:ascii="仿宋_GB2312" w:eastAsia="仿宋_GB2312"/>
          <w:color w:val="000000"/>
          <w:sz w:val="32"/>
          <w:szCs w:val="32"/>
        </w:rPr>
        <w:t>万</w:t>
      </w:r>
      <w:r>
        <w:rPr>
          <w:rFonts w:hint="eastAsia" w:ascii="仿宋_GB2312" w:eastAsia="仿宋_GB2312"/>
          <w:color w:val="000000"/>
          <w:sz w:val="32"/>
          <w:szCs w:val="32"/>
          <w:lang w:val="en-US" w:eastAsia="zh-CN"/>
        </w:rPr>
        <w:t>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减少9.76</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厉行节约</w:t>
      </w:r>
      <w:r>
        <w:rPr>
          <w:rFonts w:hint="eastAsia" w:ascii="仿宋_GB2312" w:eastAsia="仿宋_GB2312"/>
          <w:color w:val="000000"/>
          <w:sz w:val="32"/>
          <w:szCs w:val="32"/>
          <w:lang w:eastAsia="zh-CN"/>
        </w:rPr>
        <w:t>。</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92" w:name="_Toc15377223"/>
      <w:bookmarkStart w:id="93" w:name="_Toc79163626"/>
      <w:bookmarkStart w:id="94" w:name="_Toc13210"/>
      <w:r>
        <w:rPr>
          <w:rFonts w:hint="eastAsia" w:ascii="仿宋" w:hAnsi="仿宋" w:eastAsia="仿宋"/>
          <w:b/>
          <w:color w:val="000000"/>
          <w:sz w:val="32"/>
          <w:szCs w:val="32"/>
        </w:rPr>
        <w:t>（二）政府采购支出情况</w:t>
      </w:r>
      <w:bookmarkEnd w:id="92"/>
      <w:bookmarkEnd w:id="93"/>
      <w:bookmarkEnd w:id="94"/>
    </w:p>
    <w:p>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2025年</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95" w:name="_Toc79163627"/>
      <w:bookmarkStart w:id="96" w:name="_Toc15377224"/>
      <w:bookmarkStart w:id="97" w:name="_Toc20503"/>
      <w:r>
        <w:rPr>
          <w:rFonts w:hint="eastAsia" w:ascii="仿宋" w:hAnsi="仿宋" w:eastAsia="仿宋"/>
          <w:b/>
          <w:color w:val="000000"/>
          <w:sz w:val="32"/>
          <w:szCs w:val="32"/>
        </w:rPr>
        <w:t>（三）国有资产占有使用情况</w:t>
      </w:r>
      <w:bookmarkEnd w:id="95"/>
      <w:bookmarkEnd w:id="96"/>
      <w:bookmarkEnd w:id="97"/>
    </w:p>
    <w:p>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val="en-US" w:eastAsia="zh-CN"/>
        </w:rPr>
        <w:t>2025年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themeColor="text1"/>
          <w:sz w:val="32"/>
          <w:szCs w:val="32"/>
          <w14:textFill>
            <w14:solidFill>
              <w14:schemeClr w14:val="tx1"/>
            </w14:solidFill>
          </w14:textFill>
        </w:rPr>
        <w:t>单价</w:t>
      </w:r>
      <w:r>
        <w:rPr>
          <w:rFonts w:ascii="仿宋_GB2312" w:eastAsia="仿宋_GB2312"/>
          <w:color w:val="000000" w:themeColor="text1"/>
          <w:sz w:val="32"/>
          <w:szCs w:val="32"/>
          <w14:textFill>
            <w14:solidFill>
              <w14:schemeClr w14:val="tx1"/>
            </w14:solidFill>
          </w14:textFill>
        </w:rPr>
        <w:t>50</w:t>
      </w:r>
      <w:r>
        <w:rPr>
          <w:rFonts w:hint="eastAsia" w:ascii="仿宋_GB2312" w:eastAsia="仿宋_GB2312"/>
          <w:color w:val="000000" w:themeColor="text1"/>
          <w:sz w:val="32"/>
          <w:szCs w:val="32"/>
          <w14:textFill>
            <w14:solidFill>
              <w14:schemeClr w14:val="tx1"/>
            </w14:solidFill>
          </w14:textFill>
        </w:rPr>
        <w:t>万元以上通用设备</w:t>
      </w:r>
      <w:r>
        <w:rPr>
          <w:rFonts w:hint="eastAsia" w:ascii="仿宋_GB2312" w:eastAsia="仿宋_GB2312"/>
          <w:color w:val="000000" w:themeColor="text1"/>
          <w:sz w:val="32"/>
          <w:szCs w:val="32"/>
          <w:lang w:val="en-US" w:eastAsia="zh-CN"/>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台（套），单价</w:t>
      </w:r>
      <w:r>
        <w:rPr>
          <w:rFonts w:ascii="仿宋_GB2312" w:eastAsia="仿宋_GB2312"/>
          <w:color w:val="000000" w:themeColor="text1"/>
          <w:sz w:val="32"/>
          <w:szCs w:val="32"/>
          <w14:textFill>
            <w14:solidFill>
              <w14:schemeClr w14:val="tx1"/>
            </w14:solidFill>
          </w14:textFill>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台（套）。</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98" w:name="_Toc79163628"/>
      <w:bookmarkStart w:id="99" w:name="_Toc19337"/>
      <w:bookmarkStart w:id="100" w:name="_Toc14804"/>
      <w:bookmarkStart w:id="101" w:name="_Toc79163630"/>
      <w:bookmarkStart w:id="102" w:name="_Toc15396614"/>
      <w:bookmarkStart w:id="103" w:name="_Toc15377226"/>
      <w:r>
        <w:rPr>
          <w:rFonts w:hint="eastAsia" w:ascii="仿宋" w:hAnsi="仿宋" w:eastAsia="仿宋"/>
          <w:b/>
          <w:color w:val="000000"/>
          <w:sz w:val="32"/>
          <w:szCs w:val="32"/>
        </w:rPr>
        <w:t>（四）预算绩效管理情况。</w:t>
      </w:r>
      <w:bookmarkEnd w:id="98"/>
      <w:bookmarkEnd w:id="99"/>
      <w:bookmarkEnd w:id="100"/>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bookmarkStart w:id="104" w:name="_Toc13718"/>
      <w:bookmarkStart w:id="105" w:name="_Toc15377225"/>
      <w:bookmarkStart w:id="106" w:name="_Toc15396613"/>
      <w:bookmarkStart w:id="107" w:name="_Toc79163629"/>
      <w:r>
        <w:rPr>
          <w:rFonts w:hint="eastAsia" w:ascii="仿宋_GB2312" w:hAnsi="仿宋_GB2312" w:eastAsia="仿宋_GB2312" w:cs="仿宋_GB2312"/>
          <w:sz w:val="32"/>
          <w:szCs w:val="32"/>
          <w:highlight w:val="none"/>
        </w:rPr>
        <w:t>本部门无专项预算项目，因此未组织开展项目支出绩效评价</w:t>
      </w:r>
      <w:r>
        <w:rPr>
          <w:rFonts w:hint="eastAsia" w:ascii="仿宋_GB2312" w:hAnsi="仿宋_GB2312" w:eastAsia="仿宋_GB2312" w:cs="仿宋_GB2312"/>
          <w:sz w:val="32"/>
          <w:szCs w:val="32"/>
          <w:highlight w:val="none"/>
          <w:lang w:eastAsia="zh-CN"/>
        </w:rPr>
        <w:t>。</w:t>
      </w: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highlight w:val="none"/>
          <w:lang w:eastAsia="zh-CN"/>
        </w:rPr>
      </w:pPr>
    </w:p>
    <w:p>
      <w:pPr>
        <w:keepNext w:val="0"/>
        <w:keepLines w:val="0"/>
        <w:pageBreakBefore w:val="0"/>
        <w:numPr>
          <w:ilvl w:val="0"/>
          <w:numId w:val="3"/>
        </w:numPr>
        <w:kinsoku/>
        <w:wordWrap/>
        <w:overflowPunct/>
        <w:topLinePunct w:val="0"/>
        <w:bidi w:val="0"/>
        <w:snapToGrid/>
        <w:spacing w:line="560" w:lineRule="exact"/>
        <w:ind w:firstLine="660" w:firstLineChars="150"/>
        <w:jc w:val="center"/>
        <w:textAlignment w:val="auto"/>
        <w:outlineLvl w:val="0"/>
        <w:rPr>
          <w:rStyle w:val="25"/>
          <w:rFonts w:ascii="黑体" w:hAnsi="黑体" w:eastAsia="黑体"/>
          <w:b w:val="0"/>
        </w:rPr>
      </w:pPr>
      <w:bookmarkStart w:id="108" w:name="_Toc31278"/>
      <w:r>
        <w:rPr>
          <w:rFonts w:hint="eastAsia" w:ascii="黑体" w:hAnsi="黑体" w:eastAsia="黑体"/>
          <w:color w:val="000000"/>
          <w:sz w:val="44"/>
          <w:szCs w:val="44"/>
        </w:rPr>
        <w:t>名</w:t>
      </w:r>
      <w:r>
        <w:rPr>
          <w:rStyle w:val="25"/>
          <w:rFonts w:hint="eastAsia" w:ascii="黑体" w:hAnsi="黑体" w:eastAsia="黑体"/>
          <w:b w:val="0"/>
        </w:rPr>
        <w:t>词解释</w:t>
      </w:r>
      <w:bookmarkEnd w:id="104"/>
      <w:bookmarkEnd w:id="105"/>
      <w:bookmarkEnd w:id="106"/>
      <w:bookmarkEnd w:id="107"/>
      <w:bookmarkEnd w:id="108"/>
    </w:p>
    <w:p>
      <w:pPr>
        <w:keepNext w:val="0"/>
        <w:keepLines w:val="0"/>
        <w:pageBreakBefore w:val="0"/>
        <w:kinsoku/>
        <w:wordWrap/>
        <w:overflowPunct/>
        <w:topLinePunct w:val="0"/>
        <w:bidi w:val="0"/>
        <w:snapToGrid/>
        <w:spacing w:line="560" w:lineRule="exact"/>
        <w:jc w:val="left"/>
        <w:textAlignment w:val="auto"/>
        <w:rPr>
          <w:rFonts w:ascii="宋体"/>
          <w:b/>
          <w:color w:val="000000"/>
          <w:sz w:val="44"/>
          <w:szCs w:val="44"/>
        </w:rPr>
      </w:pP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60" w:lineRule="exact"/>
        <w:ind w:left="0" w:right="0" w:firstLine="640"/>
        <w:textAlignment w:val="auto"/>
        <w:rPr>
          <w:rFonts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2"/>
          <w:szCs w:val="32"/>
          <w:shd w:val="clear" w:fill="FFFFFF"/>
        </w:rPr>
        <w:t>1.财政拨款收入：指单位从同级财政部门取得的财政预算资金。</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60" w:lineRule="exact"/>
        <w:ind w:left="0" w:right="0" w:firstLine="640"/>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2.事业收入：指事业单位开展专业业务活动及辅助活动取得的收入。</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60" w:lineRule="exact"/>
        <w:ind w:left="0" w:right="0" w:firstLine="640"/>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2"/>
          <w:szCs w:val="32"/>
          <w:shd w:val="clear" w:fill="FFFFFF"/>
        </w:rPr>
        <w:t>3.经营收入：指事业单位在专业业务活动及其辅助活动之外开展非独立核算经营活动取得的收入</w:t>
      </w:r>
    </w:p>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60" w:lineRule="exact"/>
        <w:ind w:left="0" w:right="0" w:firstLine="640"/>
        <w:textAlignment w:val="auto"/>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32"/>
          <w:szCs w:val="32"/>
          <w:shd w:val="clear" w:fill="FFFFFF"/>
        </w:rPr>
        <w:t>4.其他收入：指单位取得的除上述收入以外的各项收入。</w:t>
      </w:r>
    </w:p>
    <w:p>
      <w:pPr>
        <w:pStyle w:val="35"/>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35"/>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35"/>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35"/>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9.一般公共服务支出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lang w:eastAsia="zh-CN"/>
        </w:rPr>
        <w:t>）</w:t>
      </w:r>
      <w:r>
        <w:rPr>
          <w:rFonts w:hint="eastAsia" w:ascii="仿宋_GB2312" w:eastAsia="仿宋_GB2312"/>
          <w:color w:val="000000"/>
          <w:sz w:val="32"/>
          <w:szCs w:val="32"/>
        </w:rPr>
        <w:t>：反映政府提供一般公共服务的支出。政府办公厅（室）及相关机构事务（20103）：指反映各级政府办公厅（室）及相关机构的支出。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行政运行（2010301）：指反映行政单位（包括实行公务员管理的事业单位）的基本支出。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其他政府办公厅（室）及相关机构事务支出（2010399）：指反映除上述项目以外的其他政府办公厅（室）及相关机构事务支出。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社会保障和就业支出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208</w:t>
      </w:r>
      <w:r>
        <w:rPr>
          <w:rFonts w:hint="eastAsia" w:ascii="仿宋_GB2312" w:eastAsia="仿宋_GB2312"/>
          <w:color w:val="000000"/>
          <w:sz w:val="32"/>
          <w:szCs w:val="32"/>
          <w:lang w:eastAsia="zh-CN"/>
        </w:rPr>
        <w:t>）</w:t>
      </w:r>
      <w:r>
        <w:rPr>
          <w:rFonts w:hint="eastAsia" w:ascii="仿宋_GB2312" w:eastAsia="仿宋_GB2312"/>
          <w:color w:val="000000"/>
          <w:sz w:val="32"/>
          <w:szCs w:val="32"/>
        </w:rPr>
        <w:t>：反映政府在社会保障与就业方面的支出。行政事业单位离退休（20805）：指反映用于行政事业单位离退休方面的支出。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机关事业单位基本养老保险缴费支出（2080505）：指反映机关事业单位实施养老保险制度由单位缴纳的基本养老保险支出。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机关事业单位职业年金缴费支出（2080506）：指反映机关事业单位实施养老保险制度由单位缴纳的职业年金支出。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w:t>
      </w:r>
      <w:r>
        <w:rPr>
          <w:rFonts w:hint="eastAsia" w:ascii="仿宋_GB2312" w:eastAsia="仿宋_GB2312"/>
          <w:color w:val="000000"/>
          <w:sz w:val="32"/>
          <w:szCs w:val="32"/>
          <w:lang w:eastAsia="zh-CN"/>
        </w:rPr>
        <w:t>卫生健康支出（</w:t>
      </w:r>
      <w:r>
        <w:rPr>
          <w:rFonts w:hint="eastAsia" w:ascii="仿宋_GB2312" w:eastAsia="仿宋_GB2312"/>
          <w:color w:val="000000"/>
          <w:sz w:val="32"/>
          <w:szCs w:val="32"/>
          <w:lang w:val="en-US" w:eastAsia="zh-CN"/>
        </w:rPr>
        <w:t>210</w:t>
      </w:r>
      <w:r>
        <w:rPr>
          <w:rFonts w:hint="eastAsia" w:ascii="仿宋_GB2312" w:eastAsia="仿宋_GB2312"/>
          <w:color w:val="000000"/>
          <w:sz w:val="32"/>
          <w:szCs w:val="32"/>
          <w:lang w:eastAsia="zh-CN"/>
        </w:rPr>
        <w:t>）</w:t>
      </w:r>
      <w:r>
        <w:rPr>
          <w:rFonts w:hint="eastAsia" w:ascii="仿宋_GB2312" w:eastAsia="仿宋_GB2312"/>
          <w:color w:val="000000"/>
          <w:sz w:val="32"/>
          <w:szCs w:val="32"/>
        </w:rPr>
        <w:t>：反映政府卫生健康方面的支出。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行政事业单位医疗（21011）：指反映行政事业单位医疗方面的支出。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行政单位医疗（2101101）：指反映财政部门安排的行政单位（包括实行公务员管理的事业单位，下同）基本医疗保险缴费经费，未参加医疗保险的行政单位的公费医疗经费，按国家规定享受离休人员、红军老战士待遇人员的医疗经费。</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公务员医疗补助（2101103）：反映财政部门安排的公务员医疗补助经费。</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.住房保障支出：指反映行政事业单位用财政拨款资金和其他资金等安排住房改革支出。</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住房公积金（2210201）：指反映行政事业单位按人力资源和社会保障部、财政部规定的基本工资和津贴补贴以及规定比例为职工缴纳的住房公积金。</w:t>
      </w:r>
    </w:p>
    <w:p>
      <w:pPr>
        <w:keepNext w:val="0"/>
        <w:keepLines w:val="0"/>
        <w:pageBreakBefore w:val="0"/>
        <w:kinsoku/>
        <w:wordWrap/>
        <w:overflowPunct/>
        <w:topLinePunct w:val="0"/>
        <w:bidi w:val="0"/>
        <w:snapToGrid/>
        <w:spacing w:line="560" w:lineRule="exact"/>
        <w:ind w:firstLine="640"/>
        <w:textAlignment w:val="auto"/>
        <w:rPr>
          <w:rFonts w:ascii="仿宋" w:hAnsi="仿宋" w:eastAsia="仿宋"/>
          <w:b/>
          <w:color w:val="000000"/>
          <w:sz w:val="32"/>
          <w:szCs w:val="32"/>
        </w:rPr>
      </w:pPr>
      <w:r>
        <w:rPr>
          <w:rFonts w:hint="eastAsia" w:ascii="仿宋" w:hAnsi="仿宋" w:eastAsia="仿宋"/>
          <w:b/>
          <w:color w:val="000000"/>
          <w:sz w:val="32"/>
          <w:szCs w:val="32"/>
        </w:rPr>
        <w:t>（解释本部门决算报表中全部功能分类科目至项级，请参照《</w:t>
      </w:r>
      <w:r>
        <w:rPr>
          <w:rFonts w:ascii="仿宋" w:hAnsi="仿宋" w:eastAsia="仿宋"/>
          <w:b/>
          <w:color w:val="000000"/>
          <w:sz w:val="32"/>
          <w:szCs w:val="32"/>
        </w:rPr>
        <w:t>2020</w:t>
      </w:r>
      <w:r>
        <w:rPr>
          <w:rFonts w:hint="eastAsia" w:ascii="仿宋" w:hAnsi="仿宋" w:eastAsia="仿宋"/>
          <w:b/>
          <w:color w:val="000000"/>
          <w:sz w:val="32"/>
          <w:szCs w:val="32"/>
        </w:rPr>
        <w:t>年政府收支分类科目》增减内容。）</w:t>
      </w:r>
    </w:p>
    <w:p>
      <w:pPr>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pPr>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15</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35"/>
        <w:keepNext w:val="0"/>
        <w:keepLines w:val="0"/>
        <w:pageBreakBefore w:val="0"/>
        <w:kinsoku/>
        <w:wordWrap/>
        <w:overflowPunct/>
        <w:topLinePunct w:val="0"/>
        <w:bidi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16</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5"/>
        <w:keepNext w:val="0"/>
        <w:keepLines w:val="0"/>
        <w:pageBreakBefore w:val="0"/>
        <w:kinsoku/>
        <w:wordWrap/>
        <w:overflowPunct/>
        <w:topLinePunct w:val="0"/>
        <w:bidi w:val="0"/>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17</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5"/>
        <w:spacing w:line="560" w:lineRule="exact"/>
        <w:ind w:firstLine="640" w:firstLineChars="200"/>
        <w:rPr>
          <w:rFonts w:hint="eastAsia" w:ascii="仿宋_GB2312" w:eastAsia="仿宋_GB2312"/>
          <w:sz w:val="32"/>
          <w:szCs w:val="32"/>
        </w:rPr>
      </w:pPr>
    </w:p>
    <w:bookmarkEnd w:id="101"/>
    <w:bookmarkEnd w:id="102"/>
    <w:bookmarkEnd w:id="103"/>
    <w:p>
      <w:pPr>
        <w:spacing w:line="600" w:lineRule="exact"/>
        <w:jc w:val="center"/>
        <w:outlineLvl w:val="0"/>
        <w:rPr>
          <w:rStyle w:val="25"/>
          <w:rFonts w:ascii="黑体" w:hAnsi="黑体" w:eastAsia="黑体"/>
          <w:b w:val="0"/>
        </w:rPr>
      </w:pPr>
      <w:bookmarkStart w:id="109" w:name="_Toc20190"/>
      <w:bookmarkStart w:id="110" w:name="_Toc7835"/>
      <w:bookmarkStart w:id="111" w:name="_Toc79163635"/>
      <w:bookmarkStart w:id="112" w:name="_Toc15396618"/>
      <w:r>
        <w:rPr>
          <w:rFonts w:hint="eastAsia" w:ascii="黑体" w:hAnsi="黑体" w:eastAsia="黑体"/>
          <w:color w:val="000000"/>
          <w:sz w:val="44"/>
          <w:szCs w:val="44"/>
        </w:rPr>
        <w:t>第</w:t>
      </w:r>
      <w:r>
        <w:rPr>
          <w:rStyle w:val="25"/>
          <w:rFonts w:hint="eastAsia" w:ascii="黑体" w:hAnsi="黑体" w:eastAsia="黑体"/>
          <w:b w:val="0"/>
        </w:rPr>
        <w:t>四部分</w:t>
      </w:r>
      <w:r>
        <w:rPr>
          <w:rStyle w:val="25"/>
          <w:rFonts w:ascii="黑体" w:hAnsi="黑体" w:eastAsia="黑体"/>
          <w:b w:val="0"/>
        </w:rPr>
        <w:t xml:space="preserve"> </w:t>
      </w:r>
      <w:r>
        <w:rPr>
          <w:rStyle w:val="25"/>
          <w:rFonts w:hint="eastAsia" w:ascii="黑体" w:hAnsi="黑体" w:eastAsia="黑体"/>
          <w:b w:val="0"/>
        </w:rPr>
        <w:t>附件</w:t>
      </w:r>
      <w:bookmarkEnd w:id="109"/>
    </w:p>
    <w:p>
      <w:pPr>
        <w:spacing w:line="600" w:lineRule="exact"/>
        <w:jc w:val="left"/>
        <w:outlineLvl w:val="0"/>
        <w:rPr>
          <w:rFonts w:ascii="方正小标宋简体" w:hAnsi="方正小标宋简体" w:eastAsia="方正小标宋简体" w:cs="方正小标宋简体"/>
          <w:sz w:val="32"/>
          <w:szCs w:val="32"/>
        </w:rPr>
      </w:pPr>
      <w:bookmarkStart w:id="113" w:name="_Toc9284"/>
      <w:bookmarkStart w:id="114" w:name="_Toc79163631"/>
      <w:r>
        <w:rPr>
          <w:rFonts w:hint="eastAsia" w:ascii="黑体" w:hAnsi="黑体" w:eastAsia="黑体" w:cs="黑体"/>
          <w:sz w:val="32"/>
          <w:szCs w:val="32"/>
        </w:rPr>
        <w:t>附件</w:t>
      </w:r>
      <w:r>
        <w:rPr>
          <w:rFonts w:ascii="黑体" w:hAnsi="黑体" w:eastAsia="黑体" w:cs="黑体"/>
          <w:sz w:val="32"/>
          <w:szCs w:val="32"/>
        </w:rPr>
        <w:t>1</w:t>
      </w:r>
      <w:bookmarkEnd w:id="113"/>
      <w:bookmarkEnd w:id="114"/>
    </w:p>
    <w:p>
      <w:pPr>
        <w:spacing w:line="580" w:lineRule="exact"/>
        <w:jc w:val="center"/>
        <w:rPr>
          <w:rFonts w:ascii="方正小标宋简体" w:hAnsi="方正小标宋简体" w:eastAsia="方正小标宋简体" w:cs="方正小标宋简体"/>
          <w:sz w:val="44"/>
          <w:szCs w:val="44"/>
        </w:rPr>
      </w:pPr>
    </w:p>
    <w:p>
      <w:pPr>
        <w:spacing w:line="600" w:lineRule="exact"/>
        <w:jc w:val="center"/>
        <w:outlineLvl w:val="0"/>
        <w:rPr>
          <w:rFonts w:ascii="方正小标宋简体" w:hAnsi="黑体" w:eastAsia="方正小标宋简体" w:cs="黑体"/>
          <w:sz w:val="44"/>
          <w:szCs w:val="44"/>
        </w:rPr>
      </w:pPr>
      <w:bookmarkStart w:id="115" w:name="_Toc79163632"/>
      <w:bookmarkStart w:id="116" w:name="_Toc11164"/>
      <w:r>
        <w:rPr>
          <w:rFonts w:hint="eastAsia" w:ascii="方正小标宋简体" w:hAnsi="黑体" w:eastAsia="方正小标宋简体" w:cs="黑体"/>
          <w:sz w:val="44"/>
          <w:szCs w:val="44"/>
          <w:lang w:eastAsia="zh-CN"/>
        </w:rPr>
        <w:t>小金县人民政府办公室2025年</w:t>
      </w:r>
      <w:r>
        <w:rPr>
          <w:rFonts w:hint="eastAsia" w:ascii="方正小标宋简体" w:hAnsi="黑体" w:eastAsia="方正小标宋简体" w:cs="黑体"/>
          <w:sz w:val="44"/>
          <w:szCs w:val="44"/>
        </w:rPr>
        <w:t>部门</w:t>
      </w:r>
      <w:r>
        <w:rPr>
          <w:rFonts w:hint="eastAsia" w:ascii="方正小标宋简体" w:hAnsi="黑体" w:eastAsia="方正小标宋简体" w:cs="黑体"/>
          <w:sz w:val="44"/>
          <w:szCs w:val="44"/>
          <w:lang w:val="en-US" w:eastAsia="zh-CN"/>
        </w:rPr>
        <w:t>预算</w:t>
      </w:r>
      <w:r>
        <w:rPr>
          <w:rFonts w:hint="eastAsia" w:ascii="方正小标宋简体" w:hAnsi="黑体" w:eastAsia="方正小标宋简体" w:cs="黑体"/>
          <w:sz w:val="44"/>
          <w:szCs w:val="44"/>
        </w:rPr>
        <w:t>绩效评价报告</w:t>
      </w:r>
      <w:bookmarkEnd w:id="115"/>
      <w:bookmarkEnd w:id="116"/>
    </w:p>
    <w:p>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pPr>
        <w:widowControl/>
        <w:adjustRightInd w:val="0"/>
        <w:snapToGrid w:val="0"/>
        <w:spacing w:line="520" w:lineRule="exact"/>
        <w:ind w:firstLine="640" w:firstLineChars="200"/>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eastAsia="仿宋_GB2312"/>
          <w:sz w:val="32"/>
          <w:szCs w:val="32"/>
        </w:rPr>
        <w:t>小金县人民政府办公室属独立法人机构，行政单位，内设综合一股、综合二股、机关党建股、目标绩效管理股、机要股、政务信息股、干部人事股、机关事务管理股、公务用车管理股。</w:t>
      </w:r>
    </w:p>
    <w:p>
      <w:pPr>
        <w:widowControl/>
        <w:numPr>
          <w:ilvl w:val="0"/>
          <w:numId w:val="4"/>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机构职能。</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HYPERLINK "http://www.baidu.com/s?wd=%E5%8E%BF%E6%94%BF%E5%BA%9C%E5%8A%9E%E5%85%AC%E5%AE%A4&amp;hl_tag=textlink&amp;tn=SE_hldp01350_v6v6zkg6" \t "_blank" </w:instrText>
      </w:r>
      <w:r>
        <w:rPr>
          <w:rFonts w:hint="eastAsia" w:ascii="仿宋_GB2312" w:hAnsi="宋体" w:eastAsia="仿宋_GB2312"/>
          <w:color w:val="000000"/>
          <w:sz w:val="32"/>
          <w:szCs w:val="32"/>
        </w:rPr>
        <w:fldChar w:fldCharType="separate"/>
      </w:r>
      <w:r>
        <w:rPr>
          <w:rStyle w:val="24"/>
          <w:rFonts w:hint="eastAsia" w:ascii="仿宋_GB2312" w:hAnsi="宋体" w:eastAsia="仿宋_GB2312"/>
          <w:color w:val="000000"/>
          <w:sz w:val="32"/>
          <w:szCs w:val="32"/>
        </w:rPr>
        <w:t>县政府办公室</w: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是县政府综合管理全县经济建设和社会发展事业，主管县政府日常政务工作，实施行政指挥和监督，参与对国民经济进行</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HYPERLINK "http://www.baidu.com/s?wd=%E5%AE%8F%E8%A7%82%E8%B0%83%E6%8E%A7&amp;hl_tag=textlink&amp;tn=SE_hldp01350_v6v6zkg6" \t "_blank" </w:instrText>
      </w:r>
      <w:r>
        <w:rPr>
          <w:rFonts w:hint="eastAsia" w:ascii="仿宋_GB2312" w:hAnsi="宋体" w:eastAsia="仿宋_GB2312"/>
          <w:color w:val="000000"/>
          <w:sz w:val="32"/>
          <w:szCs w:val="32"/>
        </w:rPr>
        <w:fldChar w:fldCharType="separate"/>
      </w:r>
      <w:r>
        <w:rPr>
          <w:rStyle w:val="24"/>
          <w:rFonts w:hint="eastAsia" w:ascii="仿宋_GB2312" w:hAnsi="宋体" w:eastAsia="仿宋_GB2312"/>
          <w:color w:val="000000"/>
          <w:sz w:val="32"/>
          <w:szCs w:val="32"/>
        </w:rPr>
        <w:t>宏观调控</w: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rPr>
        <w:t>的</w:t>
      </w: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HYPERLINK "http://www.baidu.com/s?wd=%E8%81%8C%E8%83%BD%E9%83%A8%E9%97%A8&amp;hl_tag=textlink&amp;tn=SE_hldp01350_v6v6zkg6" \t "_blank" </w:instrText>
      </w:r>
      <w:r>
        <w:rPr>
          <w:rFonts w:hint="eastAsia" w:ascii="仿宋_GB2312" w:hAnsi="宋体" w:eastAsia="仿宋_GB2312"/>
          <w:color w:val="000000"/>
          <w:sz w:val="32"/>
          <w:szCs w:val="32"/>
        </w:rPr>
        <w:fldChar w:fldCharType="separate"/>
      </w:r>
      <w:r>
        <w:rPr>
          <w:rStyle w:val="24"/>
          <w:rFonts w:hint="eastAsia" w:ascii="仿宋_GB2312" w:hAnsi="宋体" w:eastAsia="仿宋_GB2312"/>
          <w:color w:val="000000"/>
          <w:sz w:val="32"/>
          <w:szCs w:val="32"/>
        </w:rPr>
        <w:t>职能部门</w:t>
      </w:r>
      <w:r>
        <w:rPr>
          <w:rFonts w:hint="eastAsia" w:ascii="仿宋_GB2312" w:hAnsi="宋体" w:eastAsia="仿宋_GB2312"/>
          <w:color w:val="000000"/>
          <w:sz w:val="32"/>
          <w:szCs w:val="32"/>
        </w:rPr>
        <w:fldChar w:fldCharType="end"/>
      </w:r>
      <w:r>
        <w:rPr>
          <w:rFonts w:hint="eastAsia" w:ascii="仿宋_GB2312" w:hAnsi="宋体" w:eastAsia="仿宋_GB2312"/>
          <w:color w:val="000000"/>
          <w:sz w:val="32"/>
          <w:szCs w:val="32"/>
          <w:lang w:eastAsia="zh-CN"/>
        </w:rPr>
        <w:t>。</w:t>
      </w:r>
    </w:p>
    <w:p>
      <w:pPr>
        <w:widowControl/>
        <w:numPr>
          <w:ilvl w:val="0"/>
          <w:numId w:val="4"/>
        </w:numPr>
        <w:adjustRightInd w:val="0"/>
        <w:snapToGrid w:val="0"/>
        <w:spacing w:line="580" w:lineRule="exact"/>
        <w:ind w:left="0" w:leftChars="0"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人员概况。</w:t>
      </w:r>
    </w:p>
    <w:p>
      <w:pPr>
        <w:pStyle w:val="19"/>
        <w:spacing w:line="360" w:lineRule="atLeas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（1）编制情况：行政人员</w:t>
      </w:r>
      <w:r>
        <w:rPr>
          <w:rFonts w:hint="eastAsia" w:ascii="仿宋_GB2312" w:hAnsi="宋体" w:eastAsia="仿宋_GB2312"/>
          <w:sz w:val="32"/>
          <w:szCs w:val="32"/>
          <w:highlight w:val="none"/>
          <w:lang w:val="en-US" w:eastAsia="zh-CN"/>
        </w:rPr>
        <w:t>29</w:t>
      </w:r>
      <w:r>
        <w:rPr>
          <w:rFonts w:hint="eastAsia" w:ascii="仿宋_GB2312" w:hAnsi="宋体" w:eastAsia="仿宋_GB2312"/>
          <w:sz w:val="32"/>
          <w:szCs w:val="32"/>
          <w:highlight w:val="none"/>
        </w:rPr>
        <w:t>人、行政工勤8人、事业人员</w:t>
      </w:r>
      <w:r>
        <w:rPr>
          <w:rFonts w:hint="eastAsia" w:ascii="仿宋_GB2312" w:hAnsi="宋体" w:eastAsia="仿宋_GB2312"/>
          <w:sz w:val="32"/>
          <w:szCs w:val="32"/>
          <w:highlight w:val="none"/>
          <w:lang w:val="en-US" w:eastAsia="zh-CN"/>
        </w:rPr>
        <w:t>7</w:t>
      </w:r>
      <w:r>
        <w:rPr>
          <w:rFonts w:hint="eastAsia" w:ascii="仿宋_GB2312" w:hAnsi="宋体" w:eastAsia="仿宋_GB2312"/>
          <w:sz w:val="32"/>
          <w:szCs w:val="32"/>
          <w:highlight w:val="none"/>
        </w:rPr>
        <w:t>人、合计44人。</w:t>
      </w:r>
    </w:p>
    <w:p>
      <w:pPr>
        <w:widowControl/>
        <w:numPr>
          <w:ilvl w:val="0"/>
          <w:numId w:val="0"/>
        </w:numPr>
        <w:adjustRightInd w:val="0"/>
        <w:snapToGrid w:val="0"/>
        <w:spacing w:line="580" w:lineRule="exact"/>
        <w:ind w:leftChars="200" w:firstLine="320" w:firstLineChars="100"/>
        <w:contextualSpacing/>
        <w:jc w:val="left"/>
        <w:rPr>
          <w:rFonts w:hint="eastAsia" w:ascii="仿宋_GB2312" w:hAnsi="宋体" w:eastAsia="仿宋_GB2312" w:cs="宋体"/>
          <w:color w:val="000000"/>
          <w:kern w:val="0"/>
          <w:sz w:val="32"/>
          <w:szCs w:val="32"/>
          <w:highlight w:val="none"/>
          <w:shd w:val="clear" w:color="auto" w:fill="FFFFFF"/>
          <w:lang w:val="en-US" w:eastAsia="zh-CN"/>
        </w:rPr>
      </w:pPr>
      <w:r>
        <w:rPr>
          <w:rFonts w:hint="eastAsia" w:ascii="仿宋_GB2312" w:hAnsi="宋体" w:eastAsia="仿宋_GB2312"/>
          <w:sz w:val="32"/>
          <w:szCs w:val="32"/>
          <w:highlight w:val="none"/>
        </w:rPr>
        <w:t>（2）实际人员情况：行政人员</w:t>
      </w:r>
      <w:r>
        <w:rPr>
          <w:rFonts w:hint="eastAsia" w:ascii="仿宋_GB2312" w:hAnsi="宋体" w:eastAsia="仿宋_GB2312"/>
          <w:sz w:val="32"/>
          <w:szCs w:val="32"/>
          <w:highlight w:val="none"/>
          <w:lang w:val="en-US" w:eastAsia="zh-CN"/>
        </w:rPr>
        <w:t>25</w:t>
      </w:r>
      <w:r>
        <w:rPr>
          <w:rFonts w:hint="eastAsia" w:ascii="仿宋_GB2312" w:hAnsi="宋体" w:eastAsia="仿宋_GB2312"/>
          <w:sz w:val="32"/>
          <w:szCs w:val="32"/>
          <w:highlight w:val="none"/>
        </w:rPr>
        <w:t>人、行政工勤1</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人、事业人员</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人、合计</w:t>
      </w:r>
      <w:r>
        <w:rPr>
          <w:rFonts w:hint="eastAsia" w:ascii="仿宋_GB2312" w:hAnsi="宋体" w:eastAsia="仿宋_GB2312"/>
          <w:sz w:val="32"/>
          <w:szCs w:val="32"/>
          <w:highlight w:val="none"/>
          <w:lang w:val="en-US" w:eastAsia="zh-CN"/>
        </w:rPr>
        <w:t>41</w:t>
      </w:r>
      <w:r>
        <w:rPr>
          <w:rFonts w:hint="eastAsia" w:ascii="仿宋_GB2312" w:hAnsi="宋体" w:eastAsia="仿宋_GB2312"/>
          <w:sz w:val="32"/>
          <w:szCs w:val="32"/>
          <w:highlight w:val="none"/>
        </w:rPr>
        <w:t>人</w:t>
      </w:r>
      <w:r>
        <w:rPr>
          <w:rFonts w:hint="eastAsia" w:ascii="仿宋_GB2312" w:hAnsi="宋体" w:eastAsia="仿宋_GB2312"/>
          <w:sz w:val="32"/>
          <w:szCs w:val="32"/>
          <w:highlight w:val="none"/>
          <w:lang w:eastAsia="zh-CN"/>
        </w:rPr>
        <w:t>。</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highlight w:val="none"/>
          <w:shd w:val="clear" w:color="auto" w:fill="FFFFFF"/>
        </w:rPr>
      </w:pPr>
      <w:r>
        <w:rPr>
          <w:rFonts w:hint="eastAsia" w:ascii="黑体" w:hAnsi="宋体" w:eastAsia="黑体" w:cs="宋体"/>
          <w:color w:val="000000"/>
          <w:kern w:val="0"/>
          <w:sz w:val="32"/>
          <w:szCs w:val="32"/>
          <w:highlight w:val="none"/>
          <w:shd w:val="clear" w:color="auto" w:fill="FFFFFF"/>
        </w:rPr>
        <w:t>二、部门财政资金收支情况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2025年财政资金决算收入总额为2046.91万元，当年财政拨款收入2046.91万元（一般公共服务收入1773.35万元，社会保障和就业收入136.57万元，卫生健康收入58.51万元，保障住房收入77.98万元，）；其他收入0万元；年初结转和结余0.5万元。</w:t>
      </w:r>
    </w:p>
    <w:p>
      <w:pPr>
        <w:widowControl/>
        <w:numPr>
          <w:ilvl w:val="0"/>
          <w:numId w:val="5"/>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部门财政资金支出情况。</w:t>
      </w:r>
    </w:p>
    <w:p>
      <w:pPr>
        <w:widowControl/>
        <w:adjustRightInd w:val="0"/>
        <w:snapToGrid w:val="0"/>
        <w:spacing w:line="580" w:lineRule="exact"/>
        <w:ind w:firstLine="640" w:firstLineChars="200"/>
        <w:contextualSpacing/>
        <w:jc w:val="left"/>
        <w:rPr>
          <w:rFonts w:hint="default"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2025年财政资金支出总额</w:t>
      </w:r>
      <w:r>
        <w:rPr>
          <w:rFonts w:hint="eastAsia" w:ascii="仿宋" w:hAnsi="仿宋" w:eastAsia="仿宋"/>
          <w:color w:val="000000"/>
          <w:sz w:val="32"/>
          <w:szCs w:val="32"/>
          <w:lang w:val="en-US" w:eastAsia="zh-CN"/>
        </w:rPr>
        <w:t>2046.91</w:t>
      </w:r>
      <w:r>
        <w:rPr>
          <w:rFonts w:hint="eastAsia" w:ascii="仿宋_GB2312" w:hAnsi="宋体" w:eastAsia="仿宋_GB2312" w:cs="宋体"/>
          <w:color w:val="000000"/>
          <w:kern w:val="0"/>
          <w:sz w:val="32"/>
          <w:szCs w:val="32"/>
          <w:shd w:val="clear" w:color="auto" w:fill="FFFFFF"/>
          <w:lang w:val="en-US" w:eastAsia="zh-CN"/>
        </w:rPr>
        <w:t>万元，财政拨款支出2046.91万元（一般公共服务支出</w:t>
      </w:r>
      <w:r>
        <w:rPr>
          <w:rFonts w:hint="eastAsia" w:ascii="仿宋" w:hAnsi="仿宋" w:eastAsia="仿宋"/>
          <w:color w:val="000000"/>
          <w:sz w:val="32"/>
          <w:szCs w:val="32"/>
          <w:lang w:val="en-US" w:eastAsia="zh-CN"/>
        </w:rPr>
        <w:t>1773.35</w:t>
      </w:r>
      <w:r>
        <w:rPr>
          <w:rFonts w:hint="eastAsia" w:ascii="仿宋_GB2312" w:hAnsi="宋体" w:eastAsia="仿宋_GB2312" w:cs="宋体"/>
          <w:color w:val="000000"/>
          <w:kern w:val="0"/>
          <w:sz w:val="32"/>
          <w:szCs w:val="32"/>
          <w:shd w:val="clear" w:color="auto" w:fill="FFFFFF"/>
          <w:lang w:val="en-US" w:eastAsia="zh-CN"/>
        </w:rPr>
        <w:t>万元，社会保障和就业支出136.57万元，卫生健康支出58.51万元，保障住房支出77.98万元）其他收入0万元；年初结转和结余0.5万元。</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76" w:lineRule="atLeast"/>
        <w:ind w:left="0" w:right="0" w:firstLine="640"/>
        <w:jc w:val="both"/>
        <w:rPr>
          <w:rFonts w:hint="default" w:ascii="Times New Roman" w:hAnsi="Times New Roman" w:cs="Times New Roman"/>
          <w:b w:val="0"/>
          <w:bCs w:val="0"/>
          <w:i w:val="0"/>
          <w:iCs w:val="0"/>
          <w:caps w:val="0"/>
          <w:color w:val="333333"/>
          <w:spacing w:val="0"/>
          <w:sz w:val="21"/>
          <w:szCs w:val="21"/>
        </w:rPr>
      </w:pPr>
      <w:r>
        <w:rPr>
          <w:rFonts w:ascii="仿宋_GB2312" w:hAnsi="Times New Roman" w:eastAsia="仿宋_GB2312" w:cs="仿宋_GB2312"/>
          <w:b w:val="0"/>
          <w:bCs w:val="0"/>
          <w:i w:val="0"/>
          <w:iCs w:val="0"/>
          <w:caps w:val="0"/>
          <w:color w:val="333333"/>
          <w:spacing w:val="0"/>
          <w:kern w:val="0"/>
          <w:sz w:val="32"/>
          <w:szCs w:val="32"/>
          <w:shd w:val="clear" w:fill="FFFFFF"/>
          <w:vertAlign w:val="baseline"/>
          <w:lang w:val="en-US" w:eastAsia="zh-CN" w:bidi="ar"/>
        </w:rPr>
        <w:t>支出总额控制在预算总额以内，本年部门年初预算有关经费预算不足于保持正常运转，在总额内进行调整；我办预算内在取得财政局的年度预算批复时，随批复一同进行了下达；“三公”经费总体控制较好，未超本年预算和上年决算支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76" w:lineRule="atLeast"/>
        <w:ind w:left="0" w:right="0" w:firstLine="640"/>
        <w:jc w:val="both"/>
        <w:rPr>
          <w:rFonts w:hint="default" w:ascii="Times New Roman" w:hAnsi="Times New Roman" w:cs="Times New Roman"/>
          <w:b w:val="0"/>
          <w:bCs w:val="0"/>
          <w:i w:val="0"/>
          <w:iCs w:val="0"/>
          <w:caps w:val="0"/>
          <w:color w:val="333333"/>
          <w:spacing w:val="0"/>
          <w:sz w:val="21"/>
          <w:szCs w:val="21"/>
        </w:rPr>
      </w:pPr>
      <w:r>
        <w:rPr>
          <w:rFonts w:ascii="楷体_GB2312" w:hAnsi="Times New Roman" w:eastAsia="楷体_GB2312" w:cs="楷体_GB2312"/>
          <w:b w:val="0"/>
          <w:bCs w:val="0"/>
          <w:i w:val="0"/>
          <w:iCs w:val="0"/>
          <w:caps w:val="0"/>
          <w:color w:val="333333"/>
          <w:spacing w:val="0"/>
          <w:kern w:val="0"/>
          <w:sz w:val="32"/>
          <w:szCs w:val="32"/>
          <w:shd w:val="clear" w:fill="FFFFFF"/>
          <w:vertAlign w:val="baseline"/>
          <w:lang w:val="en-US" w:eastAsia="zh-CN" w:bidi="ar"/>
        </w:rPr>
        <w:t>（二）结果应用情况。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76" w:lineRule="atLeast"/>
        <w:ind w:left="0" w:right="0" w:firstLine="640"/>
        <w:jc w:val="both"/>
        <w:rPr>
          <w:rFonts w:hint="default" w:ascii="Times New Roman" w:hAnsi="Times New Roman" w:cs="Times New Roman"/>
          <w:b w:val="0"/>
          <w:bCs w:val="0"/>
          <w:i w:val="0"/>
          <w:iCs w:val="0"/>
          <w:caps w:val="0"/>
          <w:color w:val="333333"/>
          <w:spacing w:val="0"/>
          <w:sz w:val="21"/>
          <w:szCs w:val="21"/>
        </w:rPr>
      </w:pPr>
      <w:r>
        <w:rPr>
          <w:rFonts w:hint="eastAsia" w:ascii="仿宋_GB2312" w:hAnsi="Times New Roman" w:eastAsia="仿宋_GB2312" w:cs="仿宋_GB2312"/>
          <w:b w:val="0"/>
          <w:bCs w:val="0"/>
          <w:i w:val="0"/>
          <w:iCs w:val="0"/>
          <w:caps w:val="0"/>
          <w:color w:val="333333"/>
          <w:spacing w:val="0"/>
          <w:kern w:val="0"/>
          <w:sz w:val="32"/>
          <w:szCs w:val="32"/>
          <w:shd w:val="clear" w:fill="FFFFFF"/>
          <w:vertAlign w:val="baseline"/>
          <w:lang w:val="en-US" w:eastAsia="zh-CN" w:bidi="ar"/>
        </w:rPr>
        <w:t>包括绩效自评公开、评价结果整改和应用结果反馈等情况。</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仿宋_GB2312"/>
          <w:b w:val="0"/>
          <w:bCs w:val="0"/>
          <w:i w:val="0"/>
          <w:iCs w:val="0"/>
          <w:caps w:val="0"/>
          <w:color w:val="333333"/>
          <w:spacing w:val="0"/>
          <w:sz w:val="32"/>
          <w:szCs w:val="32"/>
          <w:shd w:val="clear" w:fill="FFFFFF"/>
          <w:lang w:eastAsia="zh-CN"/>
        </w:rPr>
        <w:t>我单位</w:t>
      </w:r>
      <w:r>
        <w:rPr>
          <w:rFonts w:ascii="仿宋_GB2312" w:hAnsi="宋体" w:eastAsia="仿宋_GB2312" w:cs="仿宋_GB2312"/>
          <w:b w:val="0"/>
          <w:bCs w:val="0"/>
          <w:i w:val="0"/>
          <w:iCs w:val="0"/>
          <w:caps w:val="0"/>
          <w:color w:val="333333"/>
          <w:spacing w:val="0"/>
          <w:sz w:val="32"/>
          <w:szCs w:val="32"/>
          <w:shd w:val="clear" w:fill="FFFFFF"/>
        </w:rPr>
        <w:t>部门预算执行情况良好，无不良记录及违规违纪行为，预算支出和决算支出情况相符。根据绩效评价工作要求，我们对自评工作实施方案进行了认真的研究和部署，是自评工作得以顺利开展，并取得了较好的效果。</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sz w:val="32"/>
          <w:szCs w:val="32"/>
          <w:lang w:val="zh-CN"/>
        </w:rPr>
        <w:t>制定合理的评价指标体系工作难度较大，绩效评价是一项复杂的系统工作、涉及面广、操作难度大。</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pPr>
        <w:adjustRightInd w:val="0"/>
        <w:snapToGrid w:val="0"/>
        <w:spacing w:line="60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针对此次项目自评中发现的问题，进一步提高单位项目绩效运行监</w:t>
      </w:r>
      <w:r>
        <w:rPr>
          <w:rFonts w:hint="eastAsia" w:ascii="仿宋_GB2312" w:hAnsi="宋体" w:eastAsia="仿宋_GB2312" w:cs="Times New Roman"/>
          <w:sz w:val="32"/>
          <w:szCs w:val="32"/>
          <w:lang w:val="en-US" w:eastAsia="zh-CN"/>
        </w:rPr>
        <w:t>控制度</w:t>
      </w:r>
      <w:r>
        <w:rPr>
          <w:rFonts w:hint="eastAsia" w:ascii="仿宋_GB2312" w:hAnsi="宋体" w:eastAsia="仿宋_GB2312"/>
          <w:sz w:val="32"/>
          <w:szCs w:val="32"/>
          <w:lang w:val="en-US" w:eastAsia="zh-CN"/>
        </w:rPr>
        <w:t>建设，确保实现工作目标和任务，并通过调研及各项检查工作的开展，进一步对发现的问题深入研究分析，广纳民意，民主监督。</w:t>
      </w:r>
    </w:p>
    <w:p>
      <w:pPr>
        <w:spacing w:line="580" w:lineRule="exact"/>
        <w:rPr>
          <w:rFonts w:ascii="仿宋_GB2312" w:hAnsi="仿宋_GB2312" w:eastAsia="仿宋_GB2312" w:cs="仿宋_GB2312"/>
          <w:sz w:val="32"/>
          <w:szCs w:val="32"/>
        </w:rPr>
      </w:pPr>
    </w:p>
    <w:p>
      <w:pPr>
        <w:spacing w:line="600" w:lineRule="exact"/>
        <w:jc w:val="left"/>
        <w:outlineLvl w:val="0"/>
        <w:rPr>
          <w:rFonts w:hint="eastAsia" w:ascii="黑体" w:hAnsi="黑体" w:eastAsia="黑体" w:cs="黑体"/>
          <w:sz w:val="32"/>
          <w:szCs w:val="32"/>
        </w:rPr>
      </w:pPr>
      <w:bookmarkStart w:id="117" w:name="_Toc79163633"/>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p>
      <w:pPr>
        <w:spacing w:line="600" w:lineRule="exact"/>
        <w:jc w:val="left"/>
        <w:outlineLvl w:val="0"/>
        <w:rPr>
          <w:rFonts w:hint="eastAsia" w:ascii="黑体" w:hAnsi="黑体" w:eastAsia="黑体" w:cs="黑体"/>
          <w:sz w:val="32"/>
          <w:szCs w:val="32"/>
        </w:rPr>
      </w:pPr>
    </w:p>
    <w:bookmarkEnd w:id="117"/>
    <w:p>
      <w:pPr>
        <w:keepNext w:val="0"/>
        <w:keepLines w:val="0"/>
        <w:pageBreakBefore w:val="0"/>
        <w:widowControl w:val="0"/>
        <w:kinsoku/>
        <w:wordWrap/>
        <w:overflowPunct/>
        <w:topLinePunct w:val="0"/>
        <w:autoSpaceDE/>
        <w:autoSpaceDN/>
        <w:bidi w:val="0"/>
        <w:spacing w:line="560" w:lineRule="exact"/>
        <w:jc w:val="left"/>
        <w:textAlignment w:val="auto"/>
        <w:outlineLvl w:val="0"/>
        <w:rPr>
          <w:rFonts w:ascii="黑体" w:hAnsi="黑体" w:eastAsia="黑体" w:cs="黑体"/>
          <w:sz w:val="32"/>
          <w:szCs w:val="32"/>
        </w:rPr>
      </w:pPr>
      <w:bookmarkStart w:id="118" w:name="_Toc14635"/>
      <w:r>
        <w:rPr>
          <w:rFonts w:hint="eastAsia" w:ascii="黑体" w:hAnsi="黑体" w:eastAsia="黑体" w:cs="黑体"/>
          <w:sz w:val="32"/>
          <w:szCs w:val="32"/>
        </w:rPr>
        <w:t>附件</w:t>
      </w:r>
      <w:r>
        <w:rPr>
          <w:rFonts w:ascii="黑体" w:hAnsi="黑体" w:eastAsia="黑体" w:cs="黑体"/>
          <w:sz w:val="32"/>
          <w:szCs w:val="32"/>
        </w:rPr>
        <w:t>2</w:t>
      </w:r>
      <w:bookmarkEnd w:id="118"/>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p>
    <w:p>
      <w:pPr>
        <w:pStyle w:val="4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小金县人民政府</w:t>
      </w:r>
    </w:p>
    <w:p>
      <w:pPr>
        <w:pStyle w:val="4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pStyle w:val="40"/>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一、项目概况</w:t>
      </w:r>
    </w:p>
    <w:p>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小金县人民政府办公室专项经费属于单位日常公用经费，主要用于保障单位正常履职运转，保障办文、办会、办事等日常工作开展，购置办公用品、打印耗材、报刊杂志、印刷装订、电费、邮电费等相关支出，是维持单位正常开展的基本运行经费。2025年县政府办公室专项经费90万元。</w:t>
      </w:r>
    </w:p>
    <w:p>
      <w:pPr>
        <w:keepNext w:val="0"/>
        <w:keepLines w:val="0"/>
        <w:pageBreakBefore w:val="0"/>
        <w:numPr>
          <w:ilvl w:val="0"/>
          <w:numId w:val="6"/>
        </w:numPr>
        <w:kinsoku/>
        <w:wordWrap/>
        <w:overflowPunct/>
        <w:topLinePunct w:val="0"/>
        <w:autoSpaceDE/>
        <w:autoSpaceDN/>
        <w:bidi w:val="0"/>
        <w:adjustRightInd w:val="0"/>
        <w:snapToGrid w:val="0"/>
        <w:spacing w:line="576" w:lineRule="exact"/>
        <w:ind w:firstLine="643" w:firstLineChars="200"/>
        <w:textAlignment w:val="auto"/>
        <w:rPr>
          <w:rFonts w:hint="eastAsia" w:ascii="仿宋_GB2312" w:eastAsia="仿宋_GB2312"/>
          <w:color w:val="auto"/>
          <w:sz w:val="32"/>
          <w:szCs w:val="32"/>
          <w:highlight w:val="none"/>
          <w:lang w:val="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adjustRightInd w:val="0"/>
        <w:snapToGrid w:val="0"/>
        <w:spacing w:line="600" w:lineRule="exact"/>
        <w:ind w:firstLine="640" w:firstLineChars="200"/>
        <w:rPr>
          <w:rFonts w:hint="eastAsia" w:ascii="仿宋_GB2312" w:hAnsi="宋体" w:eastAsia="仿宋_GB2312" w:cs="Times New Roman"/>
          <w:sz w:val="32"/>
          <w:szCs w:val="32"/>
          <w:highlight w:val="yellow"/>
          <w:lang w:val="en-US" w:eastAsia="zh-CN"/>
        </w:rPr>
      </w:pPr>
      <w:r>
        <w:rPr>
          <w:rFonts w:hint="eastAsia" w:ascii="仿宋_GB2312" w:hAnsi="宋体" w:eastAsia="仿宋_GB2312" w:cs="Times New Roman"/>
          <w:sz w:val="32"/>
          <w:szCs w:val="32"/>
          <w:highlight w:val="none"/>
          <w:lang w:val="en-US" w:eastAsia="zh-CN"/>
        </w:rPr>
        <w:t>保障单位日常办公业务有序开展，满足办公室物资消耗需求，规范办公物资采购领用，厉行节约，降低机关运行成本，保障单位各项业务工作顺利推进。</w:t>
      </w:r>
    </w:p>
    <w:p>
      <w:pPr>
        <w:keepNext w:val="0"/>
        <w:keepLines w:val="0"/>
        <w:pageBreakBefore w:val="0"/>
        <w:numPr>
          <w:ilvl w:val="0"/>
          <w:numId w:val="6"/>
        </w:numPr>
        <w:kinsoku/>
        <w:wordWrap/>
        <w:overflowPunct/>
        <w:topLinePunct w:val="0"/>
        <w:autoSpaceDE/>
        <w:autoSpaceDN/>
        <w:bidi w:val="0"/>
        <w:adjustRightInd w:val="0"/>
        <w:snapToGrid w:val="0"/>
        <w:spacing w:line="576" w:lineRule="exact"/>
        <w:ind w:left="0" w:leftChars="0" w:firstLine="643"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adjustRightInd w:val="0"/>
        <w:snapToGrid w:val="0"/>
        <w:spacing w:line="600" w:lineRule="exact"/>
        <w:ind w:firstLine="640" w:firstLineChars="200"/>
        <w:rPr>
          <w:rFonts w:hint="default" w:ascii="Times New Roman" w:hAnsi="Times New Roman" w:eastAsia="楷体_GB2312" w:cs="Times New Roman"/>
          <w:b/>
          <w:color w:val="auto"/>
          <w:sz w:val="32"/>
          <w:szCs w:val="32"/>
          <w:highlight w:val="none"/>
          <w:u w:val="none"/>
          <w:lang w:val="zh-CN" w:eastAsia="zh-CN"/>
        </w:rPr>
      </w:pPr>
      <w:r>
        <w:rPr>
          <w:rFonts w:hint="eastAsia" w:ascii="仿宋_GB2312" w:hAnsi="宋体" w:eastAsia="仿宋_GB2312" w:cs="Times New Roman"/>
          <w:sz w:val="32"/>
          <w:szCs w:val="32"/>
          <w:highlight w:val="none"/>
          <w:lang w:val="en-US" w:eastAsia="zh-CN"/>
        </w:rPr>
        <w:t>本年度办公费项目年初预算 90万元。资金分配遵循 “厉行节约、保障必需、统筹使用、从严管控” 原则，结合单位在岗人员规模、历年办公消耗水平、年度工作任务量综合测算。资金全部用于本单位日常办公运转开支，按实际办公业务需求据实列支，不对外分配，由本单位财务统一核算支付资金主要用于：办公用品购置、打印复印耗材、资料印刷、报刊订阅、邮电费、电费、差旅费等日常办公消耗。资金严格控制资金支付，按照财务制度审核报销，专款专用。</w:t>
      </w:r>
    </w:p>
    <w:p>
      <w:pPr>
        <w:keepNext w:val="0"/>
        <w:keepLines w:val="0"/>
        <w:pageBreakBefore w:val="0"/>
        <w:numPr>
          <w:ilvl w:val="0"/>
          <w:numId w:val="0"/>
        </w:numPr>
        <w:kinsoku/>
        <w:wordWrap/>
        <w:overflowPunct/>
        <w:topLinePunct w:val="0"/>
        <w:autoSpaceDE/>
        <w:autoSpaceDN/>
        <w:bidi w:val="0"/>
        <w:spacing w:line="576" w:lineRule="exact"/>
        <w:ind w:left="600" w:leftChars="0"/>
        <w:textAlignment w:val="auto"/>
        <w:outlineLvl w:val="0"/>
        <w:rPr>
          <w:rFonts w:ascii="仿宋_GB2312"/>
          <w:sz w:val="32"/>
          <w:szCs w:val="32"/>
          <w:highlight w:val="none"/>
        </w:rPr>
      </w:pPr>
      <w:bookmarkStart w:id="119" w:name="_Toc14123"/>
      <w:r>
        <w:rPr>
          <w:rFonts w:hint="default" w:ascii="Times New Roman" w:hAnsi="Times New Roman" w:eastAsia="楷体_GB2312" w:cs="Times New Roman"/>
          <w:b/>
          <w:color w:val="auto"/>
          <w:sz w:val="32"/>
          <w:szCs w:val="32"/>
          <w:highlight w:val="none"/>
          <w:u w:val="none"/>
          <w:lang w:val="zh-CN" w:eastAsia="zh-CN"/>
        </w:rPr>
        <w:t>（四）项目绩效目标设置。</w:t>
      </w:r>
      <w:bookmarkEnd w:id="119"/>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1.保障办公室日常办公物资供给，满足履职办公需要，规范办公费支出管理，厉行节约，控制运行成本，保障单位各项工作正常运转。</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 xml:space="preserve"> 2. 年度绩效指标：设置产出指标（数量、质量、时效、成本）、效益指标、服务对象满意度指标。</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 xml:space="preserve"> 3. 自评开展情况：按照部门决算绩效管理工作要求，对照预算、决算凭证、办公用品领用台账，逐项核对绩效目标完成情况，开展本次绩效自评工作。</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4.成本指标：59.25万元。</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zh-CN" w:eastAsia="zh-CN"/>
        </w:rPr>
      </w:pPr>
      <w:r>
        <w:rPr>
          <w:rFonts w:hint="eastAsia" w:ascii="仿宋_GB2312" w:hAnsi="宋体" w:eastAsia="仿宋_GB2312" w:cs="Times New Roman"/>
          <w:sz w:val="32"/>
          <w:szCs w:val="32"/>
          <w:highlight w:val="none"/>
          <w:lang w:val="en-US" w:eastAsia="zh-CN"/>
        </w:rPr>
        <w:t>5.满意度指标:职工满意度≥95%。</w:t>
      </w:r>
    </w:p>
    <w:p>
      <w:pPr>
        <w:adjustRightInd w:val="0"/>
        <w:snapToGrid w:val="0"/>
        <w:spacing w:line="600" w:lineRule="exact"/>
        <w:ind w:firstLine="640" w:firstLineChars="200"/>
        <w:rPr>
          <w:rFonts w:hint="default" w:ascii="仿宋_GB2312" w:hAnsi="宋体" w:eastAsia="仿宋_GB2312" w:cs="Times New Roman"/>
          <w:sz w:val="32"/>
          <w:szCs w:val="32"/>
          <w:highlight w:val="none"/>
          <w:lang w:val="zh-CN" w:eastAsia="zh-CN"/>
        </w:rPr>
      </w:pPr>
      <w:r>
        <w:rPr>
          <w:rFonts w:hint="eastAsia" w:ascii="仿宋_GB2312" w:hAnsi="宋体" w:eastAsia="仿宋_GB2312" w:cs="Times New Roman"/>
          <w:sz w:val="32"/>
          <w:szCs w:val="32"/>
          <w:highlight w:val="none"/>
          <w:lang w:val="en-US" w:eastAsia="zh-CN"/>
        </w:rPr>
        <w:t>二、</w:t>
      </w:r>
      <w:r>
        <w:rPr>
          <w:rFonts w:hint="default" w:ascii="仿宋_GB2312" w:hAnsi="宋体" w:eastAsia="仿宋_GB2312" w:cs="Times New Roman"/>
          <w:sz w:val="32"/>
          <w:szCs w:val="32"/>
          <w:highlight w:val="none"/>
          <w:lang w:val="zh-CN" w:eastAsia="zh-CN"/>
        </w:rPr>
        <w:t>评价实施</w:t>
      </w:r>
    </w:p>
    <w:p>
      <w:pPr>
        <w:adjustRightInd w:val="0"/>
        <w:snapToGrid w:val="0"/>
        <w:spacing w:line="600" w:lineRule="exact"/>
        <w:ind w:firstLine="640" w:firstLineChars="200"/>
        <w:rPr>
          <w:rFonts w:hint="default"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zh-CN" w:eastAsia="zh-CN"/>
        </w:rPr>
        <w:t>（一）评价目的。</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全面核查办公费预算编制、资金支出、物资保障、经费管控情况，客观评价办公经费使用成效，查找经费管理、物资采购领用中的薄弱环节，为下年度公用经费预算编制、经费管控提供依据，压减非必要开支，提升财政资金使用效益，配合部门决算报送工作。</w:t>
      </w:r>
    </w:p>
    <w:p>
      <w:pPr>
        <w:pStyle w:val="2"/>
        <w:numPr>
          <w:ilvl w:val="0"/>
          <w:numId w:val="5"/>
        </w:numPr>
        <w:ind w:left="0" w:leftChars="0"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预设问题及评价重点</w:t>
      </w:r>
    </w:p>
    <w:p>
      <w:pPr>
        <w:numPr>
          <w:ilvl w:val="0"/>
          <w:numId w:val="7"/>
        </w:num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办公费预算多参考上年度实际支出编制，对人员变动、业务增减、无纸化办公推进等因素考虑不够充分，造成预决算存在一定差异。</w:t>
      </w:r>
    </w:p>
    <w:p>
      <w:pPr>
        <w:numPr>
          <w:ilvl w:val="0"/>
          <w:numId w:val="7"/>
        </w:num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办公室侧重物资采购业务财务联动不够紧密，对办公费月度、季度消耗动态分析较少。</w:t>
      </w:r>
    </w:p>
    <w:p>
      <w:pPr>
        <w:adjustRightInd w:val="0"/>
        <w:snapToGrid w:val="0"/>
        <w:spacing w:line="600" w:lineRule="exact"/>
        <w:ind w:firstLine="640" w:firstLineChars="200"/>
        <w:rPr>
          <w:rFonts w:hint="eastAsia" w:ascii="仿宋_GB2312" w:hAnsi="宋体" w:eastAsia="仿宋_GB2312" w:cs="Times New Roman"/>
          <w:sz w:val="32"/>
          <w:szCs w:val="32"/>
          <w:highlight w:val="none"/>
          <w:lang w:val="en-US" w:eastAsia="zh-CN"/>
        </w:rPr>
      </w:pPr>
      <w:r>
        <w:rPr>
          <w:rFonts w:hint="eastAsia" w:ascii="仿宋_GB2312" w:hAnsi="宋体" w:eastAsia="仿宋_GB2312" w:cs="Times New Roman"/>
          <w:sz w:val="32"/>
          <w:szCs w:val="32"/>
          <w:highlight w:val="none"/>
          <w:lang w:val="en-US" w:eastAsia="zh-CN"/>
        </w:rPr>
        <w:t>3.部分打印耗材消耗仍有压缩空间，节约型机关建设还可以进一步做实</w:t>
      </w:r>
    </w:p>
    <w:p>
      <w:pPr>
        <w:pStyle w:val="2"/>
        <w:numPr>
          <w:ilvl w:val="0"/>
          <w:numId w:val="0"/>
        </w:numPr>
        <w:ind w:leftChars="200"/>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（三）评价选点</w:t>
      </w:r>
    </w:p>
    <w:p>
      <w:pPr>
        <w:pStyle w:val="2"/>
        <w:numPr>
          <w:ilvl w:val="0"/>
          <w:numId w:val="0"/>
        </w:numPr>
        <w:ind w:left="0" w:leftChars="0" w:firstLine="640" w:firstLineChars="200"/>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本年度办公费全部预算、决算支出，差旅费支出、办公用品采购、领用、物资保障全部业务。</w:t>
      </w:r>
    </w:p>
    <w:p>
      <w:pPr>
        <w:pStyle w:val="2"/>
        <w:numPr>
          <w:ilvl w:val="0"/>
          <w:numId w:val="0"/>
        </w:numPr>
        <w:ind w:left="0" w:leftChars="0" w:firstLine="640" w:firstLineChars="200"/>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（三）评价方法</w:t>
      </w:r>
    </w:p>
    <w:p>
      <w:pPr>
        <w:pStyle w:val="2"/>
        <w:numPr>
          <w:ilvl w:val="0"/>
          <w:numId w:val="0"/>
        </w:numPr>
        <w:ind w:left="0" w:leftChars="0" w:firstLine="640" w:firstLineChars="200"/>
        <w:rPr>
          <w:rFonts w:hint="eastAsia" w:ascii="楷体_GB2312" w:hAnsi="宋体" w:eastAsia="楷体_GB2312"/>
          <w:b/>
          <w:color w:val="auto"/>
          <w:sz w:val="32"/>
          <w:szCs w:val="32"/>
          <w:highlight w:val="none"/>
          <w:u w:val="none"/>
          <w:lang w:val="zh-CN"/>
        </w:rPr>
      </w:pPr>
      <w:r>
        <w:rPr>
          <w:rFonts w:hint="eastAsia" w:ascii="仿宋_GB2312" w:hAnsi="宋体" w:eastAsia="仿宋_GB2312" w:cs="Times New Roman"/>
          <w:kern w:val="2"/>
          <w:sz w:val="32"/>
          <w:szCs w:val="32"/>
          <w:highlight w:val="none"/>
          <w:lang w:val="en-US" w:eastAsia="zh-CN" w:bidi="ar-SA"/>
        </w:rPr>
        <w:t>持客观公正、实事求是的原则，采用凭证查阅、台账核对、对比分析、座谈问询的方式开展自评，对照绩效自评表逐项核实打分</w:t>
      </w:r>
    </w:p>
    <w:p>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widowControl/>
        <w:suppressLineNumbers w:val="0"/>
        <w:ind w:firstLine="640" w:firstLineChars="200"/>
        <w:jc w:val="left"/>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本项目属于行政运转类项目，按照通用指标、专用指标、个性指标逐项开展绩效分析打分。</w:t>
      </w:r>
    </w:p>
    <w:p>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kern w:val="2"/>
          <w:sz w:val="32"/>
          <w:szCs w:val="32"/>
          <w:highlight w:val="none"/>
          <w:lang w:val="zh-CN" w:eastAsia="zh-CN" w:bidi="ar-SA"/>
        </w:rPr>
      </w:pPr>
      <w:r>
        <w:rPr>
          <w:rFonts w:hint="eastAsia" w:ascii="仿宋_GB2312" w:hAnsi="宋体" w:eastAsia="仿宋_GB2312" w:cs="Times New Roman"/>
          <w:sz w:val="32"/>
          <w:szCs w:val="32"/>
          <w:highlight w:val="none"/>
          <w:lang w:val="en-US" w:eastAsia="zh-CN"/>
        </w:rPr>
        <w:t>1.</w:t>
      </w:r>
      <w:r>
        <w:rPr>
          <w:rFonts w:hint="eastAsia" w:ascii="仿宋_GB2312" w:hAnsi="宋体" w:eastAsia="仿宋_GB2312" w:cs="Times New Roman"/>
          <w:sz w:val="32"/>
          <w:szCs w:val="32"/>
          <w:highlight w:val="none"/>
          <w:lang w:val="zh-CN" w:eastAsia="zh-CN"/>
        </w:rPr>
        <w:t>项目决策。</w:t>
      </w:r>
      <w:r>
        <w:rPr>
          <w:rFonts w:hint="eastAsia" w:ascii="仿宋_GB2312" w:hAnsi="宋体" w:eastAsia="仿宋_GB2312" w:cs="Times New Roman"/>
          <w:kern w:val="2"/>
          <w:sz w:val="32"/>
          <w:szCs w:val="32"/>
          <w:highlight w:val="none"/>
          <w:lang w:val="en-US" w:eastAsia="zh-CN" w:bidi="ar-SA"/>
        </w:rPr>
        <w:t>项目预算严格按照部门预算编制流程申报，开展内部测算论证，结合人员、业务实际测算办公费需求；资金投向全部用于单位必要办公运转，投向合理。预算编制完整，立项程序规范。存在不足：预算测算精细化程度有待提升，部分月份实际开支与预算节奏存在差异。</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sz w:val="32"/>
          <w:szCs w:val="32"/>
          <w:highlight w:val="none"/>
          <w:lang w:val="en-US" w:eastAsia="zh-CN"/>
        </w:rPr>
        <w:t>2.</w:t>
      </w:r>
      <w:r>
        <w:rPr>
          <w:rFonts w:hint="eastAsia" w:ascii="仿宋_GB2312" w:hAnsi="宋体" w:eastAsia="仿宋_GB2312" w:cs="Times New Roman"/>
          <w:sz w:val="32"/>
          <w:szCs w:val="32"/>
          <w:highlight w:val="none"/>
          <w:lang w:val="zh-CN" w:eastAsia="zh-CN"/>
        </w:rPr>
        <w:t>项目管理。</w:t>
      </w:r>
      <w:r>
        <w:rPr>
          <w:rFonts w:hint="eastAsia" w:ascii="仿宋_GB2312" w:hAnsi="宋体" w:eastAsia="仿宋_GB2312" w:cs="Times New Roman"/>
          <w:kern w:val="2"/>
          <w:sz w:val="32"/>
          <w:szCs w:val="32"/>
          <w:highlight w:val="none"/>
          <w:lang w:val="en-US" w:eastAsia="zh-CN" w:bidi="ar-SA"/>
        </w:rPr>
        <w:t>单位已建立财务、物资采购、经费报销内部管理制度，严格执行报销审批流程。落实绩效监控，按月跟踪经费支出进度。物资采购履行内部审批手续。短板：耗材领用登记精细化管理仍需加强。</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ascii="宋体" w:hAnsi="宋体" w:eastAsia="宋体" w:cs="宋体"/>
          <w:sz w:val="24"/>
          <w:szCs w:val="24"/>
        </w:rPr>
      </w:pPr>
      <w:r>
        <w:rPr>
          <w:rFonts w:hint="eastAsia" w:ascii="仿宋_GB2312" w:hAnsi="宋体" w:eastAsia="仿宋_GB2312" w:cs="Times New Roman"/>
          <w:sz w:val="32"/>
          <w:szCs w:val="32"/>
          <w:highlight w:val="none"/>
          <w:lang w:val="en-US" w:eastAsia="zh-CN"/>
        </w:rPr>
        <w:t>3.项目实施。</w:t>
      </w:r>
      <w:r>
        <w:rPr>
          <w:rFonts w:hint="eastAsia" w:ascii="仿宋_GB2312" w:hAnsi="宋体" w:eastAsia="仿宋_GB2312" w:cs="Times New Roman"/>
          <w:kern w:val="2"/>
          <w:sz w:val="32"/>
          <w:szCs w:val="32"/>
          <w:highlight w:val="none"/>
          <w:lang w:val="en-US" w:eastAsia="zh-CN" w:bidi="ar-SA"/>
        </w:rPr>
        <w:t>本年度办公费年初预算 90 万元，本年决算支出 59.25 万元，预算执行率65.83%。资金支付严格执行国库集中支付、报销审批流程，原始凭证完整，资金使用合规，无违规开支。落实 “过紧日子” 要求，压缩非必要消耗，严控铺张浪费</w:t>
      </w:r>
      <w:r>
        <w:rPr>
          <w:rFonts w:ascii="宋体" w:hAnsi="宋体" w:eastAsia="宋体" w:cs="宋体"/>
          <w:sz w:val="24"/>
          <w:szCs w:val="24"/>
        </w:rPr>
        <w:t>。</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sz w:val="32"/>
          <w:szCs w:val="32"/>
          <w:highlight w:val="none"/>
          <w:lang w:val="en-US" w:eastAsia="zh-CN"/>
        </w:rPr>
        <w:t>4.</w:t>
      </w:r>
      <w:r>
        <w:rPr>
          <w:rFonts w:hint="eastAsia" w:ascii="仿宋_GB2312" w:hAnsi="宋体" w:eastAsia="仿宋_GB2312" w:cs="Times New Roman"/>
          <w:sz w:val="32"/>
          <w:szCs w:val="32"/>
          <w:highlight w:val="none"/>
          <w:lang w:val="zh-CN" w:eastAsia="zh-CN"/>
        </w:rPr>
        <w:t>项目结果。</w:t>
      </w:r>
      <w:r>
        <w:rPr>
          <w:rFonts w:hint="eastAsia" w:ascii="仿宋_GB2312" w:hAnsi="宋体" w:eastAsia="仿宋_GB2312" w:cs="Times New Roman"/>
          <w:kern w:val="2"/>
          <w:sz w:val="32"/>
          <w:szCs w:val="32"/>
          <w:highlight w:val="none"/>
          <w:lang w:val="en-US" w:eastAsia="zh-CN" w:bidi="ar-SA"/>
        </w:rPr>
        <w:t>完成保障单位全年日常办公运转的绩效目标，办公耗材、设备维修、印刷、差旅费、电费、邮电费等办公需求得到保障，保障单位各项业务正常开展，任务按时完成。个别月份耗材消耗管控仍有优化空间。</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sz w:val="32"/>
          <w:szCs w:val="32"/>
          <w:highlight w:val="none"/>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r>
        <w:rPr>
          <w:rFonts w:hint="default" w:ascii="仿宋_GB2312" w:hAnsi="宋体" w:eastAsia="仿宋_GB2312" w:cs="Times New Roman"/>
          <w:kern w:val="2"/>
          <w:sz w:val="32"/>
          <w:szCs w:val="32"/>
          <w:highlight w:val="none"/>
          <w:lang w:val="zh-CN" w:eastAsia="zh-CN" w:bidi="ar-SA"/>
        </w:rPr>
        <w:t>本项目属于行政运转类，围绕用途合规性、程序合规性、标准合规性分析。</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default" w:ascii="仿宋_GB2312" w:hAnsi="宋体" w:eastAsia="仿宋_GB2312" w:cs="Times New Roman"/>
          <w:kern w:val="2"/>
          <w:sz w:val="32"/>
          <w:szCs w:val="32"/>
          <w:highlight w:val="none"/>
          <w:lang w:val="zh-CN" w:eastAsia="zh-CN" w:bidi="ar-SA"/>
        </w:rPr>
      </w:pPr>
      <w:r>
        <w:rPr>
          <w:rFonts w:hint="eastAsia" w:ascii="仿宋_GB2312" w:hAnsi="宋体" w:eastAsia="仿宋_GB2312" w:cs="Times New Roman"/>
          <w:kern w:val="2"/>
          <w:sz w:val="32"/>
          <w:szCs w:val="32"/>
          <w:highlight w:val="none"/>
          <w:lang w:val="en-US" w:eastAsia="zh-CN" w:bidi="ar-SA"/>
        </w:rPr>
        <w:t>1.</w:t>
      </w:r>
      <w:r>
        <w:rPr>
          <w:rFonts w:hint="default" w:ascii="仿宋_GB2312" w:hAnsi="宋体" w:eastAsia="仿宋_GB2312" w:cs="Times New Roman"/>
          <w:kern w:val="2"/>
          <w:sz w:val="32"/>
          <w:szCs w:val="32"/>
          <w:highlight w:val="none"/>
          <w:lang w:val="zh-CN" w:eastAsia="zh-CN" w:bidi="ar-SA"/>
        </w:rPr>
        <w:t>用途合规性：全部支出均用于单位日常办公履职，无挪作福利、招待等其他用途，支出用途合规。</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default" w:ascii="仿宋_GB2312" w:hAnsi="宋体" w:eastAsia="仿宋_GB2312" w:cs="Times New Roman"/>
          <w:kern w:val="2"/>
          <w:sz w:val="32"/>
          <w:szCs w:val="32"/>
          <w:highlight w:val="none"/>
          <w:lang w:val="zh-CN" w:eastAsia="zh-CN" w:bidi="ar-SA"/>
        </w:rPr>
      </w:pPr>
      <w:r>
        <w:rPr>
          <w:rFonts w:hint="eastAsia" w:ascii="仿宋_GB2312" w:hAnsi="宋体" w:eastAsia="仿宋_GB2312" w:cs="Times New Roman"/>
          <w:kern w:val="2"/>
          <w:sz w:val="32"/>
          <w:szCs w:val="32"/>
          <w:highlight w:val="none"/>
          <w:lang w:val="en-US" w:eastAsia="zh-CN" w:bidi="ar-SA"/>
        </w:rPr>
        <w:t>2.</w:t>
      </w:r>
      <w:r>
        <w:rPr>
          <w:rFonts w:hint="default" w:ascii="仿宋_GB2312" w:hAnsi="宋体" w:eastAsia="仿宋_GB2312" w:cs="Times New Roman"/>
          <w:kern w:val="2"/>
          <w:sz w:val="32"/>
          <w:szCs w:val="32"/>
          <w:highlight w:val="none"/>
          <w:lang w:val="zh-CN" w:eastAsia="zh-CN" w:bidi="ar-SA"/>
        </w:rPr>
        <w:t>程序合规性：费用报销、物资采购履行内部审批流程</w:t>
      </w:r>
      <w:r>
        <w:rPr>
          <w:rFonts w:hint="eastAsia" w:ascii="仿宋_GB2312" w:hAnsi="宋体" w:eastAsia="仿宋_GB2312" w:cs="Times New Roman"/>
          <w:kern w:val="2"/>
          <w:sz w:val="32"/>
          <w:szCs w:val="32"/>
          <w:highlight w:val="none"/>
          <w:lang w:val="zh-CN" w:eastAsia="zh-CN" w:bidi="ar-SA"/>
        </w:rPr>
        <w:t>、严格差旅费出差审批程序</w:t>
      </w:r>
      <w:r>
        <w:rPr>
          <w:rFonts w:hint="default" w:ascii="仿宋_GB2312" w:hAnsi="宋体" w:eastAsia="仿宋_GB2312" w:cs="Times New Roman"/>
          <w:kern w:val="2"/>
          <w:sz w:val="32"/>
          <w:szCs w:val="32"/>
          <w:highlight w:val="none"/>
          <w:lang w:val="zh-CN" w:eastAsia="zh-CN" w:bidi="ar-SA"/>
        </w:rPr>
        <w:t>，大额采购履行相应采购程序，报销附件资料完整。</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sz w:val="32"/>
          <w:szCs w:val="32"/>
          <w:highlight w:val="yellow"/>
          <w:lang w:val="en-US" w:eastAsia="zh-CN"/>
        </w:rPr>
      </w:pPr>
      <w:r>
        <w:rPr>
          <w:rFonts w:hint="eastAsia" w:ascii="仿宋_GB2312" w:hAnsi="宋体" w:eastAsia="仿宋_GB2312" w:cs="Times New Roman"/>
          <w:sz w:val="32"/>
          <w:szCs w:val="32"/>
          <w:highlight w:val="none"/>
          <w:lang w:val="en-US" w:eastAsia="zh-CN"/>
        </w:rPr>
        <w:t>3.</w:t>
      </w:r>
      <w:r>
        <w:rPr>
          <w:rFonts w:hint="eastAsia" w:ascii="仿宋_GB2312" w:hAnsi="宋体" w:eastAsia="仿宋_GB2312" w:cs="Times New Roman"/>
          <w:kern w:val="2"/>
          <w:sz w:val="32"/>
          <w:szCs w:val="32"/>
          <w:highlight w:val="none"/>
          <w:lang w:val="zh-CN" w:eastAsia="zh-CN" w:bidi="ar-SA"/>
        </w:rPr>
        <w:t>标准合规性：严格遵守厉行节约相关规定，无超标准采购高档办公用品情况，坚持实用节约原则。</w:t>
      </w:r>
      <w:r>
        <w:rPr>
          <w:rFonts w:hint="eastAsia" w:ascii="仿宋_GB2312" w:hAnsi="宋体" w:eastAsia="仿宋_GB2312" w:cs="Times New Roman"/>
          <w:kern w:val="2"/>
          <w:sz w:val="32"/>
          <w:szCs w:val="32"/>
          <w:highlight w:val="none"/>
          <w:lang w:val="en-US" w:eastAsia="zh-CN" w:bidi="ar-SA"/>
        </w:rPr>
        <w:t xml:space="preserve"> </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default" w:ascii="仿宋_GB2312" w:hAnsi="宋体" w:eastAsia="仿宋_GB2312" w:cs="Times New Roman"/>
          <w:kern w:val="2"/>
          <w:sz w:val="32"/>
          <w:szCs w:val="32"/>
          <w:highlight w:val="none"/>
          <w:lang w:val="zh-CN" w:eastAsia="zh-CN" w:bidi="ar-SA"/>
        </w:rPr>
      </w:pPr>
      <w:r>
        <w:rPr>
          <w:rFonts w:hint="eastAsia" w:ascii="仿宋_GB2312" w:hAnsi="宋体" w:eastAsia="仿宋_GB2312" w:cs="Times New Roman"/>
          <w:kern w:val="2"/>
          <w:sz w:val="32"/>
          <w:szCs w:val="32"/>
          <w:highlight w:val="none"/>
          <w:lang w:val="zh-CN" w:eastAsia="zh-CN" w:bidi="ar-SA"/>
        </w:rPr>
        <w:t>（三）</w:t>
      </w:r>
      <w:r>
        <w:rPr>
          <w:rFonts w:hint="eastAsia" w:ascii="仿宋_GB2312" w:hAnsi="宋体" w:eastAsia="仿宋_GB2312" w:cs="Times New Roman"/>
          <w:kern w:val="2"/>
          <w:sz w:val="32"/>
          <w:szCs w:val="32"/>
          <w:highlight w:val="none"/>
          <w:lang w:val="en-US" w:eastAsia="zh-CN" w:bidi="ar-SA"/>
        </w:rPr>
        <w:t>个性指标</w:t>
      </w:r>
      <w:r>
        <w:rPr>
          <w:rFonts w:hint="default" w:ascii="仿宋_GB2312" w:hAnsi="宋体" w:eastAsia="仿宋_GB2312" w:cs="Times New Roman"/>
          <w:kern w:val="2"/>
          <w:sz w:val="32"/>
          <w:szCs w:val="32"/>
          <w:highlight w:val="none"/>
          <w:lang w:val="zh-CN" w:eastAsia="zh-CN" w:bidi="ar-SA"/>
        </w:rPr>
        <w:t>绩效分析。结合办公费项目实际设置个性指标：办公物资保障及时性、耗材节约控制成效。</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kern w:val="2"/>
          <w:sz w:val="32"/>
          <w:szCs w:val="32"/>
          <w:highlight w:val="none"/>
          <w:lang w:val="en-US" w:eastAsia="zh-CN" w:bidi="ar-SA"/>
        </w:rPr>
      </w:pPr>
      <w:r>
        <w:rPr>
          <w:rFonts w:hint="default" w:ascii="仿宋_GB2312" w:hAnsi="宋体" w:eastAsia="仿宋_GB2312" w:cs="Times New Roman"/>
          <w:kern w:val="2"/>
          <w:sz w:val="32"/>
          <w:szCs w:val="32"/>
          <w:highlight w:val="none"/>
          <w:lang w:val="zh-CN" w:eastAsia="zh-CN" w:bidi="ar-SA"/>
        </w:rPr>
        <w:t>全年办公物资能够保障业务工作开展，未出现因办公物资短缺影响业务办理的情况；持续推行双面打印、按需申领耗材，降低办公消耗，但在耗材定额管理方面还不够细化。</w:t>
      </w:r>
    </w:p>
    <w:p>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en-US" w:eastAsia="zh-CN"/>
        </w:rPr>
        <w:t>四、评价结论</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办公费项目总体能够完成既定绩效目标，资金管理规范，预算基本执行到位，有效保障单位日常行政办公运转，评价等级为良。</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eastAsia="黑体" w:cs="Times New Roman"/>
          <w:color w:val="auto"/>
          <w:sz w:val="32"/>
          <w:szCs w:val="32"/>
          <w:highlight w:val="none"/>
          <w:u w:val="none"/>
          <w:lang w:val="en-US" w:eastAsia="zh-CN"/>
        </w:rPr>
        <w:t>五、</w:t>
      </w:r>
      <w:r>
        <w:rPr>
          <w:rFonts w:hint="eastAsia" w:ascii="黑体" w:hAnsi="宋体" w:eastAsia="黑体" w:cs="Times New Roman"/>
          <w:color w:val="auto"/>
          <w:sz w:val="32"/>
          <w:szCs w:val="32"/>
          <w:highlight w:val="none"/>
          <w:u w:val="none"/>
          <w:lang w:eastAsia="zh-CN"/>
        </w:rPr>
        <w:t>存在主要问题</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无</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s="Times New Roman"/>
          <w:color w:val="auto"/>
          <w:sz w:val="32"/>
          <w:szCs w:val="32"/>
          <w:highlight w:val="none"/>
          <w:u w:val="none"/>
          <w:lang w:val="zh-CN" w:eastAsia="zh-CN"/>
        </w:rPr>
      </w:pPr>
      <w:r>
        <w:rPr>
          <w:rFonts w:hint="eastAsia" w:ascii="黑体" w:hAnsi="宋体" w:eastAsia="黑体" w:cs="Times New Roman"/>
          <w:color w:val="auto"/>
          <w:sz w:val="32"/>
          <w:szCs w:val="32"/>
          <w:highlight w:val="none"/>
          <w:u w:val="none"/>
          <w:lang w:val="zh-CN" w:eastAsia="zh-CN"/>
        </w:rPr>
        <w:t>六、改进建议</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仿宋_GB2312" w:eastAsia="仿宋_GB2312" w:cs="仿宋_GB2312"/>
          <w:color w:val="auto"/>
          <w:sz w:val="32"/>
          <w:szCs w:val="32"/>
          <w:highlight w:val="none"/>
          <w:u w:val="none"/>
          <w:lang w:val="zh-CN" w:eastAsia="zh-CN"/>
        </w:rPr>
      </w:pPr>
      <w:r>
        <w:rPr>
          <w:rFonts w:hint="eastAsia" w:ascii="仿宋_GB2312" w:hAnsi="仿宋_GB2312" w:eastAsia="仿宋_GB2312" w:cs="仿宋_GB2312"/>
          <w:color w:val="auto"/>
          <w:sz w:val="32"/>
          <w:szCs w:val="32"/>
          <w:highlight w:val="none"/>
          <w:u w:val="none"/>
          <w:lang w:val="zh-CN" w:eastAsia="zh-CN"/>
        </w:rPr>
        <w:t>无</w:t>
      </w:r>
    </w:p>
    <w:p>
      <w:pPr>
        <w:spacing w:line="600" w:lineRule="exact"/>
        <w:jc w:val="center"/>
        <w:outlineLvl w:val="0"/>
        <w:rPr>
          <w:rFonts w:hint="eastAsia" w:ascii="黑体" w:hAnsi="黑体" w:eastAsia="黑体"/>
          <w:color w:val="000000"/>
          <w:sz w:val="44"/>
          <w:szCs w:val="44"/>
        </w:rPr>
      </w:pPr>
      <w:r>
        <w:rPr>
          <w:rFonts w:hint="default" w:ascii="Times New Roman" w:hAnsi="Times New Roman" w:cs="Times New Roman"/>
          <w:color w:val="000000"/>
          <w:kern w:val="0"/>
          <w:szCs w:val="32"/>
          <w:highlight w:val="none"/>
          <w:shd w:val="clear" w:color="auto" w:fill="FFFFFF"/>
          <w:lang w:val="zh-CN" w:eastAsia="zh-CN"/>
        </w:rPr>
        <w:br w:type="page"/>
      </w:r>
    </w:p>
    <w:p>
      <w:pPr>
        <w:spacing w:line="600" w:lineRule="exact"/>
        <w:jc w:val="center"/>
        <w:outlineLvl w:val="0"/>
        <w:rPr>
          <w:rFonts w:hint="eastAsia" w:ascii="黑体" w:hAnsi="黑体" w:eastAsia="黑体"/>
          <w:color w:val="000000"/>
          <w:sz w:val="44"/>
          <w:szCs w:val="44"/>
        </w:rPr>
      </w:pPr>
    </w:p>
    <w:p>
      <w:pPr>
        <w:numPr>
          <w:ilvl w:val="0"/>
          <w:numId w:val="0"/>
        </w:numPr>
        <w:spacing w:line="600" w:lineRule="exact"/>
        <w:ind w:leftChars="150" w:firstLine="1320" w:firstLineChars="300"/>
        <w:jc w:val="both"/>
        <w:outlineLvl w:val="0"/>
        <w:rPr>
          <w:rStyle w:val="25"/>
          <w:rFonts w:hint="eastAsia" w:ascii="黑体" w:hAnsi="黑体" w:eastAsia="黑体"/>
          <w:b w:val="0"/>
        </w:rPr>
      </w:pPr>
      <w:bookmarkStart w:id="120" w:name="_Toc21709"/>
      <w:r>
        <w:rPr>
          <w:rStyle w:val="25"/>
          <w:rFonts w:hint="eastAsia" w:ascii="黑体" w:hAnsi="黑体" w:eastAsia="黑体"/>
          <w:b w:val="0"/>
        </w:rPr>
        <w:t>第</w:t>
      </w:r>
      <w:r>
        <w:rPr>
          <w:rStyle w:val="25"/>
          <w:rFonts w:hint="eastAsia" w:ascii="黑体" w:hAnsi="黑体" w:eastAsia="黑体"/>
          <w:b w:val="0"/>
          <w:lang w:val="en-US" w:eastAsia="zh-CN"/>
        </w:rPr>
        <w:t>五</w:t>
      </w:r>
      <w:r>
        <w:rPr>
          <w:rStyle w:val="25"/>
          <w:rFonts w:hint="eastAsia" w:ascii="黑体" w:hAnsi="黑体" w:eastAsia="黑体"/>
          <w:b w:val="0"/>
        </w:rPr>
        <w:t>部分 附表</w:t>
      </w:r>
      <w:bookmarkEnd w:id="110"/>
      <w:bookmarkEnd w:id="111"/>
      <w:bookmarkEnd w:id="112"/>
      <w:bookmarkEnd w:id="120"/>
      <w:bookmarkStart w:id="121" w:name="_Toc79163636"/>
      <w:bookmarkStart w:id="122" w:name="_Toc15396619"/>
      <w:bookmarkStart w:id="123" w:name="_Toc10505"/>
    </w:p>
    <w:p>
      <w:pPr>
        <w:numPr>
          <w:ilvl w:val="0"/>
          <w:numId w:val="0"/>
        </w:numPr>
        <w:spacing w:line="600" w:lineRule="exact"/>
        <w:jc w:val="both"/>
        <w:outlineLvl w:val="0"/>
        <w:rPr>
          <w:rStyle w:val="26"/>
          <w:rFonts w:hint="eastAsia" w:ascii="仿宋" w:hAnsi="仿宋" w:eastAsia="仿宋"/>
          <w:b w:val="0"/>
          <w:bCs w:val="0"/>
        </w:rPr>
      </w:pPr>
      <w:bookmarkStart w:id="124" w:name="_Toc20976"/>
      <w:r>
        <w:rPr>
          <w:rStyle w:val="26"/>
          <w:rFonts w:hint="eastAsia" w:ascii="仿宋" w:hAnsi="仿宋" w:eastAsia="仿宋" w:cs="Times New Roman"/>
          <w:b w:val="0"/>
          <w:bCs w:val="0"/>
          <w:lang w:val="en-US" w:eastAsia="zh-CN" w:bidi="ar-SA"/>
        </w:rPr>
        <w:t>一、收入支出</w:t>
      </w:r>
      <w:r>
        <w:rPr>
          <w:rStyle w:val="26"/>
          <w:rFonts w:hint="eastAsia" w:ascii="仿宋" w:hAnsi="仿宋" w:eastAsia="仿宋"/>
          <w:b w:val="0"/>
          <w:bCs w:val="0"/>
        </w:rPr>
        <w:t>决算总表</w:t>
      </w:r>
      <w:bookmarkEnd w:id="121"/>
      <w:bookmarkEnd w:id="122"/>
      <w:bookmarkEnd w:id="123"/>
      <w:bookmarkEnd w:id="124"/>
      <w:bookmarkStart w:id="125" w:name="_Toc79163637"/>
      <w:bookmarkStart w:id="126" w:name="_Toc21282"/>
      <w:bookmarkStart w:id="127" w:name="_Toc15396620"/>
    </w:p>
    <w:p>
      <w:pPr>
        <w:numPr>
          <w:ilvl w:val="0"/>
          <w:numId w:val="0"/>
        </w:numPr>
        <w:spacing w:line="600" w:lineRule="exact"/>
        <w:jc w:val="both"/>
        <w:outlineLvl w:val="0"/>
        <w:rPr>
          <w:rStyle w:val="26"/>
          <w:rFonts w:hint="eastAsia" w:ascii="仿宋" w:hAnsi="仿宋" w:eastAsia="仿宋" w:cs="Times New Roman"/>
          <w:b w:val="0"/>
          <w:bCs w:val="0"/>
          <w:lang w:val="en-US" w:eastAsia="zh-CN" w:bidi="ar-SA"/>
        </w:rPr>
      </w:pPr>
      <w:bookmarkStart w:id="128" w:name="_Toc16798"/>
      <w:r>
        <w:rPr>
          <w:rStyle w:val="26"/>
          <w:rFonts w:hint="eastAsia" w:ascii="仿宋" w:hAnsi="仿宋" w:eastAsia="仿宋" w:cs="Times New Roman"/>
          <w:b w:val="0"/>
          <w:bCs w:val="0"/>
          <w:lang w:val="en-US" w:eastAsia="zh-CN" w:bidi="ar-SA"/>
        </w:rPr>
        <w:t>二、收入决算表</w:t>
      </w:r>
      <w:bookmarkEnd w:id="125"/>
      <w:bookmarkEnd w:id="126"/>
      <w:bookmarkEnd w:id="127"/>
      <w:bookmarkEnd w:id="128"/>
      <w:bookmarkStart w:id="129" w:name="_Toc79163638"/>
      <w:bookmarkStart w:id="130" w:name="_Toc27614"/>
      <w:bookmarkStart w:id="131" w:name="_Toc15396621"/>
    </w:p>
    <w:p>
      <w:pPr>
        <w:numPr>
          <w:ilvl w:val="0"/>
          <w:numId w:val="0"/>
        </w:numPr>
        <w:spacing w:line="600" w:lineRule="exact"/>
        <w:jc w:val="both"/>
        <w:outlineLvl w:val="0"/>
        <w:rPr>
          <w:rStyle w:val="26"/>
          <w:rFonts w:hint="eastAsia" w:ascii="仿宋" w:hAnsi="仿宋" w:eastAsia="仿宋" w:cs="Times New Roman"/>
          <w:b w:val="0"/>
          <w:bCs w:val="0"/>
          <w:lang w:val="en-US" w:eastAsia="zh-CN" w:bidi="ar-SA"/>
        </w:rPr>
      </w:pPr>
      <w:bookmarkStart w:id="132" w:name="_Toc16833"/>
      <w:r>
        <w:rPr>
          <w:rStyle w:val="26"/>
          <w:rFonts w:hint="eastAsia" w:ascii="仿宋" w:hAnsi="仿宋" w:eastAsia="仿宋"/>
          <w:b w:val="0"/>
          <w:bCs w:val="0"/>
        </w:rPr>
        <w:t>三、</w:t>
      </w:r>
      <w:r>
        <w:rPr>
          <w:rStyle w:val="26"/>
          <w:rFonts w:hint="eastAsia" w:ascii="仿宋" w:hAnsi="仿宋" w:eastAsia="仿宋" w:cs="Times New Roman"/>
          <w:b w:val="0"/>
          <w:bCs w:val="0"/>
          <w:lang w:val="en-US" w:eastAsia="zh-CN" w:bidi="ar-SA"/>
        </w:rPr>
        <w:t>支出决算表</w:t>
      </w:r>
      <w:bookmarkEnd w:id="129"/>
      <w:bookmarkEnd w:id="130"/>
      <w:bookmarkEnd w:id="131"/>
      <w:bookmarkEnd w:id="132"/>
      <w:bookmarkStart w:id="133" w:name="_Toc15396622"/>
      <w:bookmarkStart w:id="134" w:name="_Toc17157"/>
      <w:bookmarkStart w:id="135" w:name="_Toc79163639"/>
    </w:p>
    <w:p>
      <w:pPr>
        <w:numPr>
          <w:ilvl w:val="0"/>
          <w:numId w:val="0"/>
        </w:numPr>
        <w:spacing w:line="600" w:lineRule="exact"/>
        <w:jc w:val="both"/>
        <w:outlineLvl w:val="0"/>
        <w:rPr>
          <w:rStyle w:val="26"/>
          <w:rFonts w:hint="eastAsia" w:ascii="仿宋" w:hAnsi="仿宋" w:eastAsia="仿宋" w:cs="Times New Roman"/>
          <w:b w:val="0"/>
          <w:bCs w:val="0"/>
          <w:lang w:val="en-US" w:eastAsia="zh-CN" w:bidi="ar-SA"/>
        </w:rPr>
      </w:pPr>
      <w:bookmarkStart w:id="136" w:name="_Toc1667"/>
      <w:r>
        <w:rPr>
          <w:rStyle w:val="26"/>
          <w:rFonts w:hint="eastAsia" w:ascii="仿宋" w:hAnsi="仿宋" w:eastAsia="仿宋" w:cs="Times New Roman"/>
          <w:b w:val="0"/>
          <w:bCs w:val="0"/>
          <w:lang w:val="en-US" w:eastAsia="zh-CN" w:bidi="ar-SA"/>
        </w:rPr>
        <w:t>四、财政拨款收入支出决算总表</w:t>
      </w:r>
      <w:bookmarkEnd w:id="133"/>
      <w:bookmarkEnd w:id="134"/>
      <w:bookmarkEnd w:id="135"/>
      <w:bookmarkEnd w:id="136"/>
      <w:bookmarkStart w:id="137" w:name="_Toc26156"/>
      <w:bookmarkStart w:id="138" w:name="_Toc79163640"/>
      <w:bookmarkStart w:id="139" w:name="_Toc15396623"/>
    </w:p>
    <w:p>
      <w:pPr>
        <w:numPr>
          <w:ilvl w:val="0"/>
          <w:numId w:val="0"/>
        </w:numPr>
        <w:spacing w:line="600" w:lineRule="exact"/>
        <w:jc w:val="both"/>
        <w:outlineLvl w:val="0"/>
        <w:rPr>
          <w:rStyle w:val="26"/>
          <w:rFonts w:ascii="仿宋" w:hAnsi="仿宋" w:eastAsia="仿宋"/>
          <w:b w:val="0"/>
          <w:bCs w:val="0"/>
        </w:rPr>
      </w:pPr>
      <w:bookmarkStart w:id="140" w:name="_Toc4273"/>
      <w:r>
        <w:rPr>
          <w:rStyle w:val="26"/>
          <w:rFonts w:hint="eastAsia" w:ascii="仿宋" w:hAnsi="仿宋" w:eastAsia="仿宋" w:cs="Times New Roman"/>
          <w:b w:val="0"/>
          <w:bCs w:val="0"/>
          <w:lang w:val="en-US" w:eastAsia="zh-CN" w:bidi="ar-SA"/>
        </w:rPr>
        <w:t>五、财</w:t>
      </w:r>
      <w:r>
        <w:rPr>
          <w:rStyle w:val="26"/>
          <w:rFonts w:hint="eastAsia" w:ascii="仿宋" w:hAnsi="仿宋" w:eastAsia="仿宋"/>
          <w:b w:val="0"/>
          <w:bCs w:val="0"/>
        </w:rPr>
        <w:t>政拨款支出决算明细表</w:t>
      </w:r>
      <w:bookmarkEnd w:id="137"/>
      <w:bookmarkEnd w:id="138"/>
      <w:bookmarkEnd w:id="139"/>
      <w:bookmarkEnd w:id="140"/>
      <w:bookmarkStart w:id="141" w:name="_Toc15396624"/>
    </w:p>
    <w:p>
      <w:pPr>
        <w:pStyle w:val="4"/>
        <w:rPr>
          <w:rFonts w:ascii="仿宋" w:hAnsi="仿宋" w:eastAsia="仿宋"/>
          <w:color w:val="000000"/>
        </w:rPr>
      </w:pPr>
      <w:bookmarkStart w:id="142" w:name="_Toc7375"/>
      <w:bookmarkStart w:id="143" w:name="_Toc79163641"/>
      <w:bookmarkStart w:id="144" w:name="_Toc12538"/>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141"/>
      <w:bookmarkEnd w:id="142"/>
      <w:bookmarkEnd w:id="143"/>
      <w:bookmarkEnd w:id="144"/>
    </w:p>
    <w:p>
      <w:pPr>
        <w:pStyle w:val="4"/>
        <w:rPr>
          <w:rFonts w:ascii="仿宋" w:hAnsi="仿宋" w:eastAsia="仿宋"/>
          <w:color w:val="000000"/>
        </w:rPr>
      </w:pPr>
      <w:bookmarkStart w:id="145" w:name="_Toc15396625"/>
      <w:bookmarkStart w:id="146" w:name="_Toc2770"/>
      <w:bookmarkStart w:id="147" w:name="_Toc79163642"/>
      <w:bookmarkStart w:id="148" w:name="_Toc31509"/>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145"/>
      <w:bookmarkEnd w:id="146"/>
      <w:bookmarkEnd w:id="147"/>
      <w:bookmarkEnd w:id="148"/>
    </w:p>
    <w:p>
      <w:pPr>
        <w:pStyle w:val="4"/>
        <w:rPr>
          <w:rFonts w:ascii="仿宋" w:hAnsi="仿宋" w:eastAsia="仿宋"/>
          <w:color w:val="000000"/>
        </w:rPr>
      </w:pPr>
      <w:bookmarkStart w:id="149" w:name="_Toc29814"/>
      <w:bookmarkStart w:id="150" w:name="_Toc79163643"/>
      <w:bookmarkStart w:id="151" w:name="_Toc15396626"/>
      <w:bookmarkStart w:id="152" w:name="_Toc9615"/>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149"/>
      <w:bookmarkEnd w:id="150"/>
      <w:bookmarkEnd w:id="151"/>
      <w:bookmarkEnd w:id="152"/>
    </w:p>
    <w:p>
      <w:pPr>
        <w:pStyle w:val="4"/>
        <w:rPr>
          <w:rFonts w:ascii="仿宋" w:hAnsi="仿宋" w:eastAsia="仿宋"/>
          <w:color w:val="000000"/>
        </w:rPr>
      </w:pPr>
      <w:bookmarkStart w:id="153" w:name="_Toc8241"/>
      <w:bookmarkStart w:id="154" w:name="_Toc15396627"/>
      <w:bookmarkStart w:id="155" w:name="_Toc79163644"/>
      <w:bookmarkStart w:id="156" w:name="_Toc11950"/>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153"/>
      <w:bookmarkEnd w:id="154"/>
      <w:bookmarkEnd w:id="155"/>
      <w:bookmarkEnd w:id="156"/>
    </w:p>
    <w:p>
      <w:pPr>
        <w:pStyle w:val="4"/>
        <w:rPr>
          <w:rFonts w:ascii="仿宋" w:hAnsi="仿宋" w:eastAsia="仿宋"/>
          <w:color w:val="000000"/>
        </w:rPr>
      </w:pPr>
      <w:bookmarkStart w:id="157" w:name="_Toc6136"/>
      <w:bookmarkStart w:id="158" w:name="_Toc79163645"/>
      <w:bookmarkStart w:id="159" w:name="_Toc15396628"/>
      <w:bookmarkStart w:id="160" w:name="_Toc20701"/>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157"/>
      <w:bookmarkEnd w:id="158"/>
      <w:bookmarkEnd w:id="159"/>
      <w:bookmarkEnd w:id="160"/>
    </w:p>
    <w:p>
      <w:pPr>
        <w:pStyle w:val="4"/>
        <w:rPr>
          <w:rFonts w:ascii="仿宋" w:hAnsi="仿宋" w:eastAsia="仿宋"/>
          <w:color w:val="000000"/>
        </w:rPr>
      </w:pPr>
      <w:bookmarkStart w:id="161" w:name="_Toc24814"/>
      <w:bookmarkStart w:id="162" w:name="_Toc79163646"/>
      <w:bookmarkStart w:id="163" w:name="_Toc15396629"/>
      <w:bookmarkStart w:id="164" w:name="_Toc27676"/>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161"/>
      <w:bookmarkEnd w:id="162"/>
      <w:bookmarkEnd w:id="163"/>
      <w:bookmarkEnd w:id="164"/>
    </w:p>
    <w:p>
      <w:pPr>
        <w:pStyle w:val="4"/>
        <w:rPr>
          <w:rFonts w:ascii="仿宋" w:hAnsi="仿宋" w:eastAsia="仿宋"/>
          <w:color w:val="000000"/>
        </w:rPr>
      </w:pPr>
      <w:bookmarkStart w:id="165" w:name="_Toc20888"/>
      <w:bookmarkStart w:id="166" w:name="_Toc15396630"/>
      <w:bookmarkStart w:id="167" w:name="_Toc79163647"/>
      <w:bookmarkStart w:id="168" w:name="_Toc9643"/>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165"/>
      <w:bookmarkEnd w:id="166"/>
      <w:bookmarkEnd w:id="167"/>
      <w:bookmarkEnd w:id="168"/>
    </w:p>
    <w:p>
      <w:pPr>
        <w:pStyle w:val="4"/>
        <w:rPr>
          <w:rStyle w:val="26"/>
          <w:rFonts w:ascii="仿宋" w:hAnsi="仿宋" w:eastAsia="仿宋"/>
          <w:b w:val="0"/>
          <w:bCs w:val="0"/>
        </w:rPr>
      </w:pPr>
      <w:bookmarkStart w:id="169" w:name="_Toc79163648"/>
      <w:bookmarkStart w:id="170" w:name="_Toc18345"/>
      <w:bookmarkStart w:id="171" w:name="_Toc15396631"/>
      <w:bookmarkStart w:id="172" w:name="_Toc25869"/>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有资本经营预算财政拨款支出决算表</w:t>
      </w:r>
      <w:bookmarkEnd w:id="169"/>
      <w:bookmarkEnd w:id="170"/>
      <w:bookmarkEnd w:id="171"/>
      <w:bookmarkEnd w:id="172"/>
    </w:p>
    <w:p>
      <w:pPr>
        <w:pStyle w:val="4"/>
        <w:rPr>
          <w:rStyle w:val="26"/>
          <w:rFonts w:ascii="仿宋" w:hAnsi="仿宋" w:eastAsia="仿宋"/>
          <w:b w:val="0"/>
          <w:bCs w:val="0"/>
        </w:rPr>
      </w:pPr>
      <w:bookmarkStart w:id="173" w:name="_Toc79163649"/>
      <w:bookmarkStart w:id="174" w:name="_Toc19767"/>
      <w:bookmarkStart w:id="175" w:name="_Toc30952"/>
      <w:r>
        <w:rPr>
          <w:rStyle w:val="26"/>
          <w:rFonts w:hint="eastAsia" w:ascii="仿宋" w:hAnsi="仿宋" w:eastAsia="仿宋"/>
          <w:b w:val="0"/>
          <w:bCs w:val="0"/>
        </w:rPr>
        <w:t>十四、国有资本经营预算财政拨款支出决算表</w:t>
      </w:r>
      <w:bookmarkEnd w:id="173"/>
      <w:bookmarkEnd w:id="174"/>
      <w:bookmarkEnd w:id="175"/>
    </w:p>
    <w:p>
      <w:pPr>
        <w:pStyle w:val="4"/>
        <w:rPr>
          <w:rStyle w:val="26"/>
          <w:rFonts w:ascii="仿宋" w:hAnsi="仿宋" w:eastAsia="仿宋"/>
          <w:b w:val="0"/>
          <w:bCs w:val="0"/>
        </w:rPr>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
    <w:altName w:val="微软雅黑"/>
    <w:panose1 w:val="00000000000000000000"/>
    <w:charset w:val="00"/>
    <w:family w:val="roman"/>
    <w:pitch w:val="default"/>
    <w:sig w:usb0="00000000" w:usb1="00000000" w:usb2="00000000" w:usb3="00000000" w:csb0="00040001" w:csb1="00000000"/>
  </w:font>
  <w:font w:name="方正小标宋简体">
    <w:altName w:val="Arial Unicode MS"/>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PAGE   \* MERGEFORMAT</w:instrText>
    </w:r>
    <w:r>
      <w:fldChar w:fldCharType="separate"/>
    </w:r>
    <w:r>
      <w:rPr>
        <w:lang w:val="zh-CN"/>
      </w:rPr>
      <w:t>3</w:t>
    </w:r>
    <w: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DC869954"/>
    <w:multiLevelType w:val="singleLevel"/>
    <w:tmpl w:val="DC869954"/>
    <w:lvl w:ilvl="0" w:tentative="0">
      <w:start w:val="2"/>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3">
    <w:nsid w:val="EF8A5224"/>
    <w:multiLevelType w:val="singleLevel"/>
    <w:tmpl w:val="EF8A5224"/>
    <w:lvl w:ilvl="0" w:tentative="0">
      <w:start w:val="2"/>
      <w:numFmt w:val="chineseCounting"/>
      <w:suff w:val="nothing"/>
      <w:lvlText w:val="（%1）"/>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5">
    <w:nsid w:val="1CC637A8"/>
    <w:multiLevelType w:val="singleLevel"/>
    <w:tmpl w:val="1CC637A8"/>
    <w:lvl w:ilvl="0" w:tentative="0">
      <w:start w:val="2"/>
      <w:numFmt w:val="chineseCounting"/>
      <w:suff w:val="nothing"/>
      <w:lvlText w:val="（%1）"/>
      <w:lvlJc w:val="left"/>
      <w:rPr>
        <w:rFonts w:hint="eastAsia"/>
      </w:rPr>
    </w:lvl>
  </w:abstractNum>
  <w:abstractNum w:abstractNumId="6">
    <w:nsid w:val="4B761E28"/>
    <w:multiLevelType w:val="singleLevel"/>
    <w:tmpl w:val="4B761E28"/>
    <w:lvl w:ilvl="0" w:tentative="0">
      <w:start w:val="1"/>
      <w:numFmt w:val="decimal"/>
      <w:lvlText w:val="%1."/>
      <w:lvlJc w:val="left"/>
      <w:pPr>
        <w:tabs>
          <w:tab w:val="left" w:pos="312"/>
        </w:tabs>
      </w:pPr>
    </w:lvl>
  </w:abstractNum>
  <w:num w:numId="1">
    <w:abstractNumId w:val="4"/>
  </w:num>
  <w:num w:numId="2">
    <w:abstractNumId w:val="0"/>
  </w:num>
  <w:num w:numId="3">
    <w:abstractNumId w:val="2"/>
  </w:num>
  <w:num w:numId="4">
    <w:abstractNumId w:val="3"/>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NhYzBiNDRlNWJlZDJlZTVhMDIxYTgzYjU5ZjczMz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23A4"/>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3A10CAA"/>
    <w:rsid w:val="08275299"/>
    <w:rsid w:val="087307F4"/>
    <w:rsid w:val="08C926D6"/>
    <w:rsid w:val="0A2032A3"/>
    <w:rsid w:val="0D8E52D3"/>
    <w:rsid w:val="0F046CBD"/>
    <w:rsid w:val="10075607"/>
    <w:rsid w:val="10C055FF"/>
    <w:rsid w:val="118107EC"/>
    <w:rsid w:val="15C7222F"/>
    <w:rsid w:val="16BB723D"/>
    <w:rsid w:val="1AA845F8"/>
    <w:rsid w:val="1D155CEE"/>
    <w:rsid w:val="1DF7134E"/>
    <w:rsid w:val="20246111"/>
    <w:rsid w:val="20DB23A2"/>
    <w:rsid w:val="240371BF"/>
    <w:rsid w:val="24B766BA"/>
    <w:rsid w:val="24FB3B7F"/>
    <w:rsid w:val="25675C3B"/>
    <w:rsid w:val="267A6ADA"/>
    <w:rsid w:val="29D049D8"/>
    <w:rsid w:val="29D22FBE"/>
    <w:rsid w:val="29FD04D3"/>
    <w:rsid w:val="2C1176BC"/>
    <w:rsid w:val="2E2C30F3"/>
    <w:rsid w:val="2E4274A6"/>
    <w:rsid w:val="2FE5691D"/>
    <w:rsid w:val="31394A62"/>
    <w:rsid w:val="319F7F4E"/>
    <w:rsid w:val="32EA7018"/>
    <w:rsid w:val="33FE724E"/>
    <w:rsid w:val="34DF4849"/>
    <w:rsid w:val="36E8367A"/>
    <w:rsid w:val="379944E5"/>
    <w:rsid w:val="37E11CE5"/>
    <w:rsid w:val="37E47FCD"/>
    <w:rsid w:val="38286E97"/>
    <w:rsid w:val="3A827A71"/>
    <w:rsid w:val="3B8A10B8"/>
    <w:rsid w:val="3C040FCE"/>
    <w:rsid w:val="3CC602FD"/>
    <w:rsid w:val="3D13648F"/>
    <w:rsid w:val="3DEB4A20"/>
    <w:rsid w:val="3DFF377D"/>
    <w:rsid w:val="3E846EBC"/>
    <w:rsid w:val="40AB3C53"/>
    <w:rsid w:val="42872AF7"/>
    <w:rsid w:val="42A2600C"/>
    <w:rsid w:val="43505B3F"/>
    <w:rsid w:val="44D47391"/>
    <w:rsid w:val="47DB6D0E"/>
    <w:rsid w:val="484731A3"/>
    <w:rsid w:val="4967028A"/>
    <w:rsid w:val="49833CCC"/>
    <w:rsid w:val="4A3D5A9D"/>
    <w:rsid w:val="4B3F2C12"/>
    <w:rsid w:val="4C8B4FBA"/>
    <w:rsid w:val="4ECE2238"/>
    <w:rsid w:val="50FC4A40"/>
    <w:rsid w:val="525B32AE"/>
    <w:rsid w:val="52AD3CE5"/>
    <w:rsid w:val="534034E0"/>
    <w:rsid w:val="5471371F"/>
    <w:rsid w:val="54C5467D"/>
    <w:rsid w:val="57116D58"/>
    <w:rsid w:val="57B92279"/>
    <w:rsid w:val="5937763B"/>
    <w:rsid w:val="59852A18"/>
    <w:rsid w:val="5A9F16DA"/>
    <w:rsid w:val="5B9D3B40"/>
    <w:rsid w:val="5BE00821"/>
    <w:rsid w:val="5C9913A9"/>
    <w:rsid w:val="5D866C59"/>
    <w:rsid w:val="5FEB1A8D"/>
    <w:rsid w:val="61985A73"/>
    <w:rsid w:val="61C131D0"/>
    <w:rsid w:val="64042369"/>
    <w:rsid w:val="645143FC"/>
    <w:rsid w:val="652C109E"/>
    <w:rsid w:val="67A27F96"/>
    <w:rsid w:val="67BF1469"/>
    <w:rsid w:val="6C4A05C8"/>
    <w:rsid w:val="6D0F23AD"/>
    <w:rsid w:val="715614D9"/>
    <w:rsid w:val="71C95DDE"/>
    <w:rsid w:val="71E27617"/>
    <w:rsid w:val="72410278"/>
    <w:rsid w:val="72734D90"/>
    <w:rsid w:val="733C2D0F"/>
    <w:rsid w:val="73DE4104"/>
    <w:rsid w:val="782B25B6"/>
    <w:rsid w:val="78B149FE"/>
    <w:rsid w:val="7A670234"/>
    <w:rsid w:val="7CB472CE"/>
    <w:rsid w:val="7E470FBA"/>
    <w:rsid w:val="7ED87BAA"/>
    <w:rsid w:val="7EE50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27"/>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cs="Times New Roman"/>
      <w:szCs w:val="28"/>
    </w:rPr>
  </w:style>
  <w:style w:type="paragraph" w:styleId="6">
    <w:name w:val="toc 7"/>
    <w:basedOn w:val="1"/>
    <w:next w:val="1"/>
    <w:unhideWhenUsed/>
    <w:qFormat/>
    <w:uiPriority w:val="39"/>
    <w:pPr>
      <w:ind w:left="1260"/>
      <w:jc w:val="left"/>
    </w:pPr>
    <w:rPr>
      <w:rFonts w:asciiTheme="minorHAnsi" w:eastAsiaTheme="minorHAnsi"/>
      <w:sz w:val="18"/>
      <w:szCs w:val="18"/>
    </w:rPr>
  </w:style>
  <w:style w:type="paragraph" w:styleId="7">
    <w:name w:val="Body Text"/>
    <w:basedOn w:val="1"/>
    <w:link w:val="34"/>
    <w:qFormat/>
    <w:uiPriority w:val="99"/>
    <w:pPr>
      <w:spacing w:beforeLines="30"/>
    </w:pPr>
    <w:rPr>
      <w:rFonts w:ascii="仿宋_GB2312" w:eastAsia="仿宋_GB2312"/>
      <w:kern w:val="0"/>
      <w:sz w:val="24"/>
      <w:szCs w:val="20"/>
      <w:lang w:val="zh-CN" w:eastAsia="zh-CN"/>
    </w:rPr>
  </w:style>
  <w:style w:type="paragraph" w:styleId="8">
    <w:name w:val="toc 5"/>
    <w:basedOn w:val="1"/>
    <w:next w:val="1"/>
    <w:unhideWhenUsed/>
    <w:qFormat/>
    <w:uiPriority w:val="39"/>
    <w:pPr>
      <w:ind w:left="840"/>
      <w:jc w:val="left"/>
    </w:pPr>
    <w:rPr>
      <w:rFonts w:asciiTheme="minorHAnsi" w:eastAsiaTheme="minorHAnsi"/>
      <w:sz w:val="18"/>
      <w:szCs w:val="18"/>
    </w:rPr>
  </w:style>
  <w:style w:type="paragraph" w:styleId="9">
    <w:name w:val="toc 3"/>
    <w:basedOn w:val="1"/>
    <w:next w:val="1"/>
    <w:unhideWhenUsed/>
    <w:qFormat/>
    <w:uiPriority w:val="39"/>
    <w:pPr>
      <w:ind w:left="420"/>
      <w:jc w:val="left"/>
    </w:pPr>
    <w:rPr>
      <w:rFonts w:asciiTheme="minorHAnsi" w:eastAsiaTheme="minorHAnsi"/>
      <w:i/>
      <w:iCs/>
      <w:sz w:val="20"/>
      <w:szCs w:val="20"/>
    </w:rPr>
  </w:style>
  <w:style w:type="paragraph" w:styleId="10">
    <w:name w:val="toc 8"/>
    <w:basedOn w:val="1"/>
    <w:next w:val="1"/>
    <w:unhideWhenUsed/>
    <w:qFormat/>
    <w:uiPriority w:val="39"/>
    <w:pPr>
      <w:ind w:left="1470"/>
      <w:jc w:val="left"/>
    </w:pPr>
    <w:rPr>
      <w:rFonts w:asciiTheme="minorHAnsi" w:eastAsiaTheme="minorHAnsi"/>
      <w:sz w:val="18"/>
      <w:szCs w:val="18"/>
    </w:rPr>
  </w:style>
  <w:style w:type="paragraph" w:styleId="11">
    <w:name w:val="Balloon Text"/>
    <w:basedOn w:val="1"/>
    <w:link w:val="29"/>
    <w:semiHidden/>
    <w:unhideWhenUsed/>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3">
    <w:name w:val="header"/>
    <w:basedOn w:val="1"/>
    <w:link w:val="32"/>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4">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5">
    <w:name w:val="toc 4"/>
    <w:basedOn w:val="1"/>
    <w:next w:val="1"/>
    <w:unhideWhenUsed/>
    <w:qFormat/>
    <w:uiPriority w:val="39"/>
    <w:pPr>
      <w:ind w:left="630"/>
      <w:jc w:val="left"/>
    </w:pPr>
    <w:rPr>
      <w:rFonts w:asciiTheme="minorHAnsi" w:eastAsiaTheme="minorHAnsi"/>
      <w:sz w:val="18"/>
      <w:szCs w:val="18"/>
    </w:rPr>
  </w:style>
  <w:style w:type="paragraph" w:styleId="16">
    <w:name w:val="toc 6"/>
    <w:basedOn w:val="1"/>
    <w:next w:val="1"/>
    <w:unhideWhenUsed/>
    <w:qFormat/>
    <w:uiPriority w:val="39"/>
    <w:pPr>
      <w:ind w:left="1050"/>
      <w:jc w:val="left"/>
    </w:pPr>
    <w:rPr>
      <w:rFonts w:asciiTheme="minorHAnsi" w:eastAsiaTheme="minorHAnsi"/>
      <w:sz w:val="18"/>
      <w:szCs w:val="18"/>
    </w:rPr>
  </w:style>
  <w:style w:type="paragraph" w:styleId="17">
    <w:name w:val="toc 2"/>
    <w:basedOn w:val="1"/>
    <w:next w:val="1"/>
    <w:unhideWhenUsed/>
    <w:qFormat/>
    <w:uiPriority w:val="39"/>
    <w:pPr>
      <w:ind w:left="210"/>
      <w:jc w:val="left"/>
    </w:pPr>
    <w:rPr>
      <w:rFonts w:asciiTheme="minorHAnsi" w:eastAsiaTheme="minorHAnsi"/>
      <w:smallCaps/>
      <w:sz w:val="20"/>
      <w:szCs w:val="20"/>
    </w:rPr>
  </w:style>
  <w:style w:type="paragraph" w:styleId="18">
    <w:name w:val="toc 9"/>
    <w:basedOn w:val="1"/>
    <w:next w:val="1"/>
    <w:unhideWhenUsed/>
    <w:qFormat/>
    <w:uiPriority w:val="39"/>
    <w:pPr>
      <w:ind w:left="1680"/>
      <w:jc w:val="left"/>
    </w:pPr>
    <w:rPr>
      <w:rFonts w:asciiTheme="minorHAnsi" w:eastAsiaTheme="minorHAnsi"/>
      <w:sz w:val="18"/>
      <w:szCs w:val="18"/>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character" w:customStyle="1" w:styleId="25">
    <w:name w:val="标题 1 字符"/>
    <w:basedOn w:val="22"/>
    <w:link w:val="3"/>
    <w:qFormat/>
    <w:locked/>
    <w:uiPriority w:val="9"/>
    <w:rPr>
      <w:rFonts w:ascii="Times New Roman" w:hAnsi="Times New Roman" w:cs="Times New Roman"/>
      <w:b/>
      <w:bCs/>
      <w:kern w:val="44"/>
      <w:sz w:val="44"/>
      <w:szCs w:val="44"/>
    </w:rPr>
  </w:style>
  <w:style w:type="character" w:customStyle="1" w:styleId="26">
    <w:name w:val="标题 2 字符"/>
    <w:basedOn w:val="22"/>
    <w:link w:val="4"/>
    <w:qFormat/>
    <w:locked/>
    <w:uiPriority w:val="9"/>
    <w:rPr>
      <w:rFonts w:ascii="Cambria" w:hAnsi="Cambria" w:eastAsia="宋体" w:cs="Times New Roman"/>
      <w:b/>
      <w:bCs/>
      <w:kern w:val="2"/>
      <w:sz w:val="32"/>
      <w:szCs w:val="32"/>
    </w:rPr>
  </w:style>
  <w:style w:type="character" w:customStyle="1" w:styleId="27">
    <w:name w:val="标题 3 字符"/>
    <w:basedOn w:val="22"/>
    <w:link w:val="5"/>
    <w:qFormat/>
    <w:locked/>
    <w:uiPriority w:val="9"/>
    <w:rPr>
      <w:rFonts w:ascii="Times New Roman" w:hAnsi="Times New Roman" w:cs="Times New Roman"/>
      <w:b/>
      <w:bCs/>
      <w:kern w:val="2"/>
      <w:sz w:val="32"/>
      <w:szCs w:val="32"/>
    </w:rPr>
  </w:style>
  <w:style w:type="character" w:customStyle="1" w:styleId="28">
    <w:name w:val="Body Text Char"/>
    <w:basedOn w:val="22"/>
    <w:semiHidden/>
    <w:qFormat/>
    <w:uiPriority w:val="99"/>
    <w:rPr>
      <w:rFonts w:ascii="Times New Roman" w:hAnsi="Times New Roman" w:cs="Times New Roman"/>
      <w:sz w:val="24"/>
      <w:szCs w:val="24"/>
    </w:rPr>
  </w:style>
  <w:style w:type="character" w:customStyle="1" w:styleId="29">
    <w:name w:val="批注框文本 字符"/>
    <w:basedOn w:val="22"/>
    <w:link w:val="11"/>
    <w:semiHidden/>
    <w:qFormat/>
    <w:locked/>
    <w:uiPriority w:val="99"/>
    <w:rPr>
      <w:rFonts w:ascii="Times New Roman" w:hAnsi="Times New Roman" w:cs="Times New Roman"/>
      <w:kern w:val="2"/>
      <w:sz w:val="18"/>
      <w:szCs w:val="18"/>
    </w:rPr>
  </w:style>
  <w:style w:type="character" w:customStyle="1" w:styleId="30">
    <w:name w:val="Footer Char"/>
    <w:basedOn w:val="22"/>
    <w:semiHidden/>
    <w:qFormat/>
    <w:uiPriority w:val="99"/>
    <w:rPr>
      <w:rFonts w:ascii="Times New Roman" w:hAnsi="Times New Roman" w:cs="Times New Roman"/>
      <w:sz w:val="18"/>
      <w:szCs w:val="18"/>
    </w:rPr>
  </w:style>
  <w:style w:type="character" w:customStyle="1" w:styleId="31">
    <w:name w:val="Header Char"/>
    <w:basedOn w:val="22"/>
    <w:semiHidden/>
    <w:qFormat/>
    <w:uiPriority w:val="99"/>
    <w:rPr>
      <w:rFonts w:ascii="Times New Roman" w:hAnsi="Times New Roman" w:cs="Times New Roman"/>
      <w:sz w:val="18"/>
      <w:szCs w:val="18"/>
    </w:rPr>
  </w:style>
  <w:style w:type="character" w:customStyle="1" w:styleId="32">
    <w:name w:val="页眉 字符"/>
    <w:link w:val="13"/>
    <w:semiHidden/>
    <w:qFormat/>
    <w:locked/>
    <w:uiPriority w:val="99"/>
    <w:rPr>
      <w:sz w:val="18"/>
    </w:rPr>
  </w:style>
  <w:style w:type="character" w:customStyle="1" w:styleId="33">
    <w:name w:val="页脚 字符"/>
    <w:link w:val="12"/>
    <w:qFormat/>
    <w:locked/>
    <w:uiPriority w:val="99"/>
    <w:rPr>
      <w:sz w:val="18"/>
    </w:rPr>
  </w:style>
  <w:style w:type="character" w:customStyle="1" w:styleId="34">
    <w:name w:val="正文文本 字符"/>
    <w:link w:val="7"/>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6">
    <w:name w:val="列表段落1"/>
    <w:basedOn w:val="1"/>
    <w:qFormat/>
    <w:uiPriority w:val="34"/>
    <w:pPr>
      <w:ind w:firstLine="420" w:firstLineChars="200"/>
    </w:pPr>
  </w:style>
  <w:style w:type="paragraph" w:customStyle="1" w:styleId="37">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40">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4</a:t>
            </a:r>
            <a:r>
              <a:t>年与202</a:t>
            </a:r>
            <a:r>
              <a:rPr lang="en-US" altLang="zh-CN"/>
              <a:t>5</a:t>
            </a:r>
            <a:r>
              <a:t>年收入、支出对比图   </a:t>
            </a:r>
          </a:p>
        </c:rich>
      </c:tx>
      <c:layout/>
      <c:overlay val="0"/>
      <c:spPr>
        <a:noFill/>
        <a:ln>
          <a:noFill/>
        </a:ln>
        <a:effectLst/>
      </c:spPr>
    </c:title>
    <c:autoTitleDeleted val="0"/>
    <c:plotArea>
      <c:layout>
        <c:manualLayout>
          <c:layoutTarget val="inner"/>
          <c:xMode val="edge"/>
          <c:yMode val="edge"/>
          <c:x val="0.100130680993176"/>
          <c:y val="0.222905027932961"/>
          <c:w val="0.867925076230579"/>
          <c:h val="0.511284916201117"/>
        </c:manualLayout>
      </c:layout>
      <c:barChart>
        <c:barDir val="col"/>
        <c:grouping val="clustered"/>
        <c:varyColors val="0"/>
        <c:ser>
          <c:idx val="0"/>
          <c:order val="0"/>
          <c:tx>
            <c:strRef>
              <c:f>Sheet1!$B$1</c:f>
              <c:strCache>
                <c:ptCount val="1"/>
                <c:pt idx="0">
                  <c:v>2024年与2025年收入、支出对比图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2024年</c:v>
                </c:pt>
                <c:pt idx="2">
                  <c:v>2025年</c:v>
                </c:pt>
                <c:pt idx="3">
                  <c:v>2025年</c:v>
                </c:pt>
              </c:strCache>
            </c:strRef>
          </c:cat>
          <c:val>
            <c:numRef>
              <c:f>Sheet1!$B$2:$B$5</c:f>
              <c:numCache>
                <c:formatCode>General</c:formatCode>
                <c:ptCount val="4"/>
                <c:pt idx="0">
                  <c:v>2030.02</c:v>
                </c:pt>
                <c:pt idx="1">
                  <c:v>2030.02</c:v>
                </c:pt>
                <c:pt idx="2">
                  <c:v>2046.91</c:v>
                </c:pt>
                <c:pt idx="3">
                  <c:v>2046.91</c:v>
                </c:pt>
              </c:numCache>
            </c:numRef>
          </c:val>
        </c:ser>
        <c:dLbls>
          <c:showLegendKey val="0"/>
          <c:showVal val="1"/>
          <c:showCatName val="0"/>
          <c:showSerName val="0"/>
          <c:showPercent val="0"/>
          <c:showBubbleSize val="0"/>
        </c:dLbls>
        <c:gapWidth val="246"/>
        <c:overlap val="-28"/>
        <c:axId val="18656993"/>
        <c:axId val="468851114"/>
      </c:barChart>
      <c:catAx>
        <c:axId val="1865699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851114"/>
        <c:crosses val="autoZero"/>
        <c:auto val="1"/>
        <c:lblAlgn val="ctr"/>
        <c:lblOffset val="100"/>
        <c:noMultiLvlLbl val="0"/>
      </c:catAx>
      <c:valAx>
        <c:axId val="46885111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569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收入决算情况结构图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1"/>
              <c:layout>
                <c:manualLayout>
                  <c:x val="-0.0601889375184665"/>
                  <c:y val="0.012552471263981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其他收入</c:v>
                </c:pt>
                <c:pt idx="2">
                  <c:v>年初结转结余</c:v>
                </c:pt>
              </c:strCache>
            </c:strRef>
          </c:cat>
          <c:val>
            <c:numRef>
              <c:f>Sheet1!$B$2:$B$4</c:f>
              <c:numCache>
                <c:formatCode>General</c:formatCode>
                <c:ptCount val="3"/>
                <c:pt idx="0">
                  <c:v>2046.61</c:v>
                </c:pt>
                <c:pt idx="1">
                  <c:v>8.23</c:v>
                </c:pt>
                <c:pt idx="2">
                  <c:v>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sz="1600"/>
              <a:t>2024</a:t>
            </a:r>
            <a:r>
              <a:rPr altLang="en-US" sz="1600"/>
              <a:t>年</a:t>
            </a:r>
            <a:r>
              <a:rPr sz="1600"/>
              <a:t>支出决算结构图</a:t>
            </a:r>
            <a:r>
              <a:rPr lang="en-US" altLang="zh-CN" sz="1600"/>
              <a:t> </a:t>
            </a:r>
            <a:r>
              <a:rPr lang="en-US" altLang="zh-CN"/>
              <a:t>             </a:t>
            </a:r>
            <a:endParaRPr lang="en-US" altLang="zh-CN"/>
          </a:p>
          <a:p>
            <a:pPr defTabSz="914400">
              <a:defRPr lang="zh-CN" sz="1400" b="1" i="0" u="none" strike="noStrike" kern="1200" baseline="0">
                <a:solidFill>
                  <a:schemeClr val="tx1">
                    <a:lumMod val="75000"/>
                    <a:lumOff val="25000"/>
                  </a:schemeClr>
                </a:solidFill>
                <a:latin typeface="+mn-lt"/>
                <a:ea typeface="+mn-ea"/>
                <a:cs typeface="+mn-cs"/>
              </a:defRPr>
            </a:pPr>
            <a:r>
              <a:rPr altLang="zh-CN" sz="1000"/>
              <a:t>（单位：万元）</a:t>
            </a:r>
            <a:endParaRPr altLang="zh-CN" sz="1000"/>
          </a:p>
        </c:rich>
      </c:tx>
      <c:layout/>
      <c:overlay val="0"/>
      <c:spPr>
        <a:noFill/>
        <a:ln>
          <a:noFill/>
        </a:ln>
        <a:effectLst/>
      </c:spPr>
    </c:title>
    <c:autoTitleDeleted val="0"/>
    <c:plotArea>
      <c:layout/>
      <c:pieChart>
        <c:varyColors val="1"/>
        <c:ser>
          <c:idx val="0"/>
          <c:order val="0"/>
          <c:tx>
            <c:strRef>
              <c:f>Sheet1!$B$1</c:f>
              <c:strCache>
                <c:ptCount val="1"/>
                <c:pt idx="0">
                  <c:v>支出决算情况</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1386.38</c:v>
                </c:pt>
                <c:pt idx="1">
                  <c:v>660.03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2024</a:t>
            </a:r>
            <a:r>
              <a:rPr altLang="en-US"/>
              <a:t>年与</a:t>
            </a:r>
            <a:r>
              <a:rPr lang="en-US" altLang="zh-CN"/>
              <a:t>2025</a:t>
            </a:r>
            <a:r>
              <a:rPr altLang="en-US"/>
              <a:t>年财政拨款收入、支出对比图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2024年财政拨款收入、支出</c:v>
                </c:pt>
                <c:pt idx="1">
                  <c:v>2025年财政拨款收入、支出</c:v>
                </c:pt>
              </c:strCache>
            </c:strRef>
          </c:cat>
          <c:val>
            <c:numRef>
              <c:f>Sheet1!$B$2:$B$3</c:f>
              <c:numCache>
                <c:formatCode>General</c:formatCode>
                <c:ptCount val="2"/>
                <c:pt idx="0">
                  <c:v>1895.89</c:v>
                </c:pt>
                <c:pt idx="1">
                  <c:v>2038.18</c:v>
                </c:pt>
              </c:numCache>
            </c:numRef>
          </c:val>
        </c:ser>
        <c:dLbls>
          <c:showLegendKey val="0"/>
          <c:showVal val="1"/>
          <c:showCatName val="0"/>
          <c:showSerName val="0"/>
          <c:showPercent val="0"/>
          <c:showBubbleSize val="0"/>
        </c:dLbls>
        <c:gapWidth val="246"/>
        <c:overlap val="-28"/>
        <c:axId val="618130177"/>
        <c:axId val="619439734"/>
      </c:barChart>
      <c:catAx>
        <c:axId val="6181301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9439734"/>
        <c:crosses val="autoZero"/>
        <c:auto val="1"/>
        <c:lblAlgn val="ctr"/>
        <c:lblOffset val="100"/>
        <c:noMultiLvlLbl val="0"/>
      </c:catAx>
      <c:valAx>
        <c:axId val="61943973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81301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2024</a:t>
            </a:r>
            <a:r>
              <a:rPr altLang="en-US"/>
              <a:t>年与</a:t>
            </a:r>
            <a:r>
              <a:rPr lang="en-US" altLang="zh-CN"/>
              <a:t>2025</a:t>
            </a:r>
            <a:r>
              <a:rPr altLang="en-US"/>
              <a:t>年一般公共预算支出对比图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2024年支出</c:v>
                </c:pt>
                <c:pt idx="1">
                  <c:v>2025年支出</c:v>
                </c:pt>
              </c:strCache>
            </c:strRef>
          </c:cat>
          <c:val>
            <c:numRef>
              <c:f>Sheet1!$B$2:$B$3</c:f>
              <c:numCache>
                <c:formatCode>General</c:formatCode>
                <c:ptCount val="2"/>
                <c:pt idx="0">
                  <c:v>1895.89</c:v>
                </c:pt>
                <c:pt idx="1">
                  <c:v>2038.18</c:v>
                </c:pt>
              </c:numCache>
            </c:numRef>
          </c:val>
        </c:ser>
        <c:dLbls>
          <c:showLegendKey val="0"/>
          <c:showVal val="1"/>
          <c:showCatName val="0"/>
          <c:showSerName val="0"/>
          <c:showPercent val="0"/>
          <c:showBubbleSize val="0"/>
        </c:dLbls>
        <c:gapWidth val="246"/>
        <c:overlap val="-28"/>
        <c:axId val="399637205"/>
        <c:axId val="110008481"/>
      </c:barChart>
      <c:catAx>
        <c:axId val="3996372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0008481"/>
        <c:crosses val="autoZero"/>
        <c:auto val="1"/>
        <c:lblAlgn val="ctr"/>
        <c:lblOffset val="100"/>
        <c:noMultiLvlLbl val="0"/>
      </c:catAx>
      <c:valAx>
        <c:axId val="11000848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96372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一般公共预算财政拨款支出决算结构情况表</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 </c:v>
                </c:pt>
                <c:pt idx="1">
                  <c:v>一般公共服务</c:v>
                </c:pt>
                <c:pt idx="2">
                  <c:v>社会保障和就业</c:v>
                </c:pt>
                <c:pt idx="3">
                  <c:v>卫生健康支出</c:v>
                </c:pt>
                <c:pt idx="4">
                  <c:v>住房保障支出</c:v>
                </c:pt>
              </c:strCache>
            </c:strRef>
          </c:cat>
          <c:val>
            <c:numRef>
              <c:f>Sheet1!$B$2:$B$6</c:f>
              <c:numCache>
                <c:formatCode>General</c:formatCode>
                <c:ptCount val="5"/>
                <c:pt idx="0">
                  <c:v>0</c:v>
                </c:pt>
                <c:pt idx="1">
                  <c:v>1765.12</c:v>
                </c:pt>
                <c:pt idx="2">
                  <c:v>136.57</c:v>
                </c:pt>
                <c:pt idx="3">
                  <c:v>58.51</c:v>
                </c:pt>
                <c:pt idx="4">
                  <c:v>77.98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zh-CN"/>
              <a:t>三公经费财政拨款支出结构</a:t>
            </a:r>
            <a:endParaRPr altLang="zh-CN"/>
          </a:p>
        </c:rich>
      </c:tx>
      <c:layout>
        <c:manualLayout>
          <c:xMode val="edge"/>
          <c:yMode val="edge"/>
          <c:x val="0.29667903197315"/>
          <c:y val="0.025089605734767"/>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87.67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因公出国（境）费支出</c:v>
                </c:pt>
                <c:pt idx="1">
                  <c:v>公务用车购置及运行维护费</c:v>
                </c:pt>
                <c:pt idx="2">
                  <c:v>公务接待费支出决算</c:v>
                </c:pt>
              </c:strCache>
            </c:strRef>
          </c:cat>
          <c:val>
            <c:numRef>
              <c:f>Sheet1!$B$2:$B$5</c:f>
              <c:numCache>
                <c:formatCode>General</c:formatCode>
                <c:ptCount val="4"/>
                <c:pt idx="0">
                  <c:v>0</c:v>
                </c:pt>
                <c:pt idx="1">
                  <c:v>87.67</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28</Pages>
  <Words>9238</Words>
  <Characters>9980</Characters>
  <Lines>74</Lines>
  <Paragraphs>21</Paragraphs>
  <TotalTime>4</TotalTime>
  <ScaleCrop>false</ScaleCrop>
  <LinksUpToDate>false</LinksUpToDate>
  <CharactersWithSpaces>10089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PCPC</cp:lastModifiedBy>
  <cp:lastPrinted>2025-10-15T06:41:00Z</cp:lastPrinted>
  <dcterms:modified xsi:type="dcterms:W3CDTF">2026-10-14T07:56:14Z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47A3EF882DF547BFB17FD83DBF137A40_13</vt:lpwstr>
  </property>
  <property fmtid="{D5CDD505-2E9C-101B-9397-08002B2CF9AE}" pid="4" name="KSOTemplateDocerSaveRecord">
    <vt:lpwstr>eyJoZGlkIjoiZWQzMDM1YTI3ZjRiZTI5Mjc2ZDhiZmYxMGJkYjZhOTQiLCJ1c2VySWQiOiIxNDM1NjM3ODk5In0=</vt:lpwstr>
  </property>
</Properties>
</file>