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BE76CA">
      <w:pPr>
        <w:pageBreakBefore w:val="0"/>
        <w:kinsoku/>
        <w:wordWrap/>
        <w:overflowPunct/>
        <w:topLinePunct w:val="0"/>
        <w:bidi w:val="0"/>
        <w:spacing w:line="576" w:lineRule="exact"/>
        <w:jc w:val="center"/>
        <w:outlineLvl w:val="0"/>
        <w:rPr>
          <w:rFonts w:ascii="方正小标宋简体" w:hAnsi="宋体" w:eastAsia="方正小标宋简体"/>
          <w:color w:val="000000"/>
          <w:sz w:val="72"/>
          <w:szCs w:val="72"/>
        </w:rPr>
      </w:pPr>
      <w:bookmarkStart w:id="0" w:name="_Toc15306267"/>
    </w:p>
    <w:bookmarkEnd w:id="0"/>
    <w:p w14:paraId="6E51A944">
      <w:pPr>
        <w:pageBreakBefore w:val="0"/>
        <w:kinsoku/>
        <w:wordWrap/>
        <w:overflowPunct/>
        <w:topLinePunct w:val="0"/>
        <w:bidi w:val="0"/>
        <w:spacing w:line="576" w:lineRule="exact"/>
        <w:jc w:val="both"/>
        <w:outlineLvl w:val="0"/>
        <w:rPr>
          <w:rFonts w:ascii="方正小标宋简体" w:hAnsi="宋体" w:eastAsia="方正小标宋简体"/>
          <w:color w:val="auto"/>
          <w:sz w:val="72"/>
          <w:szCs w:val="72"/>
          <w:highlight w:val="none"/>
        </w:rPr>
      </w:pPr>
      <w:bookmarkStart w:id="71" w:name="_GoBack"/>
      <w:bookmarkEnd w:id="71"/>
      <w:bookmarkStart w:id="1" w:name="_Toc15396597"/>
      <w:bookmarkStart w:id="2" w:name="_Toc15378441"/>
      <w:bookmarkStart w:id="3" w:name="_Toc15377425"/>
      <w:bookmarkStart w:id="4" w:name="_Toc15377193"/>
      <w:bookmarkStart w:id="5" w:name="_Toc15396475"/>
    </w:p>
    <w:p w14:paraId="2B47A38A">
      <w:pPr>
        <w:pStyle w:val="2"/>
        <w:rPr>
          <w:rFonts w:ascii="方正小标宋简体" w:hAnsi="宋体" w:eastAsia="方正小标宋简体"/>
          <w:color w:val="auto"/>
          <w:sz w:val="72"/>
          <w:szCs w:val="72"/>
          <w:highlight w:val="none"/>
        </w:rPr>
      </w:pPr>
    </w:p>
    <w:p w14:paraId="2F5D0502"/>
    <w:bookmarkEnd w:id="1"/>
    <w:bookmarkEnd w:id="2"/>
    <w:bookmarkEnd w:id="3"/>
    <w:bookmarkEnd w:id="4"/>
    <w:bookmarkEnd w:id="5"/>
    <w:p w14:paraId="6823EE15">
      <w:pPr>
        <w:keepNext w:val="0"/>
        <w:keepLines w:val="0"/>
        <w:pageBreakBefore w:val="0"/>
        <w:widowControl w:val="0"/>
        <w:kinsoku/>
        <w:wordWrap/>
        <w:overflowPunct/>
        <w:topLinePunct w:val="0"/>
        <w:autoSpaceDE/>
        <w:autoSpaceDN/>
        <w:bidi w:val="0"/>
        <w:spacing w:line="576" w:lineRule="exact"/>
        <w:jc w:val="both"/>
        <w:textAlignment w:val="auto"/>
        <w:outlineLvl w:val="0"/>
        <w:rPr>
          <w:rFonts w:ascii="方正小标宋简体" w:hAnsi="宋体" w:eastAsia="方正小标宋简体"/>
          <w:color w:val="auto"/>
          <w:sz w:val="72"/>
          <w:szCs w:val="72"/>
          <w:highlight w:val="none"/>
        </w:rPr>
      </w:pPr>
    </w:p>
    <w:p w14:paraId="1AD79F02">
      <w:pPr>
        <w:keepNext w:val="0"/>
        <w:keepLines w:val="0"/>
        <w:pageBreakBefore w:val="0"/>
        <w:widowControl w:val="0"/>
        <w:kinsoku/>
        <w:wordWrap/>
        <w:overflowPunct/>
        <w:topLinePunct w:val="0"/>
        <w:bidi w:val="0"/>
        <w:snapToGrid/>
        <w:spacing w:line="576" w:lineRule="exact"/>
        <w:jc w:val="center"/>
        <w:textAlignment w:val="auto"/>
        <w:rPr>
          <w:rFonts w:hint="eastAsia" w:ascii="方正小标宋简体" w:hAnsi="方正小标宋简体" w:eastAsia="方正小标宋简体" w:cs="方正小标宋简体"/>
          <w:sz w:val="52"/>
          <w:szCs w:val="52"/>
          <w:lang w:eastAsia="zh-CN"/>
        </w:rPr>
      </w:pPr>
      <w:bookmarkStart w:id="6" w:name="_Toc15396476"/>
      <w:bookmarkStart w:id="7" w:name="_Toc15396598"/>
      <w:bookmarkStart w:id="8" w:name="_Toc15378442"/>
      <w:bookmarkStart w:id="9" w:name="_Toc15377426"/>
      <w:bookmarkStart w:id="10" w:name="_Toc15306268"/>
      <w:bookmarkStart w:id="11" w:name="_Toc15377194"/>
      <w:r>
        <w:rPr>
          <w:rFonts w:hint="eastAsia" w:ascii="方正小标宋简体" w:hAnsi="方正小标宋简体" w:eastAsia="方正小标宋简体" w:cs="方正小标宋简体"/>
          <w:sz w:val="52"/>
          <w:szCs w:val="52"/>
        </w:rPr>
        <w:t>小金县统计局</w:t>
      </w:r>
      <w:bookmarkEnd w:id="6"/>
      <w:bookmarkEnd w:id="7"/>
      <w:bookmarkEnd w:id="8"/>
      <w:bookmarkEnd w:id="9"/>
      <w:bookmarkEnd w:id="10"/>
      <w:bookmarkEnd w:id="11"/>
      <w:r>
        <w:rPr>
          <w:rFonts w:hint="eastAsia" w:ascii="方正小标宋简体" w:hAnsi="方正小标宋简体" w:eastAsia="方正小标宋简体" w:cs="方正小标宋简体"/>
          <w:sz w:val="52"/>
          <w:szCs w:val="52"/>
          <w:lang w:eastAsia="zh-CN"/>
        </w:rPr>
        <w:t>（</w:t>
      </w:r>
      <w:r>
        <w:rPr>
          <w:rFonts w:hint="eastAsia" w:ascii="方正小标宋简体" w:hAnsi="方正小标宋简体" w:eastAsia="方正小标宋简体" w:cs="方正小标宋简体"/>
          <w:sz w:val="52"/>
          <w:szCs w:val="52"/>
          <w:lang w:val="en-US" w:eastAsia="zh-CN"/>
        </w:rPr>
        <w:t>本级</w:t>
      </w:r>
      <w:r>
        <w:rPr>
          <w:rFonts w:hint="eastAsia" w:ascii="方正小标宋简体" w:hAnsi="方正小标宋简体" w:eastAsia="方正小标宋简体" w:cs="方正小标宋简体"/>
          <w:sz w:val="52"/>
          <w:szCs w:val="52"/>
          <w:lang w:eastAsia="zh-CN"/>
        </w:rPr>
        <w:t>）</w:t>
      </w:r>
    </w:p>
    <w:p w14:paraId="59991E2F">
      <w:pPr>
        <w:keepNext w:val="0"/>
        <w:keepLines w:val="0"/>
        <w:pageBreakBefore w:val="0"/>
        <w:widowControl w:val="0"/>
        <w:kinsoku/>
        <w:wordWrap/>
        <w:overflowPunct/>
        <w:topLinePunct w:val="0"/>
        <w:autoSpaceDE w:val="0"/>
        <w:autoSpaceDN w:val="0"/>
        <w:bidi w:val="0"/>
        <w:adjustRightInd w:val="0"/>
        <w:snapToGrid/>
        <w:spacing w:line="576" w:lineRule="exact"/>
        <w:ind w:left="420" w:leftChars="200"/>
        <w:jc w:val="center"/>
        <w:textAlignment w:val="auto"/>
        <w:rPr>
          <w:rFonts w:hint="eastAsia" w:ascii="方正小标宋简体" w:hAnsi="方正小标宋简体" w:eastAsia="方正小标宋简体" w:cs="方正小标宋简体"/>
          <w:sz w:val="52"/>
          <w:szCs w:val="52"/>
        </w:rPr>
      </w:pPr>
      <w:r>
        <w:rPr>
          <w:rFonts w:hint="eastAsia" w:ascii="方正小标宋简体" w:hAnsi="方正小标宋简体" w:eastAsia="方正小标宋简体" w:cs="方正小标宋简体"/>
          <w:sz w:val="52"/>
          <w:szCs w:val="52"/>
          <w:lang w:eastAsia="zh-CN"/>
        </w:rPr>
        <w:t>2025</w:t>
      </w:r>
      <w:r>
        <w:rPr>
          <w:rFonts w:hint="eastAsia" w:ascii="方正小标宋简体" w:hAnsi="方正小标宋简体" w:eastAsia="方正小标宋简体" w:cs="方正小标宋简体"/>
          <w:sz w:val="52"/>
          <w:szCs w:val="52"/>
        </w:rPr>
        <w:t>年度部门决算公开编制说明</w:t>
      </w:r>
    </w:p>
    <w:p w14:paraId="5C3512FA">
      <w:pPr>
        <w:pageBreakBefore w:val="0"/>
        <w:kinsoku/>
        <w:wordWrap/>
        <w:overflowPunct/>
        <w:topLinePunct w:val="0"/>
        <w:autoSpaceDE w:val="0"/>
        <w:autoSpaceDN w:val="0"/>
        <w:bidi w:val="0"/>
        <w:adjustRightInd w:val="0"/>
        <w:spacing w:line="576" w:lineRule="exact"/>
        <w:ind w:left="420" w:leftChars="200"/>
        <w:jc w:val="left"/>
        <w:rPr>
          <w:rFonts w:ascii="宋体" w:hAnsi="宋体"/>
          <w:sz w:val="32"/>
          <w:szCs w:val="32"/>
        </w:rPr>
      </w:pPr>
    </w:p>
    <w:p w14:paraId="5BB49882">
      <w:pPr>
        <w:pageBreakBefore w:val="0"/>
        <w:kinsoku/>
        <w:wordWrap/>
        <w:overflowPunct/>
        <w:topLinePunct w:val="0"/>
        <w:autoSpaceDE w:val="0"/>
        <w:autoSpaceDN w:val="0"/>
        <w:bidi w:val="0"/>
        <w:adjustRightInd w:val="0"/>
        <w:spacing w:line="576" w:lineRule="exact"/>
        <w:ind w:left="420" w:leftChars="200"/>
        <w:jc w:val="left"/>
        <w:rPr>
          <w:rFonts w:ascii="宋体" w:hAnsi="宋体"/>
          <w:sz w:val="32"/>
          <w:szCs w:val="32"/>
        </w:rPr>
      </w:pPr>
    </w:p>
    <w:p w14:paraId="49F6DAF9">
      <w:pPr>
        <w:pageBreakBefore w:val="0"/>
        <w:kinsoku/>
        <w:wordWrap/>
        <w:overflowPunct/>
        <w:topLinePunct w:val="0"/>
        <w:autoSpaceDE w:val="0"/>
        <w:autoSpaceDN w:val="0"/>
        <w:bidi w:val="0"/>
        <w:adjustRightInd w:val="0"/>
        <w:spacing w:line="576" w:lineRule="exact"/>
        <w:ind w:left="420" w:leftChars="200"/>
        <w:jc w:val="left"/>
        <w:rPr>
          <w:rFonts w:ascii="宋体" w:hAnsi="宋体"/>
          <w:sz w:val="32"/>
          <w:szCs w:val="32"/>
        </w:rPr>
      </w:pPr>
    </w:p>
    <w:p w14:paraId="26051974">
      <w:pPr>
        <w:pageBreakBefore w:val="0"/>
        <w:kinsoku/>
        <w:wordWrap/>
        <w:overflowPunct/>
        <w:topLinePunct w:val="0"/>
        <w:autoSpaceDE w:val="0"/>
        <w:autoSpaceDN w:val="0"/>
        <w:bidi w:val="0"/>
        <w:adjustRightInd w:val="0"/>
        <w:spacing w:line="576" w:lineRule="exact"/>
        <w:ind w:left="420" w:leftChars="200"/>
        <w:jc w:val="left"/>
        <w:rPr>
          <w:rFonts w:ascii="宋体" w:hAnsi="宋体"/>
          <w:sz w:val="32"/>
          <w:szCs w:val="32"/>
        </w:rPr>
      </w:pPr>
    </w:p>
    <w:p w14:paraId="5D1B5253">
      <w:pPr>
        <w:pageBreakBefore w:val="0"/>
        <w:kinsoku/>
        <w:wordWrap/>
        <w:overflowPunct/>
        <w:topLinePunct w:val="0"/>
        <w:autoSpaceDE w:val="0"/>
        <w:autoSpaceDN w:val="0"/>
        <w:bidi w:val="0"/>
        <w:adjustRightInd w:val="0"/>
        <w:spacing w:line="576" w:lineRule="exact"/>
        <w:ind w:left="420" w:leftChars="200"/>
        <w:jc w:val="left"/>
        <w:rPr>
          <w:rFonts w:ascii="宋体" w:hAnsi="宋体"/>
          <w:sz w:val="32"/>
          <w:szCs w:val="32"/>
        </w:rPr>
      </w:pPr>
    </w:p>
    <w:p w14:paraId="0AE3ECD0">
      <w:pPr>
        <w:pageBreakBefore w:val="0"/>
        <w:kinsoku/>
        <w:wordWrap/>
        <w:overflowPunct/>
        <w:topLinePunct w:val="0"/>
        <w:autoSpaceDE w:val="0"/>
        <w:autoSpaceDN w:val="0"/>
        <w:bidi w:val="0"/>
        <w:adjustRightInd w:val="0"/>
        <w:spacing w:line="576" w:lineRule="exact"/>
        <w:ind w:left="420" w:leftChars="200"/>
        <w:jc w:val="left"/>
        <w:rPr>
          <w:rFonts w:ascii="宋体" w:hAnsi="宋体"/>
          <w:sz w:val="32"/>
          <w:szCs w:val="32"/>
        </w:rPr>
      </w:pPr>
    </w:p>
    <w:p w14:paraId="18C74A56">
      <w:pPr>
        <w:pageBreakBefore w:val="0"/>
        <w:kinsoku/>
        <w:wordWrap/>
        <w:overflowPunct/>
        <w:topLinePunct w:val="0"/>
        <w:autoSpaceDE w:val="0"/>
        <w:autoSpaceDN w:val="0"/>
        <w:bidi w:val="0"/>
        <w:adjustRightInd w:val="0"/>
        <w:spacing w:line="576" w:lineRule="exact"/>
        <w:ind w:left="420" w:leftChars="200"/>
        <w:jc w:val="left"/>
        <w:rPr>
          <w:rFonts w:ascii="宋体" w:hAnsi="宋体"/>
          <w:sz w:val="32"/>
          <w:szCs w:val="32"/>
        </w:rPr>
      </w:pPr>
    </w:p>
    <w:p w14:paraId="3C8F807D">
      <w:pPr>
        <w:pageBreakBefore w:val="0"/>
        <w:kinsoku/>
        <w:wordWrap/>
        <w:overflowPunct/>
        <w:topLinePunct w:val="0"/>
        <w:autoSpaceDE w:val="0"/>
        <w:autoSpaceDN w:val="0"/>
        <w:bidi w:val="0"/>
        <w:adjustRightInd w:val="0"/>
        <w:spacing w:line="576" w:lineRule="exact"/>
        <w:ind w:left="420" w:leftChars="200"/>
        <w:jc w:val="left"/>
        <w:rPr>
          <w:rFonts w:ascii="宋体" w:hAnsi="宋体"/>
          <w:sz w:val="32"/>
          <w:szCs w:val="32"/>
        </w:rPr>
      </w:pPr>
    </w:p>
    <w:p w14:paraId="7B34674B">
      <w:pPr>
        <w:pageBreakBefore w:val="0"/>
        <w:kinsoku/>
        <w:wordWrap/>
        <w:overflowPunct/>
        <w:topLinePunct w:val="0"/>
        <w:autoSpaceDE w:val="0"/>
        <w:autoSpaceDN w:val="0"/>
        <w:bidi w:val="0"/>
        <w:adjustRightInd w:val="0"/>
        <w:spacing w:line="576" w:lineRule="exact"/>
        <w:ind w:left="420" w:leftChars="200"/>
        <w:jc w:val="left"/>
        <w:rPr>
          <w:rFonts w:ascii="宋体" w:hAnsi="宋体"/>
          <w:sz w:val="32"/>
          <w:szCs w:val="32"/>
        </w:rPr>
      </w:pPr>
    </w:p>
    <w:p w14:paraId="4F4E77EC">
      <w:pPr>
        <w:pageBreakBefore w:val="0"/>
        <w:kinsoku/>
        <w:wordWrap/>
        <w:overflowPunct/>
        <w:topLinePunct w:val="0"/>
        <w:autoSpaceDE w:val="0"/>
        <w:autoSpaceDN w:val="0"/>
        <w:bidi w:val="0"/>
        <w:adjustRightInd w:val="0"/>
        <w:spacing w:line="576" w:lineRule="exact"/>
        <w:ind w:left="420" w:leftChars="200"/>
        <w:jc w:val="left"/>
        <w:rPr>
          <w:rFonts w:ascii="宋体" w:hAnsi="宋体"/>
          <w:sz w:val="32"/>
          <w:szCs w:val="32"/>
        </w:rPr>
      </w:pPr>
      <w:r>
        <w:rPr>
          <w:rFonts w:hint="eastAsia" w:ascii="宋体" w:hAnsi="宋体" w:cs="仿宋_GB2312"/>
          <w:sz w:val="32"/>
          <w:szCs w:val="32"/>
        </w:rPr>
        <w:t>保密审查情况：已审查，内容审定</w:t>
      </w:r>
    </w:p>
    <w:p w14:paraId="6A12739F">
      <w:pPr>
        <w:pageBreakBefore w:val="0"/>
        <w:kinsoku/>
        <w:wordWrap/>
        <w:overflowPunct/>
        <w:topLinePunct w:val="0"/>
        <w:autoSpaceDE w:val="0"/>
        <w:autoSpaceDN w:val="0"/>
        <w:bidi w:val="0"/>
        <w:adjustRightInd w:val="0"/>
        <w:spacing w:line="576" w:lineRule="exact"/>
        <w:ind w:left="420" w:leftChars="200"/>
        <w:jc w:val="left"/>
        <w:rPr>
          <w:rFonts w:ascii="宋体" w:hAnsi="宋体"/>
          <w:sz w:val="32"/>
          <w:szCs w:val="32"/>
        </w:rPr>
      </w:pPr>
      <w:r>
        <w:rPr>
          <w:rFonts w:hint="eastAsia" w:ascii="宋体" w:hAnsi="宋体" w:cs="仿宋_GB2312"/>
          <w:sz w:val="32"/>
          <w:szCs w:val="32"/>
        </w:rPr>
        <w:t>部门主要负责人审签情况：已审签，同意对外公开</w:t>
      </w:r>
    </w:p>
    <w:p w14:paraId="527CF7FF">
      <w:pPr>
        <w:pageBreakBefore w:val="0"/>
        <w:widowControl/>
        <w:kinsoku/>
        <w:wordWrap/>
        <w:overflowPunct/>
        <w:topLinePunct w:val="0"/>
        <w:bidi w:val="0"/>
        <w:spacing w:line="576" w:lineRule="exact"/>
        <w:jc w:val="center"/>
        <w:rPr>
          <w:rFonts w:ascii="黑体" w:hAnsi="黑体" w:eastAsia="黑体"/>
          <w:color w:val="000000"/>
          <w:sz w:val="48"/>
          <w:szCs w:val="48"/>
        </w:rPr>
      </w:pPr>
      <w:r>
        <w:rPr>
          <w:rFonts w:ascii="方正小标宋简体" w:hAnsi="宋体" w:eastAsia="方正小标宋简体"/>
          <w:sz w:val="36"/>
          <w:szCs w:val="36"/>
        </w:rPr>
        <w:br w:type="page"/>
      </w:r>
      <w:r>
        <w:rPr>
          <w:rFonts w:hint="eastAsia" w:ascii="黑体" w:hAnsi="黑体" w:eastAsia="黑体"/>
          <w:color w:val="000000"/>
          <w:sz w:val="48"/>
          <w:szCs w:val="48"/>
        </w:rPr>
        <w:t>目录</w:t>
      </w:r>
    </w:p>
    <w:p w14:paraId="6FD8BE66">
      <w:pPr>
        <w:pageBreakBefore w:val="0"/>
        <w:widowControl/>
        <w:kinsoku/>
        <w:wordWrap/>
        <w:overflowPunct/>
        <w:topLinePunct w:val="0"/>
        <w:bidi w:val="0"/>
        <w:spacing w:line="576" w:lineRule="exact"/>
        <w:jc w:val="center"/>
        <w:rPr>
          <w:rFonts w:ascii="黑体" w:hAnsi="黑体" w:eastAsia="黑体" w:cstheme="minorBidi"/>
          <w:sz w:val="28"/>
          <w:szCs w:val="28"/>
        </w:rPr>
      </w:pPr>
    </w:p>
    <w:p w14:paraId="1D0D0762">
      <w:pPr>
        <w:pStyle w:val="12"/>
        <w:pageBreakBefore w:val="0"/>
        <w:kinsoku/>
        <w:wordWrap/>
        <w:overflowPunct/>
        <w:topLinePunct w:val="0"/>
        <w:bidi w:val="0"/>
        <w:spacing w:line="576" w:lineRule="exact"/>
      </w:pPr>
      <w:r>
        <w:rPr>
          <w:rFonts w:hint="eastAsia"/>
        </w:rPr>
        <w:t>公开时间：202</w:t>
      </w:r>
      <w:r>
        <w:rPr>
          <w:rFonts w:hint="eastAsia"/>
          <w:lang w:val="en-US" w:eastAsia="zh-CN"/>
        </w:rPr>
        <w:t>6</w:t>
      </w:r>
      <w:r>
        <w:rPr>
          <w:rFonts w:hint="eastAsia"/>
        </w:rPr>
        <w:t>年</w:t>
      </w:r>
      <w:r>
        <w:rPr>
          <w:rFonts w:hint="eastAsia"/>
          <w:lang w:val="en-US" w:eastAsia="zh-CN"/>
        </w:rPr>
        <w:t>10</w:t>
      </w:r>
      <w:r>
        <w:rPr>
          <w:rFonts w:hint="eastAsia"/>
        </w:rPr>
        <w:t>月</w:t>
      </w:r>
      <w:r>
        <w:rPr>
          <w:rFonts w:hint="eastAsia"/>
          <w:lang w:val="en-US" w:eastAsia="zh-CN"/>
        </w:rPr>
        <w:t>16</w:t>
      </w:r>
      <w:r>
        <w:rPr>
          <w:rFonts w:hint="eastAsia"/>
        </w:rPr>
        <w:t>日</w:t>
      </w:r>
    </w:p>
    <w:p w14:paraId="41C539AB">
      <w:pPr>
        <w:pageBreakBefore w:val="0"/>
        <w:kinsoku/>
        <w:wordWrap/>
        <w:overflowPunct/>
        <w:topLinePunct w:val="0"/>
        <w:bidi w:val="0"/>
        <w:spacing w:line="576" w:lineRule="exact"/>
      </w:pPr>
    </w:p>
    <w:p w14:paraId="7450BFA3">
      <w:pPr>
        <w:pStyle w:val="12"/>
        <w:pageBreakBefore w:val="0"/>
        <w:tabs>
          <w:tab w:val="right" w:leader="dot" w:pos="7980"/>
        </w:tabs>
        <w:kinsoku/>
        <w:wordWrap/>
        <w:overflowPunct/>
        <w:topLinePunct w:val="0"/>
        <w:bidi w:val="0"/>
        <w:adjustRightInd w:val="0"/>
        <w:snapToGrid w:val="0"/>
        <w:spacing w:before="0" w:line="576" w:lineRule="exact"/>
        <w:jc w:val="left"/>
        <w:rPr>
          <w:rFonts w:cstheme="minorBidi"/>
          <w:sz w:val="24"/>
          <w:szCs w:val="24"/>
        </w:rPr>
      </w:pPr>
      <w:r>
        <w:rPr>
          <w:rFonts w:hint="eastAsia"/>
          <w:sz w:val="24"/>
        </w:rPr>
        <w:t>第一部分部门概况</w:t>
      </w:r>
      <w:r>
        <w:rPr>
          <w:rFonts w:hint="eastAsia"/>
          <w:sz w:val="24"/>
        </w:rPr>
        <w:tab/>
      </w:r>
      <w:r>
        <w:rPr>
          <w:rFonts w:hint="eastAsia"/>
          <w:sz w:val="24"/>
        </w:rPr>
        <w:t>4</w:t>
      </w:r>
    </w:p>
    <w:p w14:paraId="37AF3CC0">
      <w:pPr>
        <w:pStyle w:val="13"/>
        <w:pageBreakBefore w:val="0"/>
        <w:tabs>
          <w:tab w:val="right" w:leader="dot" w:pos="7980"/>
        </w:tabs>
        <w:kinsoku/>
        <w:wordWrap/>
        <w:overflowPunct/>
        <w:topLinePunct w:val="0"/>
        <w:bidi w:val="0"/>
        <w:adjustRightInd w:val="0"/>
        <w:snapToGrid w:val="0"/>
        <w:spacing w:line="576" w:lineRule="exact"/>
        <w:jc w:val="left"/>
        <w:rPr>
          <w:sz w:val="24"/>
        </w:rPr>
      </w:pPr>
      <w:r>
        <w:rPr>
          <w:rFonts w:hint="eastAsia"/>
          <w:sz w:val="24"/>
        </w:rPr>
        <w:t>一、</w:t>
      </w:r>
      <w:r>
        <w:rPr>
          <w:rFonts w:hint="eastAsia"/>
          <w:color w:val="auto"/>
          <w:sz w:val="24"/>
          <w:highlight w:val="none"/>
          <w:lang w:eastAsia="zh-CN"/>
        </w:rPr>
        <w:t>部门职责</w:t>
      </w:r>
      <w:r>
        <w:rPr>
          <w:rFonts w:hint="eastAsia"/>
          <w:sz w:val="24"/>
        </w:rPr>
        <w:tab/>
      </w:r>
      <w:r>
        <w:rPr>
          <w:rFonts w:hint="eastAsia"/>
          <w:sz w:val="24"/>
        </w:rPr>
        <w:t>4</w:t>
      </w:r>
    </w:p>
    <w:p w14:paraId="38D7E2A1">
      <w:pPr>
        <w:pStyle w:val="13"/>
        <w:pageBreakBefore w:val="0"/>
        <w:tabs>
          <w:tab w:val="right" w:leader="dot" w:pos="7980"/>
        </w:tabs>
        <w:kinsoku/>
        <w:wordWrap/>
        <w:overflowPunct/>
        <w:topLinePunct w:val="0"/>
        <w:bidi w:val="0"/>
        <w:adjustRightInd w:val="0"/>
        <w:snapToGrid w:val="0"/>
        <w:spacing w:line="576" w:lineRule="exact"/>
        <w:jc w:val="left"/>
        <w:rPr>
          <w:rFonts w:hint="eastAsia" w:ascii="仿宋" w:hAnsi="仿宋" w:eastAsia="宋体" w:cstheme="minorBidi"/>
          <w:sz w:val="24"/>
          <w:lang w:val="en-US" w:eastAsia="zh-CN"/>
        </w:rPr>
      </w:pPr>
      <w:r>
        <w:rPr>
          <w:rFonts w:hint="eastAsia"/>
          <w:sz w:val="24"/>
        </w:rPr>
        <w:t>二、机构设置</w:t>
      </w:r>
      <w:r>
        <w:rPr>
          <w:rFonts w:hint="eastAsia"/>
          <w:sz w:val="24"/>
        </w:rPr>
        <w:tab/>
      </w:r>
      <w:r>
        <w:rPr>
          <w:rFonts w:hint="eastAsia"/>
          <w:sz w:val="24"/>
          <w:lang w:val="en-US" w:eastAsia="zh-CN"/>
        </w:rPr>
        <w:t>6</w:t>
      </w:r>
    </w:p>
    <w:p w14:paraId="362B5068">
      <w:pPr>
        <w:pStyle w:val="12"/>
        <w:pageBreakBefore w:val="0"/>
        <w:tabs>
          <w:tab w:val="right" w:leader="dot" w:pos="7980"/>
        </w:tabs>
        <w:kinsoku/>
        <w:wordWrap/>
        <w:overflowPunct/>
        <w:topLinePunct w:val="0"/>
        <w:bidi w:val="0"/>
        <w:adjustRightInd w:val="0"/>
        <w:snapToGrid w:val="0"/>
        <w:spacing w:before="0" w:line="576" w:lineRule="exact"/>
        <w:jc w:val="left"/>
        <w:rPr>
          <w:rFonts w:hint="eastAsia" w:eastAsia="仿宋"/>
          <w:sz w:val="24"/>
          <w:szCs w:val="24"/>
          <w:lang w:val="en-US" w:eastAsia="zh-CN"/>
        </w:rPr>
      </w:pPr>
      <w:r>
        <w:rPr>
          <w:rFonts w:hint="eastAsia"/>
          <w:sz w:val="24"/>
        </w:rPr>
        <w:t>第二部分</w:t>
      </w:r>
      <w:r>
        <w:rPr>
          <w:rFonts w:hint="eastAsia"/>
          <w:sz w:val="24"/>
          <w:lang w:val="en-US" w:eastAsia="zh-CN"/>
        </w:rPr>
        <w:t>2025年</w:t>
      </w:r>
      <w:r>
        <w:rPr>
          <w:rFonts w:hint="eastAsia"/>
          <w:sz w:val="24"/>
        </w:rPr>
        <w:t>度部门决算情况说明</w:t>
      </w:r>
      <w:r>
        <w:rPr>
          <w:rFonts w:hint="eastAsia"/>
          <w:sz w:val="24"/>
        </w:rPr>
        <w:tab/>
      </w:r>
      <w:r>
        <w:rPr>
          <w:rFonts w:hint="eastAsia"/>
          <w:sz w:val="24"/>
          <w:lang w:val="en-US" w:eastAsia="zh-CN"/>
        </w:rPr>
        <w:t>6</w:t>
      </w:r>
    </w:p>
    <w:p w14:paraId="0E226404">
      <w:pPr>
        <w:pStyle w:val="13"/>
        <w:pageBreakBefore w:val="0"/>
        <w:tabs>
          <w:tab w:val="right" w:leader="dot" w:pos="7980"/>
        </w:tabs>
        <w:kinsoku/>
        <w:wordWrap/>
        <w:overflowPunct/>
        <w:topLinePunct w:val="0"/>
        <w:bidi w:val="0"/>
        <w:adjustRightInd w:val="0"/>
        <w:snapToGrid w:val="0"/>
        <w:spacing w:line="576" w:lineRule="exact"/>
        <w:jc w:val="left"/>
        <w:rPr>
          <w:rFonts w:hint="eastAsia" w:ascii="仿宋" w:hAnsi="仿宋" w:eastAsia="宋体" w:cstheme="minorBidi"/>
          <w:sz w:val="24"/>
          <w:lang w:val="en-US" w:eastAsia="zh-CN"/>
        </w:rPr>
      </w:pPr>
      <w:r>
        <w:rPr>
          <w:rFonts w:hint="eastAsia"/>
          <w:sz w:val="24"/>
        </w:rPr>
        <w:t>一、收入支出决算总体情况说明</w:t>
      </w:r>
      <w:r>
        <w:rPr>
          <w:rFonts w:hint="eastAsia"/>
          <w:sz w:val="24"/>
        </w:rPr>
        <w:tab/>
      </w:r>
      <w:r>
        <w:rPr>
          <w:rFonts w:hint="eastAsia"/>
          <w:sz w:val="24"/>
          <w:lang w:val="en-US" w:eastAsia="zh-CN"/>
        </w:rPr>
        <w:t>6</w:t>
      </w:r>
    </w:p>
    <w:p w14:paraId="1D8A4CA0">
      <w:pPr>
        <w:pStyle w:val="13"/>
        <w:pageBreakBefore w:val="0"/>
        <w:tabs>
          <w:tab w:val="right" w:leader="dot" w:pos="7980"/>
        </w:tabs>
        <w:kinsoku/>
        <w:wordWrap/>
        <w:overflowPunct/>
        <w:topLinePunct w:val="0"/>
        <w:bidi w:val="0"/>
        <w:adjustRightInd w:val="0"/>
        <w:snapToGrid w:val="0"/>
        <w:spacing w:line="576" w:lineRule="exact"/>
        <w:jc w:val="left"/>
        <w:rPr>
          <w:rFonts w:hint="eastAsia" w:ascii="仿宋" w:hAnsi="仿宋" w:eastAsia="宋体" w:cstheme="minorBidi"/>
          <w:sz w:val="24"/>
          <w:lang w:val="en-US" w:eastAsia="zh-CN"/>
        </w:rPr>
      </w:pPr>
      <w:r>
        <w:rPr>
          <w:rFonts w:hint="eastAsia"/>
          <w:sz w:val="24"/>
        </w:rPr>
        <w:t>二、收入决算情况说明</w:t>
      </w:r>
      <w:r>
        <w:rPr>
          <w:rFonts w:hint="eastAsia"/>
          <w:sz w:val="24"/>
        </w:rPr>
        <w:tab/>
      </w:r>
      <w:r>
        <w:rPr>
          <w:rFonts w:hint="eastAsia"/>
          <w:sz w:val="24"/>
          <w:lang w:val="en-US" w:eastAsia="zh-CN"/>
        </w:rPr>
        <w:t>7</w:t>
      </w:r>
    </w:p>
    <w:p w14:paraId="0DE4E55E">
      <w:pPr>
        <w:pStyle w:val="13"/>
        <w:pageBreakBefore w:val="0"/>
        <w:tabs>
          <w:tab w:val="right" w:leader="dot" w:pos="7980"/>
        </w:tabs>
        <w:kinsoku/>
        <w:wordWrap/>
        <w:overflowPunct/>
        <w:topLinePunct w:val="0"/>
        <w:bidi w:val="0"/>
        <w:adjustRightInd w:val="0"/>
        <w:snapToGrid w:val="0"/>
        <w:spacing w:line="576" w:lineRule="exact"/>
        <w:jc w:val="left"/>
        <w:rPr>
          <w:rFonts w:hint="eastAsia" w:ascii="仿宋" w:hAnsi="仿宋" w:eastAsia="宋体" w:cstheme="minorBidi"/>
          <w:sz w:val="24"/>
          <w:lang w:val="en-US" w:eastAsia="zh-CN"/>
        </w:rPr>
      </w:pPr>
      <w:r>
        <w:rPr>
          <w:rFonts w:hint="eastAsia"/>
          <w:sz w:val="24"/>
        </w:rPr>
        <w:t>三、支出决算情况说明</w:t>
      </w:r>
      <w:r>
        <w:rPr>
          <w:rFonts w:hint="eastAsia"/>
          <w:sz w:val="24"/>
        </w:rPr>
        <w:tab/>
      </w:r>
      <w:r>
        <w:rPr>
          <w:rFonts w:hint="eastAsia"/>
          <w:sz w:val="24"/>
          <w:lang w:val="en-US" w:eastAsia="zh-CN"/>
        </w:rPr>
        <w:t>7</w:t>
      </w:r>
    </w:p>
    <w:p w14:paraId="7F79E3D3">
      <w:pPr>
        <w:pStyle w:val="13"/>
        <w:pageBreakBefore w:val="0"/>
        <w:tabs>
          <w:tab w:val="right" w:leader="dot" w:pos="7980"/>
        </w:tabs>
        <w:kinsoku/>
        <w:wordWrap/>
        <w:overflowPunct/>
        <w:topLinePunct w:val="0"/>
        <w:bidi w:val="0"/>
        <w:adjustRightInd w:val="0"/>
        <w:snapToGrid w:val="0"/>
        <w:spacing w:line="576" w:lineRule="exact"/>
        <w:jc w:val="left"/>
        <w:rPr>
          <w:rFonts w:hint="eastAsia" w:ascii="仿宋" w:hAnsi="仿宋" w:eastAsia="宋体" w:cstheme="minorBidi"/>
          <w:sz w:val="24"/>
          <w:lang w:val="en-US" w:eastAsia="zh-CN"/>
        </w:rPr>
      </w:pPr>
      <w:r>
        <w:rPr>
          <w:rFonts w:hint="eastAsia"/>
          <w:sz w:val="24"/>
        </w:rPr>
        <w:t>四、财政拨款收入支出决算总体情况说明</w:t>
      </w:r>
      <w:r>
        <w:rPr>
          <w:rFonts w:hint="eastAsia"/>
          <w:sz w:val="24"/>
        </w:rPr>
        <w:tab/>
      </w:r>
      <w:r>
        <w:rPr>
          <w:rFonts w:hint="eastAsia"/>
          <w:sz w:val="24"/>
          <w:lang w:val="en-US" w:eastAsia="zh-CN"/>
        </w:rPr>
        <w:t>7</w:t>
      </w:r>
    </w:p>
    <w:p w14:paraId="0C0A5F1A">
      <w:pPr>
        <w:pStyle w:val="13"/>
        <w:pageBreakBefore w:val="0"/>
        <w:tabs>
          <w:tab w:val="right" w:leader="dot" w:pos="7980"/>
        </w:tabs>
        <w:kinsoku/>
        <w:wordWrap/>
        <w:overflowPunct/>
        <w:topLinePunct w:val="0"/>
        <w:bidi w:val="0"/>
        <w:adjustRightInd w:val="0"/>
        <w:snapToGrid w:val="0"/>
        <w:spacing w:line="576" w:lineRule="exact"/>
        <w:jc w:val="left"/>
        <w:rPr>
          <w:rFonts w:hint="eastAsia" w:ascii="仿宋" w:hAnsi="仿宋" w:eastAsia="宋体" w:cstheme="minorBidi"/>
          <w:sz w:val="24"/>
          <w:lang w:val="en-US" w:eastAsia="zh-CN"/>
        </w:rPr>
      </w:pPr>
      <w:r>
        <w:rPr>
          <w:rFonts w:hint="eastAsia"/>
          <w:sz w:val="24"/>
        </w:rPr>
        <w:t>五、一般公共预算财政拨款支出决算情况说明</w:t>
      </w:r>
      <w:r>
        <w:rPr>
          <w:rFonts w:hint="eastAsia"/>
          <w:sz w:val="24"/>
        </w:rPr>
        <w:tab/>
      </w:r>
      <w:r>
        <w:rPr>
          <w:rFonts w:hint="eastAsia"/>
          <w:sz w:val="24"/>
          <w:lang w:val="en-US" w:eastAsia="zh-CN"/>
        </w:rPr>
        <w:t>8</w:t>
      </w:r>
    </w:p>
    <w:p w14:paraId="1A1C60AC">
      <w:pPr>
        <w:pStyle w:val="13"/>
        <w:pageBreakBefore w:val="0"/>
        <w:tabs>
          <w:tab w:val="right" w:leader="dot" w:pos="7980"/>
        </w:tabs>
        <w:kinsoku/>
        <w:wordWrap/>
        <w:overflowPunct/>
        <w:topLinePunct w:val="0"/>
        <w:bidi w:val="0"/>
        <w:adjustRightInd w:val="0"/>
        <w:snapToGrid w:val="0"/>
        <w:spacing w:line="576" w:lineRule="exact"/>
        <w:jc w:val="left"/>
        <w:rPr>
          <w:rFonts w:hint="default" w:ascii="仿宋" w:hAnsi="仿宋" w:eastAsia="宋体" w:cstheme="minorBidi"/>
          <w:sz w:val="24"/>
          <w:lang w:val="en-US" w:eastAsia="zh-CN"/>
        </w:rPr>
      </w:pPr>
      <w:r>
        <w:rPr>
          <w:rFonts w:hint="eastAsia"/>
          <w:sz w:val="24"/>
        </w:rPr>
        <w:t>六、一般公共预算财政拨款基本支出决算情况说明</w:t>
      </w:r>
      <w:r>
        <w:rPr>
          <w:rFonts w:hint="eastAsia"/>
          <w:sz w:val="24"/>
        </w:rPr>
        <w:tab/>
      </w:r>
      <w:r>
        <w:rPr>
          <w:rFonts w:hint="eastAsia"/>
          <w:sz w:val="24"/>
          <w:lang w:val="en-US" w:eastAsia="zh-CN"/>
        </w:rPr>
        <w:t>10</w:t>
      </w:r>
    </w:p>
    <w:p w14:paraId="5FDD5BAC">
      <w:pPr>
        <w:pStyle w:val="13"/>
        <w:pageBreakBefore w:val="0"/>
        <w:tabs>
          <w:tab w:val="right" w:leader="dot" w:pos="7980"/>
        </w:tabs>
        <w:kinsoku/>
        <w:wordWrap/>
        <w:overflowPunct/>
        <w:topLinePunct w:val="0"/>
        <w:bidi w:val="0"/>
        <w:adjustRightInd w:val="0"/>
        <w:snapToGrid w:val="0"/>
        <w:spacing w:line="576" w:lineRule="exact"/>
        <w:jc w:val="left"/>
        <w:rPr>
          <w:rFonts w:hint="default" w:ascii="仿宋" w:hAnsi="仿宋" w:eastAsia="宋体" w:cstheme="minorBidi"/>
          <w:sz w:val="24"/>
          <w:lang w:val="en-US" w:eastAsia="zh-CN"/>
        </w:rPr>
      </w:pPr>
      <w:r>
        <w:rPr>
          <w:rFonts w:hint="eastAsia"/>
          <w:sz w:val="24"/>
        </w:rPr>
        <w:t>七、</w:t>
      </w:r>
      <w:r>
        <w:rPr>
          <w:sz w:val="24"/>
        </w:rPr>
        <w:t>“</w:t>
      </w:r>
      <w:r>
        <w:rPr>
          <w:rFonts w:hint="eastAsia"/>
          <w:sz w:val="24"/>
        </w:rPr>
        <w:t>三公”经费财政拨款支出决算情况说明</w:t>
      </w:r>
      <w:r>
        <w:rPr>
          <w:rFonts w:hint="eastAsia"/>
          <w:sz w:val="24"/>
        </w:rPr>
        <w:tab/>
      </w:r>
      <w:r>
        <w:rPr>
          <w:rFonts w:hint="eastAsia"/>
          <w:sz w:val="24"/>
          <w:lang w:val="en-US" w:eastAsia="zh-CN"/>
        </w:rPr>
        <w:t>10</w:t>
      </w:r>
    </w:p>
    <w:p w14:paraId="6F5B16B5">
      <w:pPr>
        <w:pStyle w:val="13"/>
        <w:pageBreakBefore w:val="0"/>
        <w:tabs>
          <w:tab w:val="right" w:leader="dot" w:pos="7980"/>
        </w:tabs>
        <w:kinsoku/>
        <w:wordWrap/>
        <w:overflowPunct/>
        <w:topLinePunct w:val="0"/>
        <w:bidi w:val="0"/>
        <w:adjustRightInd w:val="0"/>
        <w:snapToGrid w:val="0"/>
        <w:spacing w:line="576" w:lineRule="exact"/>
        <w:jc w:val="left"/>
        <w:rPr>
          <w:rFonts w:hint="eastAsia" w:ascii="仿宋" w:hAnsi="仿宋" w:eastAsia="宋体" w:cstheme="minorBidi"/>
          <w:sz w:val="24"/>
          <w:lang w:val="en-US" w:eastAsia="zh-CN"/>
        </w:rPr>
      </w:pPr>
      <w:r>
        <w:rPr>
          <w:rFonts w:hint="eastAsia"/>
          <w:sz w:val="24"/>
        </w:rPr>
        <w:t>八、政府性基金预算支出决算情况说明</w:t>
      </w:r>
      <w:r>
        <w:rPr>
          <w:rFonts w:hint="eastAsia"/>
          <w:sz w:val="24"/>
        </w:rPr>
        <w:tab/>
      </w:r>
      <w:r>
        <w:rPr>
          <w:rFonts w:hint="eastAsia"/>
          <w:sz w:val="24"/>
        </w:rPr>
        <w:t>1</w:t>
      </w:r>
      <w:r>
        <w:rPr>
          <w:rFonts w:hint="eastAsia"/>
          <w:sz w:val="24"/>
          <w:lang w:val="en-US" w:eastAsia="zh-CN"/>
        </w:rPr>
        <w:t>2</w:t>
      </w:r>
    </w:p>
    <w:p w14:paraId="61F42436">
      <w:pPr>
        <w:pStyle w:val="13"/>
        <w:pageBreakBefore w:val="0"/>
        <w:tabs>
          <w:tab w:val="right" w:leader="dot" w:pos="7980"/>
        </w:tabs>
        <w:kinsoku/>
        <w:wordWrap/>
        <w:overflowPunct/>
        <w:topLinePunct w:val="0"/>
        <w:bidi w:val="0"/>
        <w:adjustRightInd w:val="0"/>
        <w:snapToGrid w:val="0"/>
        <w:spacing w:line="576" w:lineRule="exact"/>
        <w:ind w:leftChars="0"/>
        <w:jc w:val="left"/>
        <w:rPr>
          <w:rFonts w:hint="eastAsia" w:ascii="仿宋" w:hAnsi="仿宋" w:eastAsia="宋体"/>
          <w:sz w:val="24"/>
          <w:lang w:val="en-US" w:eastAsia="zh-CN"/>
        </w:rPr>
      </w:pPr>
      <w:r>
        <w:rPr>
          <w:rFonts w:hint="eastAsia" w:ascii="Times New Roman" w:hAnsi="Times New Roman" w:eastAsia="宋体" w:cs="Times New Roman"/>
          <w:sz w:val="24"/>
        </w:rPr>
        <w:t>九、</w:t>
      </w:r>
      <w:r>
        <w:rPr>
          <w:sz w:val="24"/>
        </w:rPr>
        <w:t>国</w:t>
      </w:r>
      <w:r>
        <w:rPr>
          <w:rFonts w:hint="eastAsia"/>
          <w:sz w:val="24"/>
        </w:rPr>
        <w:t>有资本经营预算支出决算情况说明</w:t>
      </w:r>
      <w:r>
        <w:rPr>
          <w:rFonts w:hint="eastAsia"/>
          <w:sz w:val="24"/>
        </w:rPr>
        <w:tab/>
      </w:r>
      <w:r>
        <w:rPr>
          <w:rFonts w:hint="eastAsia"/>
          <w:sz w:val="24"/>
        </w:rPr>
        <w:t>1</w:t>
      </w:r>
      <w:r>
        <w:rPr>
          <w:rFonts w:hint="eastAsia"/>
          <w:sz w:val="24"/>
          <w:lang w:val="en-US" w:eastAsia="zh-CN"/>
        </w:rPr>
        <w:t>2</w:t>
      </w:r>
    </w:p>
    <w:p w14:paraId="6D3AD1FF">
      <w:pPr>
        <w:pageBreakBefore w:val="0"/>
        <w:tabs>
          <w:tab w:val="right" w:leader="dot" w:pos="7980"/>
          <w:tab w:val="right" w:leader="dot" w:pos="8296"/>
        </w:tabs>
        <w:kinsoku/>
        <w:wordWrap/>
        <w:overflowPunct/>
        <w:topLinePunct w:val="0"/>
        <w:bidi w:val="0"/>
        <w:adjustRightInd w:val="0"/>
        <w:snapToGrid w:val="0"/>
        <w:spacing w:line="576" w:lineRule="exact"/>
        <w:ind w:firstLine="480" w:firstLineChars="200"/>
        <w:jc w:val="left"/>
        <w:rPr>
          <w:rFonts w:hint="eastAsia" w:ascii="仿宋" w:hAnsi="仿宋" w:eastAsia="仿宋" w:cstheme="minorBidi"/>
          <w:sz w:val="24"/>
          <w:lang w:val="en-US" w:eastAsia="zh-CN"/>
        </w:rPr>
      </w:pPr>
      <w:r>
        <w:rPr>
          <w:rFonts w:hint="eastAsia" w:ascii="Times New Roman" w:hAnsi="Times New Roman" w:eastAsia="宋体" w:cs="Times New Roman"/>
          <w:kern w:val="2"/>
          <w:sz w:val="24"/>
          <w:szCs w:val="24"/>
          <w:lang w:val="en-US" w:eastAsia="zh-CN" w:bidi="ar-SA"/>
        </w:rPr>
        <w:t>十、</w:t>
      </w:r>
      <w:r>
        <w:rPr>
          <w:rFonts w:hint="eastAsia"/>
          <w:sz w:val="24"/>
        </w:rPr>
        <w:t>其他重要事项的情况说明</w:t>
      </w:r>
      <w:r>
        <w:rPr>
          <w:rFonts w:ascii="仿宋" w:hAnsi="仿宋" w:eastAsia="仿宋"/>
          <w:sz w:val="24"/>
        </w:rPr>
        <w:tab/>
      </w:r>
      <w:r>
        <w:rPr>
          <w:rFonts w:hint="eastAsia" w:ascii="仿宋" w:hAnsi="仿宋" w:eastAsia="仿宋"/>
          <w:sz w:val="24"/>
        </w:rPr>
        <w:t>1</w:t>
      </w:r>
      <w:r>
        <w:rPr>
          <w:rFonts w:hint="eastAsia" w:ascii="仿宋" w:hAnsi="仿宋" w:eastAsia="仿宋"/>
          <w:sz w:val="24"/>
          <w:lang w:val="en-US" w:eastAsia="zh-CN"/>
        </w:rPr>
        <w:t>2</w:t>
      </w:r>
    </w:p>
    <w:p w14:paraId="35A9571C">
      <w:pPr>
        <w:pStyle w:val="12"/>
        <w:pageBreakBefore w:val="0"/>
        <w:tabs>
          <w:tab w:val="right" w:leader="dot" w:pos="7980"/>
        </w:tabs>
        <w:kinsoku/>
        <w:wordWrap/>
        <w:overflowPunct/>
        <w:topLinePunct w:val="0"/>
        <w:bidi w:val="0"/>
        <w:adjustRightInd w:val="0"/>
        <w:snapToGrid w:val="0"/>
        <w:spacing w:before="0" w:line="576" w:lineRule="exact"/>
        <w:jc w:val="left"/>
        <w:rPr>
          <w:rFonts w:hint="eastAsia" w:eastAsia="仿宋" w:cstheme="minorBidi"/>
          <w:sz w:val="24"/>
          <w:szCs w:val="24"/>
          <w:lang w:val="en-US" w:eastAsia="zh-CN"/>
        </w:rPr>
      </w:pPr>
      <w:r>
        <w:rPr>
          <w:rFonts w:hint="eastAsia"/>
          <w:sz w:val="24"/>
        </w:rPr>
        <w:t>第三部分名词解释</w:t>
      </w:r>
      <w:r>
        <w:rPr>
          <w:rFonts w:hint="eastAsia"/>
          <w:sz w:val="24"/>
        </w:rPr>
        <w:tab/>
      </w:r>
      <w:r>
        <w:rPr>
          <w:rFonts w:hint="eastAsia"/>
          <w:sz w:val="24"/>
        </w:rPr>
        <w:t>1</w:t>
      </w:r>
      <w:r>
        <w:rPr>
          <w:rFonts w:hint="eastAsia"/>
          <w:sz w:val="24"/>
          <w:lang w:val="en-US" w:eastAsia="zh-CN"/>
        </w:rPr>
        <w:t>4</w:t>
      </w:r>
    </w:p>
    <w:p w14:paraId="1F4FAD45">
      <w:pPr>
        <w:pStyle w:val="12"/>
        <w:pageBreakBefore w:val="0"/>
        <w:tabs>
          <w:tab w:val="right" w:leader="dot" w:pos="7980"/>
        </w:tabs>
        <w:kinsoku/>
        <w:wordWrap/>
        <w:overflowPunct/>
        <w:topLinePunct w:val="0"/>
        <w:bidi w:val="0"/>
        <w:adjustRightInd w:val="0"/>
        <w:snapToGrid w:val="0"/>
        <w:spacing w:before="0" w:line="576" w:lineRule="exact"/>
        <w:jc w:val="left"/>
        <w:rPr>
          <w:rFonts w:hint="eastAsia" w:eastAsia="仿宋" w:cstheme="minorBidi"/>
          <w:sz w:val="24"/>
          <w:szCs w:val="24"/>
          <w:lang w:val="en-US" w:eastAsia="zh-CN"/>
        </w:rPr>
      </w:pPr>
      <w:r>
        <w:rPr>
          <w:rFonts w:hint="eastAsia"/>
          <w:sz w:val="24"/>
        </w:rPr>
        <w:t>第四部分附件</w:t>
      </w:r>
      <w:r>
        <w:rPr>
          <w:rFonts w:hint="eastAsia"/>
          <w:sz w:val="24"/>
        </w:rPr>
        <w:tab/>
      </w:r>
      <w:r>
        <w:rPr>
          <w:rFonts w:hint="eastAsia"/>
          <w:sz w:val="24"/>
        </w:rPr>
        <w:t>1</w:t>
      </w:r>
      <w:r>
        <w:rPr>
          <w:rFonts w:hint="eastAsia"/>
          <w:sz w:val="24"/>
          <w:lang w:val="en-US" w:eastAsia="zh-CN"/>
        </w:rPr>
        <w:t>6</w:t>
      </w:r>
    </w:p>
    <w:p w14:paraId="069D4B22">
      <w:pPr>
        <w:pStyle w:val="13"/>
        <w:pageBreakBefore w:val="0"/>
        <w:tabs>
          <w:tab w:val="right" w:leader="dot" w:pos="7980"/>
        </w:tabs>
        <w:kinsoku/>
        <w:wordWrap/>
        <w:overflowPunct/>
        <w:topLinePunct w:val="0"/>
        <w:bidi w:val="0"/>
        <w:adjustRightInd w:val="0"/>
        <w:snapToGrid w:val="0"/>
        <w:spacing w:line="576" w:lineRule="exact"/>
        <w:jc w:val="left"/>
        <w:rPr>
          <w:rFonts w:hint="eastAsia" w:eastAsia="宋体"/>
          <w:sz w:val="24"/>
          <w:lang w:val="en-US" w:eastAsia="zh-CN"/>
        </w:rPr>
      </w:pPr>
      <w:r>
        <w:rPr>
          <w:rFonts w:hint="eastAsia"/>
          <w:sz w:val="24"/>
        </w:rPr>
        <w:t>附件1</w:t>
      </w:r>
      <w:r>
        <w:rPr>
          <w:rFonts w:hint="eastAsia"/>
          <w:sz w:val="24"/>
          <w:lang w:eastAsia="zh-CN"/>
        </w:rPr>
        <w:t>：2025年小金县统计局整体支出绩效报告</w:t>
      </w:r>
      <w:r>
        <w:rPr>
          <w:rFonts w:hint="eastAsia"/>
          <w:sz w:val="24"/>
        </w:rPr>
        <w:tab/>
      </w:r>
      <w:r>
        <w:rPr>
          <w:rFonts w:hint="eastAsia"/>
          <w:sz w:val="24"/>
        </w:rPr>
        <w:t>1</w:t>
      </w:r>
      <w:r>
        <w:rPr>
          <w:rFonts w:hint="eastAsia"/>
          <w:sz w:val="24"/>
          <w:lang w:val="en-US" w:eastAsia="zh-CN"/>
        </w:rPr>
        <w:t>6</w:t>
      </w:r>
    </w:p>
    <w:p w14:paraId="2CADB37A">
      <w:pPr>
        <w:pStyle w:val="12"/>
        <w:pageBreakBefore w:val="0"/>
        <w:tabs>
          <w:tab w:val="right" w:leader="dot" w:pos="7980"/>
        </w:tabs>
        <w:kinsoku/>
        <w:wordWrap/>
        <w:overflowPunct/>
        <w:topLinePunct w:val="0"/>
        <w:bidi w:val="0"/>
        <w:adjustRightInd w:val="0"/>
        <w:snapToGrid w:val="0"/>
        <w:spacing w:before="0" w:line="576" w:lineRule="exact"/>
        <w:jc w:val="left"/>
        <w:rPr>
          <w:rFonts w:hint="eastAsia" w:eastAsia="仿宋" w:cstheme="minorBidi"/>
          <w:sz w:val="24"/>
          <w:szCs w:val="24"/>
          <w:lang w:val="en-US" w:eastAsia="zh-CN"/>
        </w:rPr>
      </w:pPr>
      <w:r>
        <w:rPr>
          <w:rFonts w:hint="eastAsia"/>
          <w:sz w:val="24"/>
        </w:rPr>
        <w:t>第五部分附表</w:t>
      </w:r>
      <w:r>
        <w:rPr>
          <w:rFonts w:hint="eastAsia"/>
          <w:sz w:val="24"/>
        </w:rPr>
        <w:tab/>
      </w:r>
      <w:r>
        <w:rPr>
          <w:rFonts w:hint="eastAsia"/>
          <w:sz w:val="24"/>
        </w:rPr>
        <w:t>2</w:t>
      </w:r>
      <w:r>
        <w:rPr>
          <w:rFonts w:hint="eastAsia"/>
          <w:sz w:val="24"/>
          <w:lang w:val="en-US" w:eastAsia="zh-CN"/>
        </w:rPr>
        <w:t>3</w:t>
      </w:r>
    </w:p>
    <w:p w14:paraId="71B03849">
      <w:pPr>
        <w:pStyle w:val="13"/>
        <w:pageBreakBefore w:val="0"/>
        <w:tabs>
          <w:tab w:val="right" w:leader="dot" w:pos="7980"/>
        </w:tabs>
        <w:kinsoku/>
        <w:wordWrap/>
        <w:overflowPunct/>
        <w:topLinePunct w:val="0"/>
        <w:bidi w:val="0"/>
        <w:adjustRightInd w:val="0"/>
        <w:snapToGrid w:val="0"/>
        <w:spacing w:line="576" w:lineRule="exact"/>
        <w:jc w:val="left"/>
        <w:rPr>
          <w:rFonts w:hint="eastAsia" w:ascii="仿宋" w:hAnsi="仿宋" w:eastAsia="宋体" w:cstheme="minorBidi"/>
          <w:sz w:val="24"/>
          <w:lang w:val="en-US" w:eastAsia="zh-CN"/>
        </w:rPr>
      </w:pPr>
      <w:r>
        <w:rPr>
          <w:rFonts w:hint="eastAsia" w:ascii="Times New Roman" w:hAnsi="Times New Roman" w:eastAsia="宋体" w:cs="Times New Roman"/>
          <w:kern w:val="2"/>
          <w:sz w:val="24"/>
          <w:szCs w:val="24"/>
          <w:lang w:val="en-US" w:eastAsia="zh-CN" w:bidi="ar-SA"/>
        </w:rPr>
        <w:t>一、</w:t>
      </w:r>
      <w:r>
        <w:rPr>
          <w:rFonts w:hint="eastAsia"/>
          <w:sz w:val="24"/>
        </w:rPr>
        <w:t>收入支出决算总表</w:t>
      </w:r>
      <w:r>
        <w:rPr>
          <w:rFonts w:hint="eastAsia"/>
          <w:sz w:val="24"/>
        </w:rPr>
        <w:tab/>
      </w:r>
      <w:r>
        <w:rPr>
          <w:rFonts w:hint="eastAsia"/>
          <w:sz w:val="24"/>
        </w:rPr>
        <w:t>2</w:t>
      </w:r>
      <w:r>
        <w:rPr>
          <w:rFonts w:hint="eastAsia"/>
          <w:sz w:val="24"/>
          <w:lang w:val="en-US" w:eastAsia="zh-CN"/>
        </w:rPr>
        <w:t>3</w:t>
      </w:r>
    </w:p>
    <w:p w14:paraId="2332A042">
      <w:pPr>
        <w:pStyle w:val="13"/>
        <w:pageBreakBefore w:val="0"/>
        <w:tabs>
          <w:tab w:val="right" w:leader="dot" w:pos="7980"/>
        </w:tabs>
        <w:kinsoku/>
        <w:wordWrap/>
        <w:overflowPunct/>
        <w:topLinePunct w:val="0"/>
        <w:bidi w:val="0"/>
        <w:adjustRightInd w:val="0"/>
        <w:snapToGrid w:val="0"/>
        <w:spacing w:line="576" w:lineRule="exact"/>
        <w:jc w:val="left"/>
        <w:rPr>
          <w:rFonts w:hint="eastAsia" w:ascii="仿宋" w:hAnsi="仿宋" w:eastAsia="宋体" w:cstheme="minorBidi"/>
          <w:sz w:val="24"/>
          <w:lang w:val="en-US" w:eastAsia="zh-CN"/>
        </w:rPr>
      </w:pPr>
      <w:r>
        <w:rPr>
          <w:rFonts w:hint="eastAsia" w:ascii="Times New Roman" w:hAnsi="Times New Roman" w:eastAsia="宋体" w:cs="Times New Roman"/>
          <w:kern w:val="2"/>
          <w:sz w:val="24"/>
          <w:szCs w:val="24"/>
          <w:lang w:val="en-US" w:eastAsia="zh-CN" w:bidi="ar-SA"/>
        </w:rPr>
        <w:t>二、</w:t>
      </w:r>
      <w:r>
        <w:rPr>
          <w:rFonts w:hint="eastAsia"/>
          <w:sz w:val="24"/>
        </w:rPr>
        <w:t>收入决算表</w:t>
      </w:r>
      <w:r>
        <w:rPr>
          <w:rFonts w:hint="eastAsia"/>
          <w:sz w:val="24"/>
        </w:rPr>
        <w:tab/>
      </w:r>
      <w:r>
        <w:rPr>
          <w:rFonts w:hint="eastAsia"/>
          <w:sz w:val="24"/>
        </w:rPr>
        <w:t>2</w:t>
      </w:r>
      <w:r>
        <w:rPr>
          <w:rFonts w:hint="eastAsia"/>
          <w:sz w:val="24"/>
          <w:lang w:val="en-US" w:eastAsia="zh-CN"/>
        </w:rPr>
        <w:t>3</w:t>
      </w:r>
    </w:p>
    <w:p w14:paraId="108EED7A">
      <w:pPr>
        <w:pStyle w:val="13"/>
        <w:pageBreakBefore w:val="0"/>
        <w:tabs>
          <w:tab w:val="right" w:leader="dot" w:pos="7980"/>
        </w:tabs>
        <w:kinsoku/>
        <w:wordWrap/>
        <w:overflowPunct/>
        <w:topLinePunct w:val="0"/>
        <w:bidi w:val="0"/>
        <w:adjustRightInd w:val="0"/>
        <w:snapToGrid w:val="0"/>
        <w:spacing w:line="576" w:lineRule="exact"/>
        <w:jc w:val="left"/>
        <w:rPr>
          <w:rFonts w:hint="eastAsia" w:ascii="仿宋" w:hAnsi="仿宋" w:eastAsia="宋体" w:cstheme="minorBidi"/>
          <w:sz w:val="24"/>
          <w:lang w:val="en-US" w:eastAsia="zh-CN"/>
        </w:rPr>
      </w:pPr>
      <w:r>
        <w:rPr>
          <w:rFonts w:hint="eastAsia" w:ascii="Times New Roman" w:hAnsi="Times New Roman" w:eastAsia="宋体" w:cs="Times New Roman"/>
          <w:kern w:val="2"/>
          <w:sz w:val="24"/>
          <w:szCs w:val="24"/>
          <w:lang w:val="en-US" w:eastAsia="zh-CN" w:bidi="ar-SA"/>
        </w:rPr>
        <w:t>三、</w:t>
      </w:r>
      <w:r>
        <w:rPr>
          <w:rFonts w:hint="eastAsia"/>
          <w:sz w:val="24"/>
        </w:rPr>
        <w:t>支出决算表</w:t>
      </w:r>
      <w:r>
        <w:rPr>
          <w:rFonts w:hint="eastAsia"/>
          <w:sz w:val="24"/>
        </w:rPr>
        <w:tab/>
      </w:r>
      <w:r>
        <w:rPr>
          <w:rFonts w:hint="eastAsia"/>
          <w:sz w:val="24"/>
        </w:rPr>
        <w:t>2</w:t>
      </w:r>
      <w:r>
        <w:rPr>
          <w:rFonts w:hint="eastAsia"/>
          <w:sz w:val="24"/>
          <w:lang w:val="en-US" w:eastAsia="zh-CN"/>
        </w:rPr>
        <w:t>3</w:t>
      </w:r>
    </w:p>
    <w:p w14:paraId="68C4D7F6">
      <w:pPr>
        <w:pStyle w:val="13"/>
        <w:pageBreakBefore w:val="0"/>
        <w:tabs>
          <w:tab w:val="right" w:leader="dot" w:pos="7980"/>
        </w:tabs>
        <w:kinsoku/>
        <w:wordWrap/>
        <w:overflowPunct/>
        <w:topLinePunct w:val="0"/>
        <w:bidi w:val="0"/>
        <w:adjustRightInd w:val="0"/>
        <w:snapToGrid w:val="0"/>
        <w:spacing w:line="576" w:lineRule="exact"/>
        <w:jc w:val="left"/>
        <w:rPr>
          <w:rFonts w:hint="eastAsia" w:ascii="仿宋" w:hAnsi="仿宋" w:eastAsia="宋体" w:cstheme="minorBidi"/>
          <w:sz w:val="24"/>
          <w:lang w:val="en-US" w:eastAsia="zh-CN"/>
        </w:rPr>
      </w:pPr>
      <w:r>
        <w:rPr>
          <w:rFonts w:hint="eastAsia" w:ascii="Times New Roman" w:hAnsi="Times New Roman" w:eastAsia="宋体" w:cs="Times New Roman"/>
          <w:kern w:val="2"/>
          <w:sz w:val="24"/>
          <w:szCs w:val="24"/>
          <w:lang w:val="en-US" w:eastAsia="zh-CN" w:bidi="ar-SA"/>
        </w:rPr>
        <w:t>四、</w:t>
      </w:r>
      <w:r>
        <w:rPr>
          <w:rFonts w:hint="eastAsia"/>
          <w:sz w:val="24"/>
        </w:rPr>
        <w:t>财政拨款收入支出决算总表</w:t>
      </w:r>
      <w:r>
        <w:rPr>
          <w:rFonts w:hint="eastAsia"/>
          <w:sz w:val="24"/>
        </w:rPr>
        <w:tab/>
      </w:r>
      <w:r>
        <w:rPr>
          <w:rFonts w:hint="eastAsia"/>
          <w:sz w:val="24"/>
        </w:rPr>
        <w:t>2</w:t>
      </w:r>
      <w:r>
        <w:rPr>
          <w:rFonts w:hint="eastAsia"/>
          <w:sz w:val="24"/>
          <w:lang w:val="en-US" w:eastAsia="zh-CN"/>
        </w:rPr>
        <w:t>3</w:t>
      </w:r>
    </w:p>
    <w:p w14:paraId="21B5A80E">
      <w:pPr>
        <w:pStyle w:val="13"/>
        <w:pageBreakBefore w:val="0"/>
        <w:tabs>
          <w:tab w:val="right" w:leader="dot" w:pos="7980"/>
        </w:tabs>
        <w:kinsoku/>
        <w:wordWrap/>
        <w:overflowPunct/>
        <w:topLinePunct w:val="0"/>
        <w:bidi w:val="0"/>
        <w:adjustRightInd w:val="0"/>
        <w:snapToGrid w:val="0"/>
        <w:spacing w:line="576" w:lineRule="exact"/>
        <w:jc w:val="left"/>
        <w:rPr>
          <w:rFonts w:hint="eastAsia" w:ascii="仿宋" w:hAnsi="仿宋" w:eastAsia="宋体"/>
          <w:sz w:val="24"/>
          <w:lang w:val="en-US" w:eastAsia="zh-CN"/>
        </w:rPr>
      </w:pPr>
      <w:r>
        <w:rPr>
          <w:rFonts w:hint="eastAsia" w:ascii="Times New Roman" w:hAnsi="Times New Roman" w:eastAsia="宋体" w:cs="Times New Roman"/>
          <w:kern w:val="2"/>
          <w:sz w:val="24"/>
          <w:szCs w:val="24"/>
          <w:lang w:val="en-US" w:eastAsia="zh-CN" w:bidi="ar-SA"/>
        </w:rPr>
        <w:t>五、财</w:t>
      </w:r>
      <w:r>
        <w:rPr>
          <w:rFonts w:hint="eastAsia"/>
          <w:sz w:val="24"/>
        </w:rPr>
        <w:t>政拨款支出决算明细表</w:t>
      </w:r>
      <w:r>
        <w:rPr>
          <w:rFonts w:hint="eastAsia" w:ascii="仿宋" w:hAnsi="仿宋" w:eastAsia="仿宋"/>
          <w:sz w:val="24"/>
        </w:rPr>
        <w:tab/>
      </w:r>
      <w:r>
        <w:rPr>
          <w:rFonts w:hint="eastAsia"/>
          <w:sz w:val="24"/>
        </w:rPr>
        <w:t>2</w:t>
      </w:r>
      <w:r>
        <w:rPr>
          <w:rFonts w:hint="eastAsia"/>
          <w:sz w:val="24"/>
          <w:lang w:val="en-US" w:eastAsia="zh-CN"/>
        </w:rPr>
        <w:t>3</w:t>
      </w:r>
    </w:p>
    <w:p w14:paraId="5D9C7CE0">
      <w:pPr>
        <w:pStyle w:val="13"/>
        <w:pageBreakBefore w:val="0"/>
        <w:tabs>
          <w:tab w:val="right" w:leader="dot" w:pos="7980"/>
        </w:tabs>
        <w:kinsoku/>
        <w:wordWrap/>
        <w:overflowPunct/>
        <w:topLinePunct w:val="0"/>
        <w:bidi w:val="0"/>
        <w:adjustRightInd w:val="0"/>
        <w:snapToGrid w:val="0"/>
        <w:spacing w:line="576" w:lineRule="exact"/>
        <w:jc w:val="left"/>
        <w:rPr>
          <w:rFonts w:hint="eastAsia" w:ascii="仿宋" w:hAnsi="仿宋" w:eastAsia="宋体" w:cstheme="minorBidi"/>
          <w:sz w:val="24"/>
          <w:lang w:val="en-US" w:eastAsia="zh-CN"/>
        </w:rPr>
      </w:pPr>
      <w:r>
        <w:rPr>
          <w:rFonts w:hint="eastAsia" w:ascii="Times New Roman" w:hAnsi="Times New Roman" w:eastAsia="宋体" w:cs="Times New Roman"/>
          <w:kern w:val="2"/>
          <w:sz w:val="24"/>
          <w:szCs w:val="24"/>
          <w:lang w:val="en-US" w:eastAsia="zh-CN" w:bidi="ar-SA"/>
        </w:rPr>
        <w:t>六、</w:t>
      </w:r>
      <w:r>
        <w:rPr>
          <w:rFonts w:hint="eastAsia"/>
          <w:sz w:val="24"/>
        </w:rPr>
        <w:t>一般公共预算财政拨款支出决算表</w:t>
      </w:r>
      <w:r>
        <w:rPr>
          <w:rFonts w:hint="eastAsia"/>
          <w:sz w:val="24"/>
        </w:rPr>
        <w:tab/>
      </w:r>
      <w:r>
        <w:rPr>
          <w:rFonts w:hint="eastAsia"/>
          <w:sz w:val="24"/>
        </w:rPr>
        <w:t>2</w:t>
      </w:r>
      <w:r>
        <w:rPr>
          <w:rFonts w:hint="eastAsia"/>
          <w:sz w:val="24"/>
          <w:lang w:val="en-US" w:eastAsia="zh-CN"/>
        </w:rPr>
        <w:t>3</w:t>
      </w:r>
    </w:p>
    <w:p w14:paraId="6BFAE304">
      <w:pPr>
        <w:pStyle w:val="13"/>
        <w:pageBreakBefore w:val="0"/>
        <w:tabs>
          <w:tab w:val="right" w:leader="dot" w:pos="7980"/>
        </w:tabs>
        <w:kinsoku/>
        <w:wordWrap/>
        <w:overflowPunct/>
        <w:topLinePunct w:val="0"/>
        <w:bidi w:val="0"/>
        <w:adjustRightInd w:val="0"/>
        <w:snapToGrid w:val="0"/>
        <w:spacing w:line="576" w:lineRule="exact"/>
        <w:jc w:val="left"/>
        <w:rPr>
          <w:rFonts w:hint="eastAsia" w:ascii="仿宋" w:hAnsi="仿宋" w:eastAsia="宋体" w:cstheme="minorBidi"/>
          <w:sz w:val="24"/>
          <w:lang w:val="en-US" w:eastAsia="zh-CN"/>
        </w:rPr>
      </w:pPr>
      <w:r>
        <w:rPr>
          <w:rFonts w:hint="eastAsia" w:ascii="Times New Roman" w:hAnsi="Times New Roman" w:eastAsia="宋体" w:cs="Times New Roman"/>
          <w:kern w:val="2"/>
          <w:sz w:val="24"/>
          <w:szCs w:val="24"/>
          <w:lang w:val="en-US" w:eastAsia="zh-CN" w:bidi="ar-SA"/>
        </w:rPr>
        <w:t>七、</w:t>
      </w:r>
      <w:r>
        <w:rPr>
          <w:rFonts w:hint="eastAsia"/>
          <w:sz w:val="24"/>
        </w:rPr>
        <w:t>一般公共预算财政拨款支出决算明细表</w:t>
      </w:r>
      <w:r>
        <w:rPr>
          <w:rFonts w:hint="eastAsia"/>
          <w:sz w:val="24"/>
        </w:rPr>
        <w:tab/>
      </w:r>
      <w:r>
        <w:rPr>
          <w:rFonts w:hint="eastAsia"/>
          <w:sz w:val="24"/>
        </w:rPr>
        <w:t>2</w:t>
      </w:r>
      <w:r>
        <w:rPr>
          <w:rFonts w:hint="eastAsia"/>
          <w:sz w:val="24"/>
          <w:lang w:val="en-US" w:eastAsia="zh-CN"/>
        </w:rPr>
        <w:t>3</w:t>
      </w:r>
    </w:p>
    <w:p w14:paraId="605BB85B">
      <w:pPr>
        <w:pStyle w:val="13"/>
        <w:pageBreakBefore w:val="0"/>
        <w:tabs>
          <w:tab w:val="right" w:leader="dot" w:pos="7980"/>
        </w:tabs>
        <w:kinsoku/>
        <w:wordWrap/>
        <w:overflowPunct/>
        <w:topLinePunct w:val="0"/>
        <w:bidi w:val="0"/>
        <w:adjustRightInd w:val="0"/>
        <w:snapToGrid w:val="0"/>
        <w:spacing w:line="576" w:lineRule="exact"/>
        <w:jc w:val="left"/>
        <w:rPr>
          <w:rFonts w:hint="eastAsia" w:ascii="仿宋" w:hAnsi="仿宋" w:eastAsia="宋体" w:cstheme="minorBidi"/>
          <w:sz w:val="24"/>
          <w:lang w:val="en-US" w:eastAsia="zh-CN"/>
        </w:rPr>
      </w:pPr>
      <w:r>
        <w:rPr>
          <w:rFonts w:hint="eastAsia" w:ascii="Times New Roman" w:hAnsi="Times New Roman" w:eastAsia="宋体" w:cs="Times New Roman"/>
          <w:kern w:val="2"/>
          <w:sz w:val="24"/>
          <w:szCs w:val="24"/>
          <w:lang w:val="en-US" w:eastAsia="zh-CN" w:bidi="ar-SA"/>
        </w:rPr>
        <w:t>八、</w:t>
      </w:r>
      <w:r>
        <w:rPr>
          <w:rFonts w:hint="eastAsia"/>
          <w:sz w:val="24"/>
        </w:rPr>
        <w:t>一般公共预算财政拨款基本支出决算表</w:t>
      </w:r>
      <w:r>
        <w:rPr>
          <w:rFonts w:hint="eastAsia"/>
          <w:sz w:val="24"/>
        </w:rPr>
        <w:tab/>
      </w:r>
      <w:r>
        <w:rPr>
          <w:rFonts w:hint="eastAsia"/>
          <w:sz w:val="24"/>
        </w:rPr>
        <w:t>2</w:t>
      </w:r>
      <w:r>
        <w:rPr>
          <w:rFonts w:hint="eastAsia"/>
          <w:sz w:val="24"/>
          <w:lang w:val="en-US" w:eastAsia="zh-CN"/>
        </w:rPr>
        <w:t>3</w:t>
      </w:r>
    </w:p>
    <w:p w14:paraId="0FCF5D30">
      <w:pPr>
        <w:pStyle w:val="13"/>
        <w:pageBreakBefore w:val="0"/>
        <w:tabs>
          <w:tab w:val="right" w:leader="dot" w:pos="7980"/>
        </w:tabs>
        <w:kinsoku/>
        <w:wordWrap/>
        <w:overflowPunct/>
        <w:topLinePunct w:val="0"/>
        <w:bidi w:val="0"/>
        <w:adjustRightInd w:val="0"/>
        <w:snapToGrid w:val="0"/>
        <w:spacing w:line="576" w:lineRule="exact"/>
        <w:jc w:val="left"/>
        <w:rPr>
          <w:rFonts w:hint="eastAsia" w:ascii="仿宋" w:hAnsi="仿宋" w:eastAsia="宋体" w:cstheme="minorBidi"/>
          <w:sz w:val="24"/>
          <w:lang w:val="en-US" w:eastAsia="zh-CN"/>
        </w:rPr>
      </w:pPr>
      <w:r>
        <w:rPr>
          <w:rFonts w:hint="eastAsia" w:ascii="Times New Roman" w:hAnsi="Times New Roman" w:eastAsia="宋体" w:cs="Times New Roman"/>
          <w:kern w:val="2"/>
          <w:sz w:val="24"/>
          <w:szCs w:val="24"/>
          <w:lang w:val="en-US" w:eastAsia="zh-CN" w:bidi="ar-SA"/>
        </w:rPr>
        <w:t>九、</w:t>
      </w:r>
      <w:r>
        <w:rPr>
          <w:rFonts w:hint="eastAsia"/>
          <w:sz w:val="24"/>
        </w:rPr>
        <w:t>一般公共预算财政拨款项目支出决算表</w:t>
      </w:r>
      <w:r>
        <w:rPr>
          <w:rFonts w:hint="eastAsia"/>
          <w:sz w:val="24"/>
        </w:rPr>
        <w:tab/>
      </w:r>
      <w:r>
        <w:rPr>
          <w:rFonts w:hint="eastAsia"/>
          <w:sz w:val="24"/>
        </w:rPr>
        <w:t>2</w:t>
      </w:r>
      <w:r>
        <w:rPr>
          <w:rFonts w:hint="eastAsia"/>
          <w:sz w:val="24"/>
          <w:lang w:val="en-US" w:eastAsia="zh-CN"/>
        </w:rPr>
        <w:t>3</w:t>
      </w:r>
    </w:p>
    <w:p w14:paraId="5055A79D">
      <w:pPr>
        <w:pStyle w:val="13"/>
        <w:pageBreakBefore w:val="0"/>
        <w:tabs>
          <w:tab w:val="right" w:leader="dot" w:pos="7980"/>
        </w:tabs>
        <w:kinsoku/>
        <w:wordWrap/>
        <w:overflowPunct/>
        <w:topLinePunct w:val="0"/>
        <w:bidi w:val="0"/>
        <w:adjustRightInd w:val="0"/>
        <w:snapToGrid w:val="0"/>
        <w:spacing w:line="576" w:lineRule="exact"/>
        <w:jc w:val="left"/>
        <w:rPr>
          <w:rFonts w:hint="eastAsia" w:ascii="仿宋" w:hAnsi="仿宋" w:eastAsia="宋体" w:cstheme="minorBidi"/>
          <w:sz w:val="24"/>
          <w:lang w:val="en-US" w:eastAsia="zh-CN"/>
        </w:rPr>
      </w:pPr>
      <w:r>
        <w:rPr>
          <w:rFonts w:hint="eastAsia" w:ascii="Times New Roman" w:hAnsi="Times New Roman" w:eastAsia="宋体" w:cs="Times New Roman"/>
          <w:kern w:val="2"/>
          <w:sz w:val="24"/>
          <w:szCs w:val="24"/>
          <w:lang w:val="en-US" w:eastAsia="zh-CN" w:bidi="ar-SA"/>
        </w:rPr>
        <w:t>十、</w:t>
      </w:r>
      <w:r>
        <w:rPr>
          <w:rFonts w:hint="eastAsia"/>
          <w:color w:val="auto"/>
          <w:sz w:val="24"/>
          <w:highlight w:val="none"/>
        </w:rPr>
        <w:t>政府性基金预算财政拨款收入支出决算表</w:t>
      </w:r>
      <w:r>
        <w:rPr>
          <w:rFonts w:hint="eastAsia"/>
          <w:sz w:val="24"/>
        </w:rPr>
        <w:tab/>
      </w:r>
      <w:r>
        <w:rPr>
          <w:rFonts w:hint="eastAsia"/>
          <w:sz w:val="24"/>
        </w:rPr>
        <w:t>2</w:t>
      </w:r>
      <w:r>
        <w:rPr>
          <w:rFonts w:hint="eastAsia"/>
          <w:sz w:val="24"/>
          <w:lang w:val="en-US" w:eastAsia="zh-CN"/>
        </w:rPr>
        <w:t>3</w:t>
      </w:r>
    </w:p>
    <w:p w14:paraId="4DEB9C43">
      <w:pPr>
        <w:pStyle w:val="13"/>
        <w:pageBreakBefore w:val="0"/>
        <w:tabs>
          <w:tab w:val="right" w:leader="dot" w:pos="7980"/>
        </w:tabs>
        <w:kinsoku/>
        <w:wordWrap/>
        <w:overflowPunct/>
        <w:topLinePunct w:val="0"/>
        <w:bidi w:val="0"/>
        <w:adjustRightInd w:val="0"/>
        <w:snapToGrid w:val="0"/>
        <w:spacing w:line="576" w:lineRule="exact"/>
        <w:jc w:val="left"/>
        <w:rPr>
          <w:rFonts w:hint="eastAsia" w:ascii="仿宋" w:hAnsi="仿宋" w:eastAsia="宋体" w:cstheme="minorBidi"/>
          <w:sz w:val="24"/>
          <w:lang w:val="en-US" w:eastAsia="zh-CN"/>
        </w:rPr>
      </w:pPr>
      <w:r>
        <w:rPr>
          <w:rFonts w:hint="eastAsia" w:ascii="Times New Roman" w:hAnsi="Times New Roman" w:eastAsia="宋体" w:cs="Times New Roman"/>
          <w:kern w:val="2"/>
          <w:sz w:val="24"/>
          <w:szCs w:val="24"/>
          <w:lang w:val="en-US" w:eastAsia="zh-CN" w:bidi="ar-SA"/>
        </w:rPr>
        <w:t>十一、</w:t>
      </w:r>
      <w:r>
        <w:rPr>
          <w:rFonts w:hint="eastAsia"/>
          <w:color w:val="auto"/>
          <w:sz w:val="24"/>
          <w:highlight w:val="none"/>
        </w:rPr>
        <w:t>国有资本经营预算财政拨款收入支出决算表</w:t>
      </w:r>
      <w:r>
        <w:rPr>
          <w:rFonts w:hint="eastAsia"/>
          <w:sz w:val="24"/>
        </w:rPr>
        <w:tab/>
      </w:r>
      <w:r>
        <w:rPr>
          <w:rFonts w:hint="eastAsia"/>
          <w:sz w:val="24"/>
        </w:rPr>
        <w:t>2</w:t>
      </w:r>
      <w:r>
        <w:rPr>
          <w:rFonts w:hint="eastAsia"/>
          <w:sz w:val="24"/>
          <w:lang w:val="en-US" w:eastAsia="zh-CN"/>
        </w:rPr>
        <w:t>3</w:t>
      </w:r>
    </w:p>
    <w:p w14:paraId="1D30D9F2">
      <w:pPr>
        <w:pStyle w:val="13"/>
        <w:pageBreakBefore w:val="0"/>
        <w:tabs>
          <w:tab w:val="right" w:leader="dot" w:pos="7980"/>
        </w:tabs>
        <w:kinsoku/>
        <w:wordWrap/>
        <w:overflowPunct/>
        <w:topLinePunct w:val="0"/>
        <w:bidi w:val="0"/>
        <w:adjustRightInd w:val="0"/>
        <w:snapToGrid w:val="0"/>
        <w:spacing w:line="576" w:lineRule="exact"/>
        <w:jc w:val="left"/>
        <w:rPr>
          <w:rFonts w:hint="eastAsia" w:ascii="仿宋" w:hAnsi="仿宋" w:eastAsia="宋体" w:cstheme="minorBidi"/>
          <w:sz w:val="24"/>
          <w:lang w:val="en-US" w:eastAsia="zh-CN"/>
        </w:rPr>
      </w:pPr>
      <w:r>
        <w:rPr>
          <w:rFonts w:hint="eastAsia" w:ascii="Times New Roman" w:hAnsi="Times New Roman" w:eastAsia="宋体" w:cs="Times New Roman"/>
          <w:kern w:val="2"/>
          <w:sz w:val="24"/>
          <w:szCs w:val="24"/>
          <w:lang w:val="en-US" w:eastAsia="zh-CN" w:bidi="ar-SA"/>
        </w:rPr>
        <w:t>十二、</w:t>
      </w:r>
      <w:r>
        <w:rPr>
          <w:rFonts w:hint="eastAsia"/>
          <w:color w:val="auto"/>
          <w:sz w:val="24"/>
          <w:highlight w:val="none"/>
          <w:lang w:val="en-US" w:eastAsia="zh-CN"/>
        </w:rPr>
        <w:t>国有资本经营预算财政拨款支出决算表</w:t>
      </w:r>
      <w:r>
        <w:rPr>
          <w:rFonts w:hint="eastAsia"/>
          <w:sz w:val="24"/>
        </w:rPr>
        <w:tab/>
      </w:r>
      <w:r>
        <w:rPr>
          <w:rFonts w:hint="eastAsia"/>
          <w:sz w:val="24"/>
        </w:rPr>
        <w:t>2</w:t>
      </w:r>
      <w:r>
        <w:rPr>
          <w:rFonts w:hint="eastAsia"/>
          <w:sz w:val="24"/>
          <w:lang w:val="en-US" w:eastAsia="zh-CN"/>
        </w:rPr>
        <w:t>3</w:t>
      </w:r>
    </w:p>
    <w:p w14:paraId="4E51FBF7">
      <w:pPr>
        <w:pStyle w:val="13"/>
        <w:pageBreakBefore w:val="0"/>
        <w:tabs>
          <w:tab w:val="right" w:leader="dot" w:pos="7980"/>
        </w:tabs>
        <w:kinsoku/>
        <w:wordWrap/>
        <w:overflowPunct/>
        <w:topLinePunct w:val="0"/>
        <w:bidi w:val="0"/>
        <w:adjustRightInd w:val="0"/>
        <w:snapToGrid w:val="0"/>
        <w:spacing w:line="576" w:lineRule="exact"/>
        <w:jc w:val="left"/>
        <w:rPr>
          <w:rFonts w:hint="default"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十三、财政拨款“三公”经费支出决算表</w:t>
      </w:r>
      <w:r>
        <w:rPr>
          <w:rFonts w:hint="eastAsia" w:ascii="Times New Roman" w:hAnsi="Times New Roman" w:eastAsia="宋体" w:cs="Times New Roman"/>
          <w:kern w:val="2"/>
          <w:sz w:val="24"/>
          <w:szCs w:val="24"/>
          <w:lang w:val="en-US" w:eastAsia="zh-CN" w:bidi="ar-SA"/>
        </w:rPr>
        <w:tab/>
      </w:r>
      <w:r>
        <w:rPr>
          <w:rFonts w:hint="eastAsia" w:ascii="Times New Roman" w:hAnsi="Times New Roman" w:eastAsia="宋体" w:cs="Times New Roman"/>
          <w:kern w:val="2"/>
          <w:sz w:val="24"/>
          <w:szCs w:val="24"/>
          <w:lang w:val="en-US" w:eastAsia="zh-CN" w:bidi="ar-SA"/>
        </w:rPr>
        <w:t>2</w:t>
      </w:r>
      <w:r>
        <w:rPr>
          <w:rFonts w:hint="eastAsia" w:cs="Times New Roman"/>
          <w:kern w:val="2"/>
          <w:sz w:val="24"/>
          <w:szCs w:val="24"/>
          <w:lang w:val="en-US" w:eastAsia="zh-CN" w:bidi="ar-SA"/>
        </w:rPr>
        <w:t>3</w:t>
      </w:r>
    </w:p>
    <w:p w14:paraId="4A2F053B">
      <w:pPr>
        <w:pageBreakBefore w:val="0"/>
        <w:widowControl/>
        <w:kinsoku/>
        <w:wordWrap/>
        <w:overflowPunct/>
        <w:topLinePunct w:val="0"/>
        <w:bidi w:val="0"/>
        <w:spacing w:line="576" w:lineRule="exact"/>
        <w:jc w:val="left"/>
        <w:rPr>
          <w:rFonts w:ascii="仿宋" w:hAnsi="仿宋" w:eastAsia="仿宋"/>
          <w:bCs/>
          <w:kern w:val="44"/>
          <w:sz w:val="24"/>
        </w:rPr>
      </w:pPr>
      <w:bookmarkStart w:id="12" w:name="_Toc15396599"/>
      <w:bookmarkStart w:id="13" w:name="_Toc15377196"/>
      <w:r>
        <w:rPr>
          <w:rFonts w:ascii="仿宋" w:hAnsi="仿宋" w:eastAsia="仿宋"/>
          <w:b/>
          <w:sz w:val="24"/>
        </w:rPr>
        <w:br w:type="page"/>
      </w:r>
    </w:p>
    <w:p w14:paraId="2ADA131C">
      <w:pPr>
        <w:pStyle w:val="3"/>
        <w:pageBreakBefore w:val="0"/>
        <w:kinsoku/>
        <w:wordWrap/>
        <w:overflowPunct/>
        <w:topLinePunct w:val="0"/>
        <w:bidi w:val="0"/>
        <w:spacing w:line="576" w:lineRule="exact"/>
        <w:jc w:val="center"/>
        <w:rPr>
          <w:rFonts w:ascii="黑体" w:eastAsia="黑体"/>
          <w:color w:val="000000"/>
          <w:sz w:val="32"/>
          <w:szCs w:val="32"/>
        </w:rPr>
      </w:pPr>
      <w:r>
        <w:rPr>
          <w:rFonts w:hint="eastAsia" w:ascii="黑体" w:hAnsi="黑体" w:eastAsia="黑体"/>
          <w:b w:val="0"/>
        </w:rPr>
        <w:t>第一部分</w:t>
      </w:r>
      <w:r>
        <w:rPr>
          <w:rStyle w:val="29"/>
          <w:rFonts w:hint="eastAsia" w:ascii="黑体" w:hAnsi="黑体" w:eastAsia="黑体"/>
          <w:b w:val="0"/>
          <w:bCs w:val="0"/>
        </w:rPr>
        <w:t>部门概况</w:t>
      </w:r>
      <w:bookmarkEnd w:id="12"/>
      <w:bookmarkEnd w:id="13"/>
    </w:p>
    <w:p w14:paraId="6F331F3C">
      <w:pPr>
        <w:pStyle w:val="4"/>
        <w:keepNext/>
        <w:keepLines/>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Style w:val="30"/>
          <w:rFonts w:ascii="仿宋" w:hAnsi="仿宋" w:eastAsia="仿宋"/>
          <w:b w:val="0"/>
          <w:bCs w:val="0"/>
        </w:rPr>
      </w:pPr>
      <w:bookmarkStart w:id="14" w:name="_Toc15396600"/>
      <w:bookmarkStart w:id="15" w:name="_Toc15377197"/>
      <w:r>
        <w:rPr>
          <w:rFonts w:hint="eastAsia" w:ascii="黑体" w:hAnsi="黑体" w:eastAsia="黑体"/>
          <w:b w:val="0"/>
          <w:color w:val="000000"/>
        </w:rPr>
        <w:t>一、</w:t>
      </w:r>
      <w:bookmarkEnd w:id="14"/>
      <w:bookmarkEnd w:id="15"/>
      <w:r>
        <w:rPr>
          <w:rFonts w:hint="eastAsia" w:ascii="黑体" w:hAnsi="黑体" w:eastAsia="黑体"/>
          <w:b w:val="0"/>
          <w:color w:val="000000"/>
        </w:rPr>
        <w:t>部门职责</w:t>
      </w:r>
    </w:p>
    <w:p w14:paraId="71EBC1EF">
      <w:pPr>
        <w:pStyle w:val="6"/>
        <w:keepNext w:val="0"/>
        <w:keepLines w:val="0"/>
        <w:pageBreakBefore w:val="0"/>
        <w:widowControl w:val="0"/>
        <w:kinsoku/>
        <w:wordWrap/>
        <w:overflowPunct/>
        <w:topLinePunct w:val="0"/>
        <w:autoSpaceDE/>
        <w:autoSpaceDN/>
        <w:bidi w:val="0"/>
        <w:adjustRightInd w:val="0"/>
        <w:snapToGrid w:val="0"/>
        <w:spacing w:beforeLines="0" w:line="576" w:lineRule="exact"/>
        <w:ind w:firstLine="643" w:firstLineChars="200"/>
        <w:textAlignment w:val="auto"/>
        <w:outlineLvl w:val="2"/>
        <w:rPr>
          <w:rFonts w:hint="eastAsia" w:ascii="仿宋_GB2312" w:eastAsia="仿宋_GB2312"/>
          <w:color w:val="333333"/>
          <w:sz w:val="32"/>
          <w:szCs w:val="32"/>
        </w:rPr>
      </w:pPr>
      <w:bookmarkStart w:id="16" w:name="_Toc15377198"/>
      <w:bookmarkStart w:id="17" w:name="_Toc15378445"/>
      <w:r>
        <w:rPr>
          <w:rFonts w:hint="eastAsia" w:ascii="楷体_GB2312" w:hAnsi="楷体_GB2312" w:eastAsia="楷体_GB2312" w:cs="楷体_GB2312"/>
          <w:b/>
          <w:bCs w:val="0"/>
          <w:color w:val="000000"/>
          <w:sz w:val="32"/>
          <w:szCs w:val="32"/>
        </w:rPr>
        <w:t>（一）主要职能。</w:t>
      </w:r>
      <w:bookmarkEnd w:id="16"/>
      <w:bookmarkEnd w:id="17"/>
    </w:p>
    <w:p w14:paraId="32EA2200">
      <w:pPr>
        <w:pageBreakBefore w:val="0"/>
        <w:kinsoku/>
        <w:wordWrap/>
        <w:overflowPunct/>
        <w:topLinePunct w:val="0"/>
        <w:bidi w:val="0"/>
        <w:snapToGrid w:val="0"/>
        <w:spacing w:line="576" w:lineRule="exact"/>
        <w:ind w:firstLine="640" w:firstLineChars="200"/>
        <w:jc w:val="left"/>
        <w:rPr>
          <w:rFonts w:hint="eastAsia" w:ascii="仿宋_GB2312" w:eastAsia="仿宋_GB2312"/>
          <w:color w:val="333333"/>
          <w:sz w:val="32"/>
          <w:szCs w:val="32"/>
        </w:rPr>
      </w:pPr>
      <w:r>
        <w:rPr>
          <w:rFonts w:hint="eastAsia" w:ascii="仿宋_GB2312" w:eastAsia="仿宋_GB2312"/>
          <w:color w:val="333333"/>
          <w:sz w:val="32"/>
          <w:szCs w:val="32"/>
          <w:lang w:val="en-US" w:eastAsia="zh-CN"/>
        </w:rPr>
        <w:t>1.</w:t>
      </w:r>
      <w:r>
        <w:rPr>
          <w:rFonts w:hint="eastAsia" w:ascii="仿宋_GB2312" w:eastAsia="仿宋_GB2312"/>
          <w:color w:val="333333"/>
          <w:sz w:val="32"/>
          <w:szCs w:val="32"/>
        </w:rPr>
        <w:t>贯彻执行国家、省、州有关统计工作的方针、政策和法律、法规，承担组织领导和综合协调全县统计工作，确保统计数据真实、准确、及时的责任。</w:t>
      </w:r>
    </w:p>
    <w:p w14:paraId="47558650">
      <w:pPr>
        <w:pageBreakBefore w:val="0"/>
        <w:kinsoku/>
        <w:wordWrap/>
        <w:overflowPunct/>
        <w:topLinePunct w:val="0"/>
        <w:bidi w:val="0"/>
        <w:snapToGrid w:val="0"/>
        <w:spacing w:line="576" w:lineRule="exact"/>
        <w:ind w:firstLine="640" w:firstLineChars="200"/>
        <w:jc w:val="left"/>
        <w:rPr>
          <w:rFonts w:hint="eastAsia" w:ascii="仿宋_GB2312" w:eastAsia="仿宋_GB2312"/>
          <w:color w:val="333333"/>
          <w:sz w:val="32"/>
          <w:szCs w:val="32"/>
        </w:rPr>
      </w:pPr>
      <w:r>
        <w:rPr>
          <w:rFonts w:hint="eastAsia" w:ascii="仿宋_GB2312" w:eastAsia="仿宋_GB2312"/>
          <w:color w:val="333333"/>
          <w:sz w:val="32"/>
          <w:szCs w:val="32"/>
          <w:lang w:val="en-US" w:eastAsia="zh-CN"/>
        </w:rPr>
        <w:t>2.</w:t>
      </w:r>
      <w:r>
        <w:rPr>
          <w:rFonts w:hint="eastAsia" w:ascii="仿宋_GB2312" w:eastAsia="仿宋_GB2312"/>
          <w:color w:val="333333"/>
          <w:sz w:val="32"/>
          <w:szCs w:val="32"/>
        </w:rPr>
        <w:t>建立健全全县国民经济核算体系</w:t>
      </w:r>
      <w:r>
        <w:rPr>
          <w:rFonts w:hint="eastAsia" w:ascii="仿宋_GB2312" w:eastAsia="仿宋_GB2312"/>
          <w:color w:val="333333"/>
          <w:sz w:val="32"/>
          <w:szCs w:val="32"/>
          <w:lang w:eastAsia="zh-CN"/>
        </w:rPr>
        <w:t>，</w:t>
      </w:r>
      <w:r>
        <w:rPr>
          <w:rFonts w:hint="eastAsia" w:ascii="仿宋_GB2312" w:eastAsia="仿宋_GB2312"/>
          <w:color w:val="333333"/>
          <w:sz w:val="32"/>
          <w:szCs w:val="32"/>
        </w:rPr>
        <w:t>实施县国民经济核算制度，核算全县生产总值，整理提供国民</w:t>
      </w:r>
      <w:r>
        <w:rPr>
          <w:rFonts w:hint="eastAsia" w:ascii="仿宋_GB2312" w:eastAsia="仿宋_GB2312"/>
          <w:color w:val="333333"/>
          <w:sz w:val="32"/>
          <w:szCs w:val="32"/>
        </w:rPr>
        <w:tab/>
      </w:r>
      <w:r>
        <w:rPr>
          <w:rFonts w:hint="eastAsia" w:ascii="仿宋_GB2312" w:eastAsia="仿宋_GB2312"/>
          <w:color w:val="333333"/>
          <w:sz w:val="32"/>
          <w:szCs w:val="32"/>
        </w:rPr>
        <w:t>济核算资料，开展分析研究全县国民经济核算工作。</w:t>
      </w:r>
    </w:p>
    <w:p w14:paraId="19C5CFFD">
      <w:pPr>
        <w:pageBreakBefore w:val="0"/>
        <w:kinsoku/>
        <w:wordWrap/>
        <w:overflowPunct/>
        <w:topLinePunct w:val="0"/>
        <w:bidi w:val="0"/>
        <w:snapToGrid w:val="0"/>
        <w:spacing w:line="576" w:lineRule="exact"/>
        <w:ind w:firstLine="640" w:firstLineChars="200"/>
        <w:jc w:val="left"/>
        <w:rPr>
          <w:rFonts w:hint="eastAsia" w:ascii="仿宋_GB2312" w:eastAsia="仿宋_GB2312"/>
          <w:color w:val="333333"/>
          <w:sz w:val="32"/>
          <w:szCs w:val="32"/>
        </w:rPr>
      </w:pPr>
      <w:r>
        <w:rPr>
          <w:rFonts w:hint="eastAsia" w:ascii="仿宋_GB2312" w:eastAsia="仿宋_GB2312"/>
          <w:color w:val="333333"/>
          <w:sz w:val="32"/>
          <w:szCs w:val="32"/>
          <w:lang w:val="en-US" w:eastAsia="zh-CN"/>
        </w:rPr>
        <w:t>3.</w:t>
      </w:r>
      <w:r>
        <w:rPr>
          <w:rFonts w:hint="eastAsia" w:ascii="仿宋_GB2312" w:eastAsia="仿宋_GB2312"/>
          <w:color w:val="333333"/>
          <w:sz w:val="32"/>
          <w:szCs w:val="32"/>
        </w:rPr>
        <w:t>组织实施农林牧渔业、工业、建筑业、批发和零售业、住宿和餐饮业、房地产业等国民经济行业以及能源、投资、人口、收入、科技、社会发展基本情况、环境基本状况等领域的统计调查，建立全县经济社会发展监测评价制度及指标体系，对重点区域和重要领域实施监测评价，牵头综合整理和提供资源、房屋、旅游、教育、卫生、邮电、交通运输、社会保障、公用事业、对外贸易、对外经济等全县基本统计资料。</w:t>
      </w:r>
    </w:p>
    <w:p w14:paraId="2BE1FF81">
      <w:pPr>
        <w:pageBreakBefore w:val="0"/>
        <w:kinsoku/>
        <w:wordWrap/>
        <w:overflowPunct/>
        <w:topLinePunct w:val="0"/>
        <w:bidi w:val="0"/>
        <w:snapToGrid w:val="0"/>
        <w:spacing w:line="576" w:lineRule="exact"/>
        <w:ind w:firstLine="640" w:firstLineChars="200"/>
        <w:jc w:val="left"/>
        <w:rPr>
          <w:rFonts w:hint="eastAsia" w:ascii="仿宋_GB2312" w:eastAsia="仿宋_GB2312"/>
          <w:color w:val="333333"/>
          <w:sz w:val="32"/>
          <w:szCs w:val="32"/>
        </w:rPr>
      </w:pPr>
      <w:r>
        <w:rPr>
          <w:rFonts w:hint="eastAsia" w:ascii="仿宋_GB2312" w:eastAsia="仿宋_GB2312"/>
          <w:color w:val="333333"/>
          <w:sz w:val="32"/>
          <w:szCs w:val="32"/>
          <w:lang w:val="en-US" w:eastAsia="zh-CN"/>
        </w:rPr>
        <w:t>4.</w:t>
      </w:r>
      <w:r>
        <w:rPr>
          <w:rFonts w:hint="eastAsia" w:ascii="仿宋_GB2312" w:eastAsia="仿宋_GB2312"/>
          <w:color w:val="333333"/>
          <w:sz w:val="32"/>
          <w:szCs w:val="32"/>
        </w:rPr>
        <w:t>组织实施人口、经济、农业等普查和重大国情国力专项调查，组织实施全县投入产出调查。</w:t>
      </w:r>
    </w:p>
    <w:p w14:paraId="46519D7E">
      <w:pPr>
        <w:pageBreakBefore w:val="0"/>
        <w:kinsoku/>
        <w:wordWrap/>
        <w:overflowPunct/>
        <w:topLinePunct w:val="0"/>
        <w:bidi w:val="0"/>
        <w:snapToGrid w:val="0"/>
        <w:spacing w:line="576" w:lineRule="exact"/>
        <w:ind w:firstLine="640" w:firstLineChars="200"/>
        <w:jc w:val="left"/>
        <w:rPr>
          <w:rFonts w:hint="eastAsia" w:ascii="仿宋_GB2312" w:eastAsia="仿宋_GB2312"/>
          <w:color w:val="333333"/>
          <w:sz w:val="32"/>
          <w:szCs w:val="32"/>
        </w:rPr>
      </w:pPr>
      <w:r>
        <w:rPr>
          <w:rFonts w:hint="eastAsia" w:ascii="仿宋_GB2312" w:eastAsia="仿宋_GB2312"/>
          <w:color w:val="333333"/>
          <w:sz w:val="32"/>
          <w:szCs w:val="32"/>
          <w:lang w:val="en-US" w:eastAsia="zh-CN"/>
        </w:rPr>
        <w:t>5.</w:t>
      </w:r>
      <w:r>
        <w:rPr>
          <w:rFonts w:hint="eastAsia" w:ascii="仿宋_GB2312" w:eastAsia="仿宋_GB2312"/>
          <w:color w:val="333333"/>
          <w:sz w:val="32"/>
          <w:szCs w:val="32"/>
        </w:rPr>
        <w:t>建立健全全县统计数据质量审核、监控和评估制度，依法对各县重要统计数据进行审核、监控和评估，组织指导统计基层基础建设。</w:t>
      </w:r>
    </w:p>
    <w:p w14:paraId="7A110D37">
      <w:pPr>
        <w:pageBreakBefore w:val="0"/>
        <w:kinsoku/>
        <w:wordWrap/>
        <w:overflowPunct/>
        <w:topLinePunct w:val="0"/>
        <w:bidi w:val="0"/>
        <w:snapToGrid w:val="0"/>
        <w:spacing w:line="576" w:lineRule="exact"/>
        <w:ind w:firstLine="640" w:firstLineChars="200"/>
        <w:jc w:val="left"/>
        <w:rPr>
          <w:rFonts w:hint="eastAsia" w:ascii="仿宋_GB2312" w:eastAsia="仿宋_GB2312"/>
          <w:color w:val="333333"/>
          <w:sz w:val="32"/>
          <w:szCs w:val="32"/>
        </w:rPr>
      </w:pPr>
      <w:r>
        <w:rPr>
          <w:rFonts w:hint="eastAsia" w:ascii="仿宋_GB2312" w:eastAsia="仿宋_GB2312"/>
          <w:color w:val="333333"/>
          <w:sz w:val="32"/>
          <w:szCs w:val="32"/>
          <w:lang w:val="en-US" w:eastAsia="zh-CN"/>
        </w:rPr>
        <w:t>6.</w:t>
      </w:r>
      <w:r>
        <w:rPr>
          <w:rFonts w:hint="eastAsia" w:ascii="仿宋_GB2312" w:eastAsia="仿宋_GB2312"/>
          <w:color w:val="333333"/>
          <w:sz w:val="32"/>
          <w:szCs w:val="32"/>
        </w:rPr>
        <w:t>对国民经济、社会发展、科技进步和资源环境等情况进行统计分析和预测，定期发布全县统计社会发展情况的统计信息，向县委、县政府及有关部门提供统计咨询建议，向社会公众提供统计信息服务。</w:t>
      </w:r>
    </w:p>
    <w:p w14:paraId="26426EEB">
      <w:pPr>
        <w:pageBreakBefore w:val="0"/>
        <w:kinsoku/>
        <w:wordWrap/>
        <w:overflowPunct/>
        <w:topLinePunct w:val="0"/>
        <w:bidi w:val="0"/>
        <w:snapToGrid w:val="0"/>
        <w:spacing w:line="576" w:lineRule="exact"/>
        <w:ind w:firstLine="640" w:firstLineChars="200"/>
        <w:jc w:val="left"/>
        <w:rPr>
          <w:rFonts w:hint="eastAsia" w:ascii="仿宋_GB2312" w:eastAsia="仿宋_GB2312"/>
          <w:color w:val="333333"/>
          <w:sz w:val="32"/>
          <w:szCs w:val="32"/>
        </w:rPr>
      </w:pPr>
      <w:r>
        <w:rPr>
          <w:rFonts w:hint="eastAsia" w:ascii="仿宋_GB2312" w:eastAsia="仿宋_GB2312"/>
          <w:color w:val="333333"/>
          <w:sz w:val="32"/>
          <w:szCs w:val="32"/>
          <w:lang w:val="en-US" w:eastAsia="zh-CN"/>
        </w:rPr>
        <w:t>7.</w:t>
      </w:r>
      <w:r>
        <w:rPr>
          <w:rFonts w:hint="eastAsia" w:ascii="仿宋_GB2312" w:eastAsia="仿宋_GB2312"/>
          <w:color w:val="333333"/>
          <w:sz w:val="32"/>
          <w:szCs w:val="32"/>
        </w:rPr>
        <w:t>会同有关部门组织管理全县统计专业资格考试、职务评聘和从业资格认定工作，指导全县统计专业人才队伍建设，开展统计交流与合作，监督管理地方政府统计部门由省级、州、县级财政提供的统计经费。</w:t>
      </w:r>
    </w:p>
    <w:p w14:paraId="6A57AE22">
      <w:pPr>
        <w:pageBreakBefore w:val="0"/>
        <w:kinsoku/>
        <w:wordWrap/>
        <w:overflowPunct/>
        <w:topLinePunct w:val="0"/>
        <w:bidi w:val="0"/>
        <w:snapToGrid w:val="0"/>
        <w:spacing w:line="576" w:lineRule="exact"/>
        <w:ind w:firstLine="640" w:firstLineChars="200"/>
        <w:jc w:val="left"/>
        <w:rPr>
          <w:rFonts w:hint="eastAsia" w:ascii="仿宋_GB2312" w:eastAsia="仿宋_GB2312"/>
          <w:color w:val="333333"/>
          <w:sz w:val="32"/>
          <w:szCs w:val="32"/>
        </w:rPr>
      </w:pPr>
      <w:r>
        <w:rPr>
          <w:rFonts w:hint="eastAsia" w:ascii="仿宋_GB2312" w:eastAsia="仿宋_GB2312"/>
          <w:color w:val="333333"/>
          <w:sz w:val="32"/>
          <w:szCs w:val="32"/>
          <w:lang w:val="en-US" w:eastAsia="zh-CN"/>
        </w:rPr>
        <w:t>8.</w:t>
      </w:r>
      <w:r>
        <w:rPr>
          <w:rFonts w:hint="eastAsia" w:ascii="仿宋_GB2312" w:eastAsia="仿宋_GB2312"/>
          <w:color w:val="333333"/>
          <w:sz w:val="32"/>
          <w:szCs w:val="32"/>
        </w:rPr>
        <w:t>组织制订县、乡(镇)统计数据库和网络的基本标准和运行规则，建立健全全县统计数据库系统的统计信息自动化系统，建立健全省直部门统计信息共享制度，指导地方统计信息化建设。</w:t>
      </w:r>
    </w:p>
    <w:p w14:paraId="4E97B26F">
      <w:pPr>
        <w:pageBreakBefore w:val="0"/>
        <w:kinsoku/>
        <w:wordWrap/>
        <w:overflowPunct/>
        <w:topLinePunct w:val="0"/>
        <w:bidi w:val="0"/>
        <w:snapToGrid w:val="0"/>
        <w:spacing w:line="576" w:lineRule="exact"/>
        <w:ind w:firstLine="640" w:firstLineChars="200"/>
        <w:jc w:val="left"/>
        <w:rPr>
          <w:rFonts w:hint="eastAsia" w:ascii="仿宋_GB2312" w:eastAsia="仿宋_GB2312"/>
          <w:color w:val="333333"/>
          <w:sz w:val="32"/>
          <w:szCs w:val="32"/>
        </w:rPr>
      </w:pPr>
      <w:r>
        <w:rPr>
          <w:rFonts w:hint="eastAsia" w:ascii="仿宋_GB2312" w:eastAsia="仿宋_GB2312"/>
          <w:color w:val="333333"/>
          <w:sz w:val="32"/>
          <w:szCs w:val="32"/>
          <w:lang w:val="en-US" w:eastAsia="zh-CN"/>
        </w:rPr>
        <w:t>9.</w:t>
      </w:r>
      <w:r>
        <w:rPr>
          <w:rFonts w:hint="eastAsia" w:ascii="仿宋_GB2312" w:eastAsia="仿宋_GB2312"/>
          <w:color w:val="333333"/>
          <w:sz w:val="32"/>
          <w:szCs w:val="32"/>
        </w:rPr>
        <w:t>承担县政府公布的有关行政审批事项。</w:t>
      </w:r>
    </w:p>
    <w:p w14:paraId="62AB993E">
      <w:pPr>
        <w:pageBreakBefore w:val="0"/>
        <w:kinsoku/>
        <w:wordWrap/>
        <w:overflowPunct/>
        <w:topLinePunct w:val="0"/>
        <w:bidi w:val="0"/>
        <w:snapToGrid w:val="0"/>
        <w:spacing w:line="576" w:lineRule="exact"/>
        <w:ind w:firstLine="640" w:firstLineChars="200"/>
        <w:jc w:val="left"/>
        <w:rPr>
          <w:rFonts w:hint="eastAsia" w:ascii="仿宋_GB2312" w:eastAsia="仿宋_GB2312"/>
          <w:color w:val="333333"/>
          <w:sz w:val="32"/>
          <w:szCs w:val="32"/>
        </w:rPr>
      </w:pPr>
      <w:r>
        <w:rPr>
          <w:rFonts w:hint="eastAsia" w:ascii="仿宋_GB2312" w:eastAsia="仿宋_GB2312"/>
          <w:color w:val="333333"/>
          <w:sz w:val="32"/>
          <w:szCs w:val="32"/>
          <w:lang w:val="en-US" w:eastAsia="zh-CN"/>
        </w:rPr>
        <w:t>10.</w:t>
      </w:r>
      <w:r>
        <w:rPr>
          <w:rFonts w:hint="eastAsia" w:ascii="仿宋_GB2312" w:eastAsia="仿宋_GB2312"/>
          <w:color w:val="333333"/>
          <w:sz w:val="32"/>
          <w:szCs w:val="32"/>
        </w:rPr>
        <w:t>承办县政府交办的其他事项。</w:t>
      </w:r>
    </w:p>
    <w:p w14:paraId="08CEF289">
      <w:pPr>
        <w:pStyle w:val="6"/>
        <w:keepNext w:val="0"/>
        <w:keepLines w:val="0"/>
        <w:pageBreakBefore w:val="0"/>
        <w:widowControl w:val="0"/>
        <w:kinsoku/>
        <w:wordWrap/>
        <w:overflowPunct/>
        <w:topLinePunct w:val="0"/>
        <w:autoSpaceDE/>
        <w:autoSpaceDN/>
        <w:bidi w:val="0"/>
        <w:adjustRightInd w:val="0"/>
        <w:snapToGrid w:val="0"/>
        <w:spacing w:beforeLines="0" w:line="576" w:lineRule="exact"/>
        <w:ind w:firstLine="643" w:firstLineChars="200"/>
        <w:textAlignment w:val="auto"/>
        <w:outlineLvl w:val="2"/>
        <w:rPr>
          <w:rFonts w:hint="eastAsia" w:ascii="楷体_GB2312" w:hAnsi="楷体_GB2312" w:eastAsia="楷体_GB2312" w:cs="楷体_GB2312"/>
          <w:b/>
          <w:bCs w:val="0"/>
          <w:color w:val="000000"/>
          <w:sz w:val="32"/>
          <w:szCs w:val="32"/>
        </w:rPr>
      </w:pPr>
      <w:r>
        <w:rPr>
          <w:rFonts w:hint="eastAsia" w:ascii="楷体_GB2312" w:hAnsi="楷体_GB2312" w:eastAsia="楷体_GB2312" w:cs="楷体_GB2312"/>
          <w:b/>
          <w:bCs w:val="0"/>
          <w:color w:val="000000"/>
          <w:sz w:val="32"/>
          <w:szCs w:val="32"/>
        </w:rPr>
        <w:t>（二）</w:t>
      </w:r>
      <w:r>
        <w:rPr>
          <w:rFonts w:hint="eastAsia" w:ascii="楷体_GB2312" w:hAnsi="楷体_GB2312" w:eastAsia="楷体_GB2312" w:cs="楷体_GB2312"/>
          <w:b/>
          <w:bCs w:val="0"/>
          <w:color w:val="000000"/>
          <w:sz w:val="32"/>
          <w:szCs w:val="32"/>
          <w:lang w:eastAsia="zh-CN"/>
        </w:rPr>
        <w:t>2025</w:t>
      </w:r>
      <w:r>
        <w:rPr>
          <w:rFonts w:hint="eastAsia" w:ascii="楷体_GB2312" w:hAnsi="楷体_GB2312" w:eastAsia="楷体_GB2312" w:cs="楷体_GB2312"/>
          <w:b/>
          <w:bCs w:val="0"/>
          <w:color w:val="000000"/>
          <w:sz w:val="32"/>
          <w:szCs w:val="32"/>
        </w:rPr>
        <w:t>年主要工作完成情况。</w:t>
      </w:r>
    </w:p>
    <w:p w14:paraId="14D4CC18">
      <w:pPr>
        <w:pageBreakBefore w:val="0"/>
        <w:kinsoku/>
        <w:wordWrap/>
        <w:overflowPunct/>
        <w:topLinePunct w:val="0"/>
        <w:bidi w:val="0"/>
        <w:spacing w:line="576" w:lineRule="exact"/>
        <w:ind w:firstLine="645"/>
      </w:pPr>
      <w:bookmarkStart w:id="18" w:name="_Toc15396601"/>
      <w:bookmarkStart w:id="19" w:name="_Toc15377200"/>
      <w:r>
        <w:rPr>
          <w:rFonts w:hint="eastAsia" w:ascii="仿宋_GB2312" w:eastAsia="仿宋_GB2312"/>
          <w:color w:val="333333"/>
          <w:sz w:val="32"/>
          <w:szCs w:val="32"/>
          <w:highlight w:val="none"/>
        </w:rPr>
        <w:t>2025年，</w:t>
      </w:r>
      <w:r>
        <w:rPr>
          <w:rFonts w:hint="eastAsia" w:ascii="仿宋_GB2312" w:eastAsia="仿宋_GB2312"/>
          <w:color w:val="333333"/>
          <w:sz w:val="32"/>
          <w:szCs w:val="32"/>
        </w:rPr>
        <w:t>我</w:t>
      </w:r>
      <w:r>
        <w:rPr>
          <w:rFonts w:ascii="仿宋_GB2312" w:eastAsia="仿宋_GB2312"/>
          <w:color w:val="333333"/>
          <w:sz w:val="32"/>
          <w:szCs w:val="32"/>
        </w:rPr>
        <w:t>局在县委、县政府的正确领导下，在</w:t>
      </w:r>
      <w:r>
        <w:rPr>
          <w:rFonts w:hint="eastAsia" w:ascii="仿宋_GB2312" w:eastAsia="仿宋_GB2312"/>
          <w:color w:val="333333"/>
          <w:sz w:val="32"/>
          <w:szCs w:val="32"/>
        </w:rPr>
        <w:t>州</w:t>
      </w:r>
      <w:r>
        <w:rPr>
          <w:rFonts w:ascii="仿宋_GB2312" w:eastAsia="仿宋_GB2312"/>
          <w:color w:val="333333"/>
          <w:sz w:val="32"/>
          <w:szCs w:val="32"/>
        </w:rPr>
        <w:t>统计局的关心和大力支持下，</w:t>
      </w:r>
      <w:r>
        <w:rPr>
          <w:rFonts w:hint="eastAsia" w:ascii="仿宋_GB2312" w:eastAsia="仿宋_GB2312"/>
          <w:color w:val="333333"/>
          <w:sz w:val="32"/>
          <w:szCs w:val="32"/>
          <w:highlight w:val="none"/>
        </w:rPr>
        <w:t>紧紧围绕全县发展大局，扎实做好国民经济核算、工</w:t>
      </w:r>
      <w:r>
        <w:rPr>
          <w:rFonts w:hint="eastAsia" w:ascii="仿宋_GB2312" w:eastAsia="仿宋_GB2312"/>
          <w:color w:val="333333"/>
          <w:sz w:val="32"/>
          <w:szCs w:val="32"/>
          <w:highlight w:val="none"/>
          <w:lang w:val="en-US" w:eastAsia="zh-CN"/>
        </w:rPr>
        <w:t>业</w:t>
      </w:r>
      <w:r>
        <w:rPr>
          <w:rFonts w:hint="eastAsia" w:ascii="仿宋_GB2312" w:eastAsia="仿宋_GB2312"/>
          <w:color w:val="333333"/>
          <w:sz w:val="32"/>
          <w:szCs w:val="32"/>
          <w:highlight w:val="none"/>
        </w:rPr>
        <w:t>商贸、固投、农业等常规统计报表，规范开展住户收支、农产量、畜禽监测等调查工作，动态维护基本单位名录库，全力推进 “四上” 企业和重点项目入库，做到应统尽统；紧盯主要经济指标强化运行监测研判，及时撰写统计分析、信息，编发统计资料，为科学决策提供数据支撑；持续推进统计普法，压实防惩统计造假责任；不断夯实乡镇统计基层基础，加强基层统计人员业务培训，规范企业统计台账；统筹抓好专项调查、巡视整改、党建、党风廉政建设及文明创建等中心工作。</w:t>
      </w:r>
    </w:p>
    <w:p w14:paraId="35C2EB32">
      <w:pPr>
        <w:pStyle w:val="4"/>
        <w:keepNext/>
        <w:keepLines/>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eastAsia" w:ascii="黑体" w:hAnsi="黑体" w:eastAsia="黑体"/>
          <w:b w:val="0"/>
          <w:color w:val="000000"/>
        </w:rPr>
      </w:pPr>
      <w:r>
        <w:rPr>
          <w:rFonts w:hint="eastAsia" w:ascii="黑体" w:hAnsi="黑体" w:eastAsia="黑体"/>
          <w:b w:val="0"/>
          <w:color w:val="000000"/>
        </w:rPr>
        <w:t>二、机构设置</w:t>
      </w:r>
      <w:bookmarkEnd w:id="18"/>
      <w:bookmarkEnd w:id="19"/>
    </w:p>
    <w:p w14:paraId="69BFC809">
      <w:pPr>
        <w:pageBreakBefore w:val="0"/>
        <w:kinsoku/>
        <w:wordWrap/>
        <w:overflowPunct/>
        <w:topLinePunct w:val="0"/>
        <w:bidi w:val="0"/>
        <w:spacing w:line="576" w:lineRule="exact"/>
        <w:ind w:firstLine="800" w:firstLineChars="250"/>
        <w:rPr>
          <w:rFonts w:ascii="仿宋" w:hAnsi="仿宋" w:eastAsia="仿宋"/>
          <w:sz w:val="32"/>
          <w:szCs w:val="32"/>
        </w:rPr>
      </w:pPr>
      <w:r>
        <w:rPr>
          <w:rFonts w:hint="eastAsia" w:ascii="仿宋" w:hAnsi="仿宋" w:eastAsia="仿宋"/>
          <w:sz w:val="32"/>
          <w:szCs w:val="32"/>
        </w:rPr>
        <w:t>小金县统计局为一级单位1个，</w:t>
      </w:r>
      <w:r>
        <w:rPr>
          <w:rFonts w:hint="eastAsia" w:ascii="仿宋_GB2312" w:hAnsi="仿宋_GB2312" w:eastAsia="仿宋_GB2312" w:cs="仿宋_GB2312"/>
          <w:sz w:val="32"/>
          <w:szCs w:val="32"/>
          <w:lang w:val="en-US" w:eastAsia="zh-CN"/>
        </w:rPr>
        <w:t>本单位主属于本级预算单位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纳入年度预算</w:t>
      </w:r>
      <w:r>
        <w:rPr>
          <w:rFonts w:hint="eastAsia" w:ascii="仿宋_GB2312" w:hAnsi="仿宋_GB2312" w:eastAsia="仿宋_GB2312" w:cs="仿宋_GB2312"/>
          <w:sz w:val="32"/>
          <w:szCs w:val="32"/>
          <w:lang w:eastAsia="zh-CN"/>
        </w:rPr>
        <w:t>。</w:t>
      </w:r>
      <w:r>
        <w:rPr>
          <w:rFonts w:hint="eastAsia" w:ascii="仿宋" w:hAnsi="仿宋" w:eastAsia="仿宋"/>
          <w:sz w:val="32"/>
          <w:szCs w:val="32"/>
        </w:rPr>
        <w:t>。</w:t>
      </w:r>
    </w:p>
    <w:p w14:paraId="1FABD22B">
      <w:pPr>
        <w:pageBreakBefore w:val="0"/>
        <w:kinsoku/>
        <w:wordWrap/>
        <w:overflowPunct/>
        <w:topLinePunct w:val="0"/>
        <w:bidi w:val="0"/>
        <w:snapToGrid w:val="0"/>
        <w:spacing w:line="576" w:lineRule="exact"/>
        <w:ind w:firstLine="643" w:firstLineChars="200"/>
        <w:rPr>
          <w:rFonts w:ascii="仿宋" w:hAnsi="仿宋" w:eastAsia="仿宋" w:cs="仿宋"/>
          <w:sz w:val="32"/>
          <w:szCs w:val="32"/>
        </w:rPr>
      </w:pPr>
      <w:r>
        <w:rPr>
          <w:rFonts w:hint="eastAsia" w:ascii="仿宋" w:hAnsi="仿宋" w:eastAsia="仿宋" w:cs="仿宋"/>
          <w:b/>
          <w:bCs/>
          <w:sz w:val="32"/>
          <w:szCs w:val="32"/>
        </w:rPr>
        <w:t>（1）</w:t>
      </w:r>
      <w:r>
        <w:rPr>
          <w:rFonts w:hint="eastAsia" w:ascii="仿宋" w:hAnsi="仿宋" w:eastAsia="仿宋" w:cs="仿宋"/>
          <w:sz w:val="32"/>
          <w:szCs w:val="32"/>
        </w:rPr>
        <w:t>小金县统计局共设3个内设机构：办公室、国民经济核算综合统计股、工业农业能源投资统计股。</w:t>
      </w:r>
    </w:p>
    <w:p w14:paraId="70C35839">
      <w:pPr>
        <w:pageBreakBefore w:val="0"/>
        <w:widowControl/>
        <w:kinsoku/>
        <w:wordWrap/>
        <w:overflowPunct/>
        <w:topLinePunct w:val="0"/>
        <w:bidi w:val="0"/>
        <w:spacing w:line="576" w:lineRule="exact"/>
        <w:ind w:firstLine="643" w:firstLineChars="200"/>
        <w:jc w:val="left"/>
        <w:rPr>
          <w:rFonts w:ascii="仿宋" w:hAnsi="仿宋" w:eastAsia="仿宋"/>
          <w:color w:val="000000"/>
          <w:sz w:val="32"/>
          <w:szCs w:val="32"/>
        </w:rPr>
      </w:pPr>
      <w:r>
        <w:rPr>
          <w:rFonts w:hint="eastAsia" w:ascii="仿宋" w:hAnsi="仿宋" w:eastAsia="仿宋" w:cs="仿宋"/>
          <w:b/>
          <w:bCs/>
          <w:sz w:val="32"/>
          <w:szCs w:val="32"/>
        </w:rPr>
        <w:t>（2）</w:t>
      </w:r>
      <w:r>
        <w:rPr>
          <w:rFonts w:hint="eastAsia" w:ascii="仿宋" w:hAnsi="仿宋" w:eastAsia="仿宋" w:cs="仿宋"/>
          <w:sz w:val="32"/>
          <w:szCs w:val="32"/>
        </w:rPr>
        <w:t>核定小金统计局机关行政编制6名</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参公编制10名</w:t>
      </w:r>
      <w:r>
        <w:rPr>
          <w:rFonts w:hint="eastAsia" w:ascii="仿宋" w:hAnsi="仿宋" w:eastAsia="仿宋" w:cs="仿宋"/>
          <w:sz w:val="32"/>
          <w:szCs w:val="32"/>
        </w:rPr>
        <w:t>。</w:t>
      </w:r>
    </w:p>
    <w:p w14:paraId="228D98C2">
      <w:pPr>
        <w:pStyle w:val="3"/>
        <w:pageBreakBefore w:val="0"/>
        <w:kinsoku/>
        <w:wordWrap/>
        <w:overflowPunct/>
        <w:topLinePunct w:val="0"/>
        <w:bidi w:val="0"/>
        <w:spacing w:line="576" w:lineRule="exact"/>
        <w:ind w:right="440"/>
        <w:jc w:val="right"/>
        <w:rPr>
          <w:rStyle w:val="29"/>
          <w:rFonts w:ascii="黑体" w:hAnsi="黑体" w:eastAsia="黑体"/>
          <w:b w:val="0"/>
          <w:bCs w:val="0"/>
        </w:rPr>
      </w:pPr>
      <w:bookmarkStart w:id="20" w:name="_Toc15396602"/>
      <w:bookmarkStart w:id="21" w:name="_Toc15377204"/>
      <w:r>
        <w:rPr>
          <w:rFonts w:hint="eastAsia" w:ascii="黑体" w:hAnsi="黑体" w:eastAsia="黑体"/>
          <w:b w:val="0"/>
          <w:color w:val="000000"/>
        </w:rPr>
        <w:t>第二部分</w:t>
      </w:r>
      <w:r>
        <w:rPr>
          <w:rStyle w:val="29"/>
          <w:rFonts w:hint="eastAsia" w:ascii="黑体" w:hAnsi="黑体" w:eastAsia="黑体"/>
          <w:b w:val="0"/>
          <w:bCs w:val="0"/>
          <w:lang w:eastAsia="zh-CN"/>
        </w:rPr>
        <w:t>2025</w:t>
      </w:r>
      <w:r>
        <w:rPr>
          <w:rStyle w:val="29"/>
          <w:rFonts w:hint="eastAsia" w:ascii="黑体" w:hAnsi="黑体" w:eastAsia="黑体"/>
          <w:b w:val="0"/>
          <w:bCs w:val="0"/>
        </w:rPr>
        <w:t>年度部门决算情况说明</w:t>
      </w:r>
      <w:bookmarkEnd w:id="20"/>
      <w:bookmarkEnd w:id="21"/>
    </w:p>
    <w:p w14:paraId="42D29A9A">
      <w:pPr>
        <w:pStyle w:val="28"/>
        <w:pageBreakBefore w:val="0"/>
        <w:numPr>
          <w:ilvl w:val="0"/>
          <w:numId w:val="1"/>
        </w:numPr>
        <w:kinsoku/>
        <w:wordWrap/>
        <w:overflowPunct/>
        <w:topLinePunct w:val="0"/>
        <w:bidi w:val="0"/>
        <w:spacing w:line="576" w:lineRule="exact"/>
        <w:ind w:firstLineChars="0"/>
        <w:outlineLvl w:val="1"/>
        <w:rPr>
          <w:rStyle w:val="30"/>
          <w:rFonts w:ascii="黑体" w:hAnsi="黑体" w:eastAsia="黑体"/>
          <w:b w:val="0"/>
        </w:rPr>
      </w:pPr>
      <w:bookmarkStart w:id="22" w:name="_Toc15377205"/>
      <w:bookmarkStart w:id="23" w:name="_Toc15396603"/>
      <w:r>
        <w:rPr>
          <w:rFonts w:hint="eastAsia" w:ascii="黑体" w:hAnsi="黑体" w:eastAsia="黑体"/>
          <w:color w:val="000000"/>
          <w:sz w:val="32"/>
          <w:szCs w:val="32"/>
        </w:rPr>
        <w:t>收</w:t>
      </w:r>
      <w:r>
        <w:rPr>
          <w:rStyle w:val="30"/>
          <w:rFonts w:hint="eastAsia" w:ascii="黑体" w:hAnsi="黑体" w:eastAsia="黑体"/>
          <w:b w:val="0"/>
        </w:rPr>
        <w:t>入支出决算总体情况说明</w:t>
      </w:r>
      <w:bookmarkEnd w:id="22"/>
      <w:bookmarkEnd w:id="23"/>
    </w:p>
    <w:p w14:paraId="53443409">
      <w:pPr>
        <w:pageBreakBefore w:val="0"/>
        <w:kinsoku/>
        <w:wordWrap/>
        <w:overflowPunct/>
        <w:topLinePunct w:val="0"/>
        <w:bidi w:val="0"/>
        <w:spacing w:line="576" w:lineRule="exact"/>
        <w:ind w:firstLine="640" w:firstLineChars="200"/>
        <w:rPr>
          <w:rFonts w:ascii="仿宋" w:hAnsi="仿宋" w:eastAsia="仿宋"/>
          <w:color w:val="FF0000"/>
          <w:sz w:val="32"/>
          <w:szCs w:val="32"/>
        </w:rPr>
      </w:pPr>
      <w:r>
        <w:rPr>
          <w:rFonts w:hint="eastAsia" w:ascii="仿宋" w:hAnsi="仿宋" w:eastAsia="仿宋"/>
          <w:color w:val="000000"/>
          <w:sz w:val="32"/>
          <w:szCs w:val="32"/>
          <w:lang w:eastAsia="zh-CN"/>
        </w:rPr>
        <w:t>2025</w:t>
      </w:r>
      <w:r>
        <w:rPr>
          <w:rFonts w:hint="eastAsia" w:ascii="仿宋" w:hAnsi="仿宋" w:eastAsia="仿宋"/>
          <w:color w:val="000000"/>
          <w:sz w:val="32"/>
          <w:szCs w:val="32"/>
        </w:rPr>
        <w:t>年度</w:t>
      </w:r>
      <w:r>
        <w:rPr>
          <w:rFonts w:hint="eastAsia" w:ascii="仿宋" w:hAnsi="仿宋" w:eastAsia="仿宋"/>
          <w:color w:val="000000"/>
          <w:sz w:val="32"/>
          <w:szCs w:val="32"/>
          <w:lang w:val="en-US" w:eastAsia="zh-CN"/>
        </w:rPr>
        <w:t>收入</w:t>
      </w:r>
      <w:r>
        <w:rPr>
          <w:rFonts w:hint="eastAsia" w:ascii="仿宋" w:hAnsi="仿宋" w:eastAsia="仿宋"/>
          <w:color w:val="000000"/>
          <w:sz w:val="32"/>
          <w:szCs w:val="32"/>
        </w:rPr>
        <w:t>总计</w:t>
      </w:r>
      <w:r>
        <w:rPr>
          <w:rFonts w:hint="eastAsia" w:ascii="仿宋" w:hAnsi="仿宋" w:eastAsia="仿宋"/>
          <w:color w:val="000000"/>
          <w:sz w:val="32"/>
          <w:szCs w:val="32"/>
          <w:lang w:val="en-US" w:eastAsia="zh-CN"/>
        </w:rPr>
        <w:t>478.12</w:t>
      </w:r>
      <w:r>
        <w:rPr>
          <w:rFonts w:hint="eastAsia" w:ascii="仿宋" w:hAnsi="仿宋" w:eastAsia="仿宋"/>
          <w:color w:val="000000"/>
          <w:sz w:val="32"/>
          <w:szCs w:val="32"/>
        </w:rPr>
        <w:t>万元</w:t>
      </w:r>
      <w:r>
        <w:rPr>
          <w:rFonts w:hint="eastAsia" w:ascii="仿宋" w:hAnsi="仿宋" w:eastAsia="仿宋"/>
          <w:color w:val="000000"/>
          <w:sz w:val="32"/>
          <w:szCs w:val="32"/>
          <w:lang w:eastAsia="zh-CN"/>
        </w:rPr>
        <w:t>，</w:t>
      </w:r>
      <w:r>
        <w:rPr>
          <w:rFonts w:hint="eastAsia" w:ascii="仿宋" w:hAnsi="仿宋" w:eastAsia="仿宋"/>
          <w:color w:val="000000"/>
          <w:sz w:val="32"/>
          <w:szCs w:val="32"/>
          <w:lang w:val="en-US" w:eastAsia="zh-CN"/>
        </w:rPr>
        <w:t>支出总计467.07万元</w:t>
      </w:r>
      <w:r>
        <w:rPr>
          <w:rFonts w:hint="eastAsia" w:ascii="仿宋" w:hAnsi="仿宋" w:eastAsia="仿宋"/>
          <w:color w:val="000000"/>
          <w:sz w:val="32"/>
          <w:szCs w:val="32"/>
        </w:rPr>
        <w:t>。</w:t>
      </w:r>
      <w:r>
        <w:rPr>
          <w:rFonts w:hint="eastAsia" w:ascii="仿宋" w:hAnsi="仿宋" w:eastAsia="仿宋"/>
          <w:color w:val="000000" w:themeColor="text1"/>
          <w:sz w:val="32"/>
          <w:szCs w:val="32"/>
          <w14:textFill>
            <w14:solidFill>
              <w14:schemeClr w14:val="tx1"/>
            </w14:solidFill>
          </w14:textFill>
        </w:rPr>
        <w:t>与</w:t>
      </w:r>
      <w:r>
        <w:rPr>
          <w:rFonts w:hint="eastAsia" w:ascii="仿宋" w:hAnsi="仿宋" w:eastAsia="仿宋"/>
          <w:color w:val="000000" w:themeColor="text1"/>
          <w:sz w:val="32"/>
          <w:szCs w:val="32"/>
          <w:lang w:eastAsia="zh-CN"/>
          <w14:textFill>
            <w14:solidFill>
              <w14:schemeClr w14:val="tx1"/>
            </w14:solidFill>
          </w14:textFill>
        </w:rPr>
        <w:t>2024</w:t>
      </w:r>
      <w:r>
        <w:rPr>
          <w:rFonts w:hint="eastAsia" w:ascii="仿宋" w:hAnsi="仿宋" w:eastAsia="仿宋"/>
          <w:color w:val="000000" w:themeColor="text1"/>
          <w:sz w:val="32"/>
          <w:szCs w:val="32"/>
          <w14:textFill>
            <w14:solidFill>
              <w14:schemeClr w14:val="tx1"/>
            </w14:solidFill>
          </w14:textFill>
        </w:rPr>
        <w:t>年相比</w:t>
      </w:r>
      <w:r>
        <w:rPr>
          <w:rFonts w:hint="eastAsia" w:ascii="仿宋" w:hAnsi="仿宋" w:eastAsia="仿宋"/>
          <w:color w:val="000000" w:themeColor="text1"/>
          <w:sz w:val="32"/>
          <w:szCs w:val="32"/>
          <w:lang w:val="en-US" w:eastAsia="zh-CN"/>
          <w14:textFill>
            <w14:solidFill>
              <w14:schemeClr w14:val="tx1"/>
            </w14:solidFill>
          </w14:textFill>
        </w:rPr>
        <w:t>收支总计分别增长41.7万</w:t>
      </w:r>
      <w:r>
        <w:rPr>
          <w:rFonts w:hint="eastAsia" w:ascii="仿宋" w:hAnsi="仿宋" w:eastAsia="仿宋"/>
          <w:color w:val="000000" w:themeColor="text1"/>
          <w:sz w:val="32"/>
          <w:szCs w:val="32"/>
          <w14:textFill>
            <w14:solidFill>
              <w14:schemeClr w14:val="tx1"/>
            </w14:solidFill>
          </w14:textFill>
        </w:rPr>
        <w:t>元</w:t>
      </w:r>
      <w:r>
        <w:rPr>
          <w:rFonts w:hint="eastAsia" w:ascii="仿宋" w:hAnsi="仿宋" w:eastAsia="仿宋"/>
          <w:color w:val="000000" w:themeColor="text1"/>
          <w:sz w:val="32"/>
          <w:szCs w:val="32"/>
          <w:lang w:val="en-US" w:eastAsia="zh-CN"/>
          <w14:textFill>
            <w14:solidFill>
              <w14:schemeClr w14:val="tx1"/>
            </w14:solidFill>
          </w14:textFill>
        </w:rPr>
        <w:t>、30.7万</w:t>
      </w:r>
      <w:r>
        <w:rPr>
          <w:rFonts w:hint="eastAsia" w:ascii="仿宋" w:hAnsi="仿宋" w:eastAsia="仿宋"/>
          <w:color w:val="000000" w:themeColor="text1"/>
          <w:sz w:val="32"/>
          <w:szCs w:val="32"/>
          <w14:textFill>
            <w14:solidFill>
              <w14:schemeClr w14:val="tx1"/>
            </w14:solidFill>
          </w14:textFill>
        </w:rPr>
        <w:t>元，</w:t>
      </w:r>
      <w:r>
        <w:rPr>
          <w:rFonts w:hint="eastAsia" w:ascii="仿宋" w:hAnsi="仿宋" w:eastAsia="仿宋"/>
          <w:color w:val="000000" w:themeColor="text1"/>
          <w:sz w:val="32"/>
          <w:szCs w:val="32"/>
          <w:lang w:val="en-US" w:eastAsia="zh-CN"/>
          <w14:textFill>
            <w14:solidFill>
              <w14:schemeClr w14:val="tx1"/>
            </w14:solidFill>
          </w14:textFill>
        </w:rPr>
        <w:t>分别增长9.54%、7.04%</w:t>
      </w:r>
      <w:r>
        <w:rPr>
          <w:rFonts w:hint="eastAsia"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lang w:val="en-US" w:eastAsia="zh-CN"/>
          <w14:textFill>
            <w14:solidFill>
              <w14:schemeClr w14:val="tx1"/>
            </w14:solidFill>
          </w14:textFill>
        </w:rPr>
        <w:t>差距在于代管资金收入未全部支出，</w:t>
      </w:r>
      <w:r>
        <w:rPr>
          <w:rFonts w:hint="eastAsia" w:ascii="仿宋" w:hAnsi="仿宋" w:eastAsia="仿宋"/>
          <w:color w:val="000000" w:themeColor="text1"/>
          <w:sz w:val="32"/>
          <w:szCs w:val="32"/>
          <w14:textFill>
            <w14:solidFill>
              <w14:schemeClr w14:val="tx1"/>
            </w14:solidFill>
          </w14:textFill>
        </w:rPr>
        <w:t>主要变动原因</w:t>
      </w:r>
      <w:r>
        <w:rPr>
          <w:rFonts w:hint="eastAsia" w:ascii="仿宋" w:hAnsi="仿宋" w:eastAsia="仿宋"/>
          <w:color w:val="000000" w:themeColor="text1"/>
          <w:sz w:val="32"/>
          <w:szCs w:val="32"/>
          <w:lang w:eastAsia="zh-CN"/>
          <w14:textFill>
            <w14:solidFill>
              <w14:schemeClr w14:val="tx1"/>
            </w14:solidFill>
          </w14:textFill>
        </w:rPr>
        <w:t>：</w:t>
      </w:r>
      <w:r>
        <w:rPr>
          <w:rFonts w:hint="eastAsia" w:ascii="仿宋" w:hAnsi="仿宋" w:eastAsia="仿宋"/>
          <w:color w:val="000000" w:themeColor="text1"/>
          <w:sz w:val="32"/>
          <w:szCs w:val="32"/>
          <w:lang w:val="en-US" w:eastAsia="zh-CN"/>
          <w14:textFill>
            <w14:solidFill>
              <w14:schemeClr w14:val="tx1"/>
            </w14:solidFill>
          </w14:textFill>
        </w:rPr>
        <w:t>本年度</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本单位新增1名职工；2024年财政困难，未支付我局统计业务经费，于今年年初拨付，所以今年经费较高</w:t>
      </w:r>
      <w:r>
        <w:rPr>
          <w:rFonts w:hint="eastAsia" w:ascii="仿宋" w:hAnsi="仿宋" w:eastAsia="仿宋"/>
          <w:color w:val="000000" w:themeColor="text1"/>
          <w:sz w:val="32"/>
          <w:szCs w:val="32"/>
          <w14:textFill>
            <w14:solidFill>
              <w14:schemeClr w14:val="tx1"/>
            </w14:solidFill>
          </w14:textFill>
        </w:rPr>
        <w:t>。</w:t>
      </w:r>
    </w:p>
    <w:p w14:paraId="4F3EC58E">
      <w:pPr>
        <w:pageBreakBefore w:val="0"/>
        <w:kinsoku/>
        <w:wordWrap/>
        <w:overflowPunct/>
        <w:topLinePunct w:val="0"/>
        <w:bidi w:val="0"/>
        <w:spacing w:line="576" w:lineRule="exact"/>
        <w:ind w:firstLine="640" w:firstLineChars="200"/>
      </w:pPr>
      <w:r>
        <w:rPr>
          <w:rFonts w:hint="eastAsia" w:ascii="仿宋" w:hAnsi="仿宋" w:eastAsia="仿宋"/>
          <w:color w:val="FF0000"/>
          <w:sz w:val="32"/>
          <w:szCs w:val="32"/>
        </w:rPr>
        <w:drawing>
          <wp:anchor distT="0" distB="0" distL="114300" distR="114300" simplePos="0" relativeHeight="251659264" behindDoc="0" locked="0" layoutInCell="1" allowOverlap="1">
            <wp:simplePos x="0" y="0"/>
            <wp:positionH relativeFrom="column">
              <wp:posOffset>495935</wp:posOffset>
            </wp:positionH>
            <wp:positionV relativeFrom="paragraph">
              <wp:posOffset>614045</wp:posOffset>
            </wp:positionV>
            <wp:extent cx="4262755" cy="1588770"/>
            <wp:effectExtent l="4445" t="4445" r="19050" b="6985"/>
            <wp:wrapTopAndBottom/>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r>
        <w:rPr>
          <w:rFonts w:hint="eastAsia" w:ascii="仿宋" w:hAnsi="仿宋" w:eastAsia="仿宋"/>
          <w:color w:val="000000" w:themeColor="text1"/>
          <w:sz w:val="32"/>
          <w:szCs w:val="32"/>
          <w14:textFill>
            <w14:solidFill>
              <w14:schemeClr w14:val="tx1"/>
            </w14:solidFill>
          </w14:textFill>
        </w:rPr>
        <w:t>（图</w:t>
      </w:r>
      <w:r>
        <w:rPr>
          <w:rFonts w:ascii="仿宋" w:hAnsi="仿宋" w:eastAsia="仿宋"/>
          <w:color w:val="000000" w:themeColor="text1"/>
          <w:sz w:val="32"/>
          <w:szCs w:val="32"/>
          <w14:textFill>
            <w14:solidFill>
              <w14:schemeClr w14:val="tx1"/>
            </w14:solidFill>
          </w14:textFill>
        </w:rPr>
        <w:t>1</w:t>
      </w:r>
      <w:r>
        <w:rPr>
          <w:rFonts w:hint="eastAsia" w:ascii="仿宋" w:hAnsi="仿宋" w:eastAsia="仿宋"/>
          <w:color w:val="000000" w:themeColor="text1"/>
          <w:sz w:val="32"/>
          <w:szCs w:val="32"/>
          <w14:textFill>
            <w14:solidFill>
              <w14:schemeClr w14:val="tx1"/>
            </w14:solidFill>
          </w14:textFill>
        </w:rPr>
        <w:t>：收、支决算总计变动情况图）（柱状图）</w:t>
      </w:r>
    </w:p>
    <w:p w14:paraId="7696A6E8">
      <w:pPr>
        <w:pStyle w:val="28"/>
        <w:pageBreakBefore w:val="0"/>
        <w:numPr>
          <w:ilvl w:val="0"/>
          <w:numId w:val="1"/>
        </w:numPr>
        <w:kinsoku/>
        <w:wordWrap/>
        <w:overflowPunct/>
        <w:topLinePunct w:val="0"/>
        <w:bidi w:val="0"/>
        <w:spacing w:line="576" w:lineRule="exact"/>
        <w:ind w:firstLineChars="0"/>
        <w:outlineLvl w:val="1"/>
        <w:rPr>
          <w:rStyle w:val="30"/>
          <w:rFonts w:ascii="黑体" w:hAnsi="黑体" w:eastAsia="黑体"/>
          <w:b w:val="0"/>
        </w:rPr>
      </w:pPr>
      <w:bookmarkStart w:id="24" w:name="_Toc15396604"/>
      <w:bookmarkStart w:id="25" w:name="_Toc15377206"/>
      <w:r>
        <w:rPr>
          <w:rFonts w:hint="eastAsia" w:ascii="黑体" w:hAnsi="黑体" w:eastAsia="黑体"/>
          <w:color w:val="000000"/>
          <w:sz w:val="32"/>
          <w:szCs w:val="32"/>
        </w:rPr>
        <w:t>收</w:t>
      </w:r>
      <w:r>
        <w:rPr>
          <w:rStyle w:val="30"/>
          <w:rFonts w:hint="eastAsia" w:ascii="黑体" w:hAnsi="黑体" w:eastAsia="黑体"/>
          <w:b w:val="0"/>
        </w:rPr>
        <w:t>入决算情况说明</w:t>
      </w:r>
      <w:bookmarkEnd w:id="24"/>
      <w:bookmarkEnd w:id="25"/>
    </w:p>
    <w:p w14:paraId="1F2092F2">
      <w:pPr>
        <w:pageBreakBefore w:val="0"/>
        <w:widowControl/>
        <w:kinsoku/>
        <w:wordWrap/>
        <w:overflowPunct/>
        <w:topLinePunct w:val="0"/>
        <w:bidi w:val="0"/>
        <w:adjustRightInd w:val="0"/>
        <w:snapToGrid w:val="0"/>
        <w:spacing w:line="576" w:lineRule="exact"/>
        <w:ind w:firstLine="720"/>
        <w:jc w:val="left"/>
        <w:rPr>
          <w:rFonts w:ascii="仿宋" w:hAnsi="仿宋" w:eastAsia="仿宋"/>
          <w:color w:val="000000"/>
          <w:sz w:val="32"/>
          <w:szCs w:val="32"/>
        </w:rPr>
      </w:pPr>
      <w:r>
        <w:rPr>
          <w:rFonts w:hint="eastAsia" w:ascii="仿宋" w:hAnsi="仿宋" w:eastAsia="仿宋"/>
          <w:color w:val="000000"/>
          <w:sz w:val="32"/>
          <w:szCs w:val="32"/>
          <w:lang w:eastAsia="zh-CN"/>
        </w:rPr>
        <w:t>2025</w:t>
      </w:r>
      <w:r>
        <w:rPr>
          <w:rFonts w:hint="eastAsia" w:ascii="仿宋" w:hAnsi="仿宋" w:eastAsia="仿宋"/>
          <w:color w:val="000000"/>
          <w:sz w:val="32"/>
          <w:szCs w:val="32"/>
        </w:rPr>
        <w:t>年本年收入合计</w:t>
      </w:r>
      <w:r>
        <w:rPr>
          <w:rFonts w:hint="eastAsia" w:ascii="仿宋" w:hAnsi="仿宋" w:eastAsia="仿宋"/>
          <w:color w:val="000000"/>
          <w:sz w:val="32"/>
          <w:szCs w:val="32"/>
          <w:lang w:val="en-US" w:eastAsia="zh-CN"/>
        </w:rPr>
        <w:t>478.12</w:t>
      </w:r>
      <w:r>
        <w:rPr>
          <w:rFonts w:hint="eastAsia" w:ascii="仿宋" w:hAnsi="仿宋" w:eastAsia="仿宋"/>
          <w:color w:val="000000"/>
          <w:sz w:val="32"/>
          <w:szCs w:val="32"/>
        </w:rPr>
        <w:t>万元，其中：一般公共预算财政拨款收入</w:t>
      </w:r>
      <w:r>
        <w:rPr>
          <w:rFonts w:hint="eastAsia" w:ascii="仿宋" w:hAnsi="仿宋" w:eastAsia="仿宋"/>
          <w:color w:val="000000"/>
          <w:sz w:val="32"/>
          <w:szCs w:val="32"/>
          <w:lang w:val="en-US" w:eastAsia="zh-CN"/>
        </w:rPr>
        <w:t>467.07</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97.7</w:t>
      </w:r>
      <w:r>
        <w:rPr>
          <w:rFonts w:ascii="仿宋" w:hAnsi="仿宋" w:eastAsia="仿宋"/>
          <w:color w:val="000000"/>
          <w:sz w:val="32"/>
          <w:szCs w:val="32"/>
        </w:rPr>
        <w:t>%</w:t>
      </w:r>
      <w:r>
        <w:rPr>
          <w:rFonts w:hint="eastAsia" w:ascii="仿宋" w:hAnsi="仿宋" w:eastAsia="仿宋"/>
          <w:color w:val="000000"/>
          <w:sz w:val="32"/>
          <w:szCs w:val="32"/>
        </w:rPr>
        <w:t>，</w:t>
      </w:r>
      <w:r>
        <w:rPr>
          <w:rFonts w:hint="eastAsia" w:ascii="仿宋_GB2312" w:hAnsi="仿宋_GB2312" w:eastAsia="仿宋_GB2312" w:cs="仿宋_GB2312"/>
          <w:color w:val="000000"/>
          <w:sz w:val="32"/>
          <w:szCs w:val="32"/>
        </w:rPr>
        <w:t>其他收入</w:t>
      </w:r>
      <w:r>
        <w:rPr>
          <w:rFonts w:hint="eastAsia" w:ascii="仿宋_GB2312" w:hAnsi="仿宋_GB2312" w:eastAsia="仿宋_GB2312" w:cs="仿宋_GB2312"/>
          <w:color w:val="000000"/>
          <w:sz w:val="32"/>
          <w:szCs w:val="32"/>
          <w:lang w:val="en-US" w:eastAsia="zh-CN"/>
        </w:rPr>
        <w:t>11</w:t>
      </w:r>
      <w:r>
        <w:rPr>
          <w:rFonts w:hint="eastAsia" w:ascii="仿宋_GB2312" w:hAnsi="仿宋_GB2312" w:eastAsia="仿宋_GB2312" w:cs="仿宋_GB2312"/>
          <w:color w:val="000000"/>
          <w:sz w:val="32"/>
          <w:szCs w:val="32"/>
        </w:rPr>
        <w:t>万元，</w:t>
      </w:r>
      <w:r>
        <w:rPr>
          <w:rFonts w:hint="eastAsia" w:ascii="仿宋" w:hAnsi="仿宋" w:eastAsia="仿宋"/>
          <w:color w:val="000000"/>
          <w:sz w:val="32"/>
          <w:szCs w:val="32"/>
        </w:rPr>
        <w:t>占</w:t>
      </w:r>
      <w:r>
        <w:rPr>
          <w:rFonts w:hint="eastAsia" w:ascii="仿宋" w:hAnsi="仿宋" w:eastAsia="仿宋"/>
          <w:color w:val="000000"/>
          <w:sz w:val="32"/>
          <w:szCs w:val="32"/>
          <w:lang w:val="en-US" w:eastAsia="zh-CN"/>
        </w:rPr>
        <w:t>2.3</w:t>
      </w:r>
      <w:r>
        <w:rPr>
          <w:rFonts w:ascii="仿宋" w:hAnsi="仿宋" w:eastAsia="仿宋"/>
          <w:color w:val="000000"/>
          <w:sz w:val="32"/>
          <w:szCs w:val="32"/>
        </w:rPr>
        <w:t>%</w:t>
      </w:r>
      <w:r>
        <w:rPr>
          <w:rFonts w:hint="eastAsia" w:ascii="仿宋" w:hAnsi="仿宋" w:eastAsia="仿宋"/>
          <w:color w:val="000000"/>
          <w:sz w:val="32"/>
          <w:szCs w:val="32"/>
          <w:lang w:eastAsia="zh-CN"/>
        </w:rPr>
        <w:t>，</w:t>
      </w:r>
      <w:r>
        <w:rPr>
          <w:rFonts w:hint="eastAsia" w:ascii="仿宋" w:hAnsi="仿宋" w:eastAsia="仿宋"/>
          <w:color w:val="000000"/>
          <w:sz w:val="32"/>
          <w:szCs w:val="32"/>
        </w:rPr>
        <w:t>年初结转和结余</w:t>
      </w:r>
      <w:r>
        <w:rPr>
          <w:rFonts w:hint="eastAsia" w:ascii="仿宋" w:hAnsi="仿宋" w:eastAsia="仿宋"/>
          <w:color w:val="000000"/>
          <w:sz w:val="32"/>
          <w:szCs w:val="32"/>
          <w:lang w:val="en-US" w:eastAsia="zh-CN"/>
        </w:rPr>
        <w:t>0.05</w:t>
      </w:r>
      <w:r>
        <w:rPr>
          <w:rFonts w:hint="eastAsia" w:ascii="仿宋" w:hAnsi="仿宋" w:eastAsia="仿宋"/>
          <w:color w:val="000000"/>
          <w:sz w:val="32"/>
          <w:szCs w:val="32"/>
        </w:rPr>
        <w:t>万元。</w:t>
      </w:r>
    </w:p>
    <w:p w14:paraId="024B8551">
      <w:pPr>
        <w:pageBreakBefore w:val="0"/>
        <w:kinsoku/>
        <w:wordWrap/>
        <w:overflowPunct/>
        <w:topLinePunct w:val="0"/>
        <w:bidi w:val="0"/>
        <w:spacing w:line="576" w:lineRule="exact"/>
        <w:ind w:firstLine="640" w:firstLineChars="200"/>
        <w:jc w:val="center"/>
        <w:outlineLvl w:val="1"/>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drawing>
          <wp:anchor distT="0" distB="0" distL="114300" distR="114300" simplePos="0" relativeHeight="251660288" behindDoc="0" locked="0" layoutInCell="1" allowOverlap="1">
            <wp:simplePos x="0" y="0"/>
            <wp:positionH relativeFrom="column">
              <wp:posOffset>764540</wp:posOffset>
            </wp:positionH>
            <wp:positionV relativeFrom="paragraph">
              <wp:posOffset>465455</wp:posOffset>
            </wp:positionV>
            <wp:extent cx="4126865" cy="2040255"/>
            <wp:effectExtent l="4445" t="4445" r="21590" b="12700"/>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r>
        <w:rPr>
          <w:rFonts w:hint="eastAsia" w:ascii="仿宋" w:hAnsi="仿宋" w:eastAsia="仿宋"/>
          <w:color w:val="000000" w:themeColor="text1"/>
          <w:sz w:val="32"/>
          <w:szCs w:val="32"/>
          <w14:textFill>
            <w14:solidFill>
              <w14:schemeClr w14:val="tx1"/>
            </w14:solidFill>
          </w14:textFill>
        </w:rPr>
        <w:t>（图2：收入决算结构图）（饼状图</w:t>
      </w:r>
      <w:r>
        <w:rPr>
          <w:rFonts w:ascii="仿宋" w:hAnsi="仿宋" w:eastAsia="仿宋"/>
          <w:color w:val="000000" w:themeColor="text1"/>
          <w:sz w:val="32"/>
          <w:szCs w:val="32"/>
          <w14:textFill>
            <w14:solidFill>
              <w14:schemeClr w14:val="tx1"/>
            </w14:solidFill>
          </w14:textFill>
        </w:rPr>
        <w:t>）</w:t>
      </w:r>
    </w:p>
    <w:p w14:paraId="4506B1FF">
      <w:pPr>
        <w:pStyle w:val="28"/>
        <w:pageBreakBefore w:val="0"/>
        <w:numPr>
          <w:ilvl w:val="0"/>
          <w:numId w:val="1"/>
        </w:numPr>
        <w:kinsoku/>
        <w:wordWrap/>
        <w:overflowPunct/>
        <w:topLinePunct w:val="0"/>
        <w:bidi w:val="0"/>
        <w:spacing w:line="576" w:lineRule="exact"/>
        <w:ind w:firstLineChars="0"/>
        <w:jc w:val="left"/>
        <w:outlineLvl w:val="1"/>
        <w:rPr>
          <w:rStyle w:val="30"/>
          <w:rFonts w:ascii="黑体" w:hAnsi="黑体" w:eastAsia="黑体"/>
          <w:b w:val="0"/>
        </w:rPr>
      </w:pPr>
      <w:bookmarkStart w:id="26" w:name="_Toc15396605"/>
      <w:bookmarkStart w:id="27" w:name="_Toc15377207"/>
      <w:r>
        <w:rPr>
          <w:rFonts w:hint="eastAsia" w:ascii="黑体" w:hAnsi="黑体" w:eastAsia="黑体"/>
          <w:color w:val="000000"/>
          <w:sz w:val="32"/>
          <w:szCs w:val="32"/>
        </w:rPr>
        <w:t>支</w:t>
      </w:r>
      <w:r>
        <w:rPr>
          <w:rStyle w:val="30"/>
          <w:rFonts w:hint="eastAsia" w:ascii="黑体" w:hAnsi="黑体" w:eastAsia="黑体"/>
          <w:b w:val="0"/>
        </w:rPr>
        <w:t>出决算情况说明</w:t>
      </w:r>
      <w:bookmarkEnd w:id="26"/>
      <w:bookmarkEnd w:id="27"/>
    </w:p>
    <w:p w14:paraId="34501EE1">
      <w:pPr>
        <w:pageBreakBefore w:val="0"/>
        <w:widowControl/>
        <w:kinsoku/>
        <w:wordWrap/>
        <w:overflowPunct/>
        <w:topLinePunct w:val="0"/>
        <w:bidi w:val="0"/>
        <w:adjustRightInd w:val="0"/>
        <w:snapToGrid w:val="0"/>
        <w:spacing w:line="576" w:lineRule="exact"/>
        <w:ind w:firstLine="720"/>
        <w:jc w:val="left"/>
        <w:rPr>
          <w:rFonts w:hint="eastAsia" w:ascii="仿宋" w:hAnsi="仿宋" w:eastAsia="仿宋"/>
          <w:color w:val="000000"/>
          <w:sz w:val="32"/>
          <w:szCs w:val="32"/>
          <w:lang w:eastAsia="zh-CN"/>
        </w:rPr>
      </w:pPr>
      <w:r>
        <w:rPr>
          <w:rFonts w:hint="eastAsia" w:ascii="仿宋" w:hAnsi="仿宋" w:eastAsia="仿宋"/>
          <w:color w:val="000000"/>
          <w:sz w:val="32"/>
          <w:szCs w:val="32"/>
          <w:lang w:eastAsia="zh-CN"/>
        </w:rPr>
        <w:t>2025</w:t>
      </w:r>
      <w:r>
        <w:rPr>
          <w:rFonts w:hint="eastAsia" w:ascii="仿宋" w:hAnsi="仿宋" w:eastAsia="仿宋"/>
          <w:color w:val="000000"/>
          <w:sz w:val="32"/>
          <w:szCs w:val="32"/>
        </w:rPr>
        <w:t>年本年支出合计</w:t>
      </w:r>
      <w:r>
        <w:rPr>
          <w:rFonts w:hint="eastAsia" w:ascii="仿宋" w:hAnsi="仿宋" w:eastAsia="仿宋"/>
          <w:color w:val="000000"/>
          <w:sz w:val="32"/>
          <w:szCs w:val="32"/>
          <w:lang w:val="en-US" w:eastAsia="zh-CN"/>
        </w:rPr>
        <w:t>467.07</w:t>
      </w:r>
      <w:r>
        <w:rPr>
          <w:rFonts w:hint="eastAsia" w:ascii="仿宋" w:hAnsi="仿宋" w:eastAsia="仿宋"/>
          <w:color w:val="000000"/>
          <w:sz w:val="32"/>
          <w:szCs w:val="32"/>
        </w:rPr>
        <w:t>万元，其中：基本支出</w:t>
      </w:r>
      <w:r>
        <w:rPr>
          <w:rFonts w:hint="eastAsia" w:ascii="仿宋" w:hAnsi="仿宋" w:eastAsia="仿宋"/>
          <w:color w:val="000000"/>
          <w:sz w:val="32"/>
          <w:szCs w:val="32"/>
          <w:lang w:val="en-US" w:eastAsia="zh-CN"/>
        </w:rPr>
        <w:t>396.57</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84.91</w:t>
      </w:r>
      <w:r>
        <w:rPr>
          <w:rFonts w:hint="eastAsia" w:ascii="仿宋" w:hAnsi="仿宋" w:eastAsia="仿宋"/>
          <w:color w:val="000000"/>
          <w:sz w:val="32"/>
          <w:szCs w:val="32"/>
        </w:rPr>
        <w:t>%；项目支出</w:t>
      </w:r>
      <w:r>
        <w:rPr>
          <w:rFonts w:hint="eastAsia" w:ascii="仿宋" w:hAnsi="仿宋" w:eastAsia="仿宋"/>
          <w:color w:val="000000"/>
          <w:sz w:val="32"/>
          <w:szCs w:val="32"/>
          <w:lang w:val="en-US" w:eastAsia="zh-CN"/>
        </w:rPr>
        <w:t>70.5</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15.09</w:t>
      </w:r>
      <w:r>
        <w:rPr>
          <w:rFonts w:hint="eastAsia" w:ascii="仿宋" w:hAnsi="仿宋" w:eastAsia="仿宋"/>
          <w:color w:val="000000"/>
          <w:sz w:val="32"/>
          <w:szCs w:val="32"/>
        </w:rPr>
        <w:t>%</w:t>
      </w:r>
      <w:r>
        <w:rPr>
          <w:rFonts w:hint="eastAsia" w:ascii="仿宋" w:hAnsi="仿宋" w:eastAsia="仿宋"/>
          <w:color w:val="000000"/>
          <w:sz w:val="32"/>
          <w:szCs w:val="32"/>
          <w:lang w:eastAsia="zh-CN"/>
        </w:rPr>
        <w:t>，</w:t>
      </w:r>
      <w:r>
        <w:rPr>
          <w:rFonts w:hint="eastAsia" w:ascii="仿宋" w:hAnsi="仿宋" w:eastAsia="仿宋"/>
          <w:color w:val="000000"/>
          <w:sz w:val="32"/>
          <w:szCs w:val="32"/>
        </w:rPr>
        <w:t>年</w:t>
      </w:r>
      <w:r>
        <w:rPr>
          <w:rFonts w:hint="eastAsia" w:ascii="仿宋" w:hAnsi="仿宋" w:eastAsia="仿宋"/>
          <w:color w:val="000000"/>
          <w:sz w:val="32"/>
          <w:szCs w:val="32"/>
          <w:lang w:val="en-US" w:eastAsia="zh-CN"/>
        </w:rPr>
        <w:t>末</w:t>
      </w:r>
      <w:r>
        <w:rPr>
          <w:rFonts w:hint="eastAsia" w:ascii="仿宋" w:hAnsi="仿宋" w:eastAsia="仿宋"/>
          <w:color w:val="000000"/>
          <w:sz w:val="32"/>
          <w:szCs w:val="32"/>
        </w:rPr>
        <w:t>结转和结余</w:t>
      </w:r>
      <w:r>
        <w:rPr>
          <w:rFonts w:hint="eastAsia" w:ascii="仿宋" w:hAnsi="仿宋" w:eastAsia="仿宋"/>
          <w:color w:val="000000"/>
          <w:sz w:val="32"/>
          <w:szCs w:val="32"/>
          <w:lang w:val="en-US" w:eastAsia="zh-CN"/>
        </w:rPr>
        <w:t>11</w:t>
      </w:r>
      <w:r>
        <w:rPr>
          <w:rFonts w:hint="eastAsia" w:ascii="仿宋" w:hAnsi="仿宋" w:eastAsia="仿宋"/>
          <w:color w:val="000000"/>
          <w:sz w:val="32"/>
          <w:szCs w:val="32"/>
        </w:rPr>
        <w:t>万元。</w:t>
      </w:r>
    </w:p>
    <w:p w14:paraId="284771CA">
      <w:pPr>
        <w:pageBreakBefore w:val="0"/>
        <w:kinsoku/>
        <w:wordWrap/>
        <w:overflowPunct/>
        <w:topLinePunct w:val="0"/>
        <w:bidi w:val="0"/>
        <w:spacing w:line="576" w:lineRule="exact"/>
        <w:jc w:val="center"/>
        <w:outlineLvl w:val="1"/>
        <w:rPr>
          <w:rFonts w:hint="eastAsia" w:ascii="仿宋" w:hAnsi="仿宋" w:eastAsia="仿宋"/>
          <w:color w:val="000000" w:themeColor="text1"/>
          <w:sz w:val="32"/>
          <w:szCs w:val="32"/>
          <w:lang w:eastAsia="zh-CN"/>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（图3：支出决算结构图）（饼状图）</w:t>
      </w:r>
      <w:bookmarkStart w:id="28" w:name="_Toc15377208"/>
      <w:bookmarkStart w:id="29" w:name="_Toc15396606"/>
    </w:p>
    <w:p w14:paraId="48A9E9F0">
      <w:pPr>
        <w:pageBreakBefore w:val="0"/>
        <w:kinsoku/>
        <w:wordWrap/>
        <w:overflowPunct/>
        <w:topLinePunct w:val="0"/>
        <w:bidi w:val="0"/>
        <w:spacing w:line="576" w:lineRule="exact"/>
        <w:ind w:firstLine="640" w:firstLineChars="200"/>
        <w:outlineLvl w:val="1"/>
        <w:rPr>
          <w:rStyle w:val="30"/>
          <w:rFonts w:ascii="黑体" w:hAnsi="黑体" w:eastAsia="黑体"/>
          <w:b w:val="0"/>
        </w:rPr>
      </w:pPr>
      <w:r>
        <w:rPr>
          <w:rFonts w:hint="eastAsia" w:ascii="仿宋" w:hAnsi="仿宋" w:eastAsia="仿宋"/>
          <w:color w:val="000000" w:themeColor="text1"/>
          <w:sz w:val="32"/>
          <w:szCs w:val="32"/>
          <w:lang w:eastAsia="zh-CN"/>
          <w14:textFill>
            <w14:solidFill>
              <w14:schemeClr w14:val="tx1"/>
            </w14:solidFill>
          </w14:textFill>
        </w:rPr>
        <w:drawing>
          <wp:anchor distT="0" distB="0" distL="114300" distR="114300" simplePos="0" relativeHeight="251662336" behindDoc="0" locked="0" layoutInCell="1" allowOverlap="1">
            <wp:simplePos x="0" y="0"/>
            <wp:positionH relativeFrom="column">
              <wp:posOffset>471170</wp:posOffset>
            </wp:positionH>
            <wp:positionV relativeFrom="paragraph">
              <wp:posOffset>45720</wp:posOffset>
            </wp:positionV>
            <wp:extent cx="4646930" cy="1497965"/>
            <wp:effectExtent l="4445" t="5080" r="15875" b="20955"/>
            <wp:wrapTopAndBottom/>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ascii="黑体" w:hAnsi="黑体" w:eastAsia="黑体"/>
          <w:color w:val="000000"/>
          <w:sz w:val="32"/>
          <w:szCs w:val="32"/>
        </w:rPr>
        <w:t>四、财</w:t>
      </w:r>
      <w:r>
        <w:rPr>
          <w:rStyle w:val="30"/>
          <w:rFonts w:hint="eastAsia" w:ascii="黑体" w:hAnsi="黑体" w:eastAsia="黑体"/>
          <w:b w:val="0"/>
        </w:rPr>
        <w:t>政拨款收入支出决算总体情况说明</w:t>
      </w:r>
      <w:bookmarkEnd w:id="28"/>
      <w:bookmarkEnd w:id="29"/>
    </w:p>
    <w:p w14:paraId="6E3F9E95">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 w:hAnsi="仿宋" w:eastAsia="仿宋"/>
          <w:color w:val="000000"/>
          <w:sz w:val="32"/>
          <w:szCs w:val="32"/>
          <w:lang w:eastAsia="zh-CN"/>
        </w:rPr>
        <w:t>2025</w:t>
      </w:r>
      <w:r>
        <w:rPr>
          <w:rFonts w:hint="eastAsia" w:ascii="仿宋" w:hAnsi="仿宋" w:eastAsia="仿宋"/>
          <w:color w:val="000000"/>
          <w:sz w:val="32"/>
          <w:szCs w:val="32"/>
        </w:rPr>
        <w:t>年度收</w:t>
      </w:r>
      <w:r>
        <w:rPr>
          <w:rFonts w:hint="eastAsia" w:ascii="仿宋" w:hAnsi="仿宋" w:eastAsia="仿宋"/>
          <w:color w:val="000000"/>
          <w:sz w:val="32"/>
          <w:szCs w:val="32"/>
          <w:lang w:val="en-US" w:eastAsia="zh-CN"/>
        </w:rPr>
        <w:t>、</w:t>
      </w:r>
      <w:r>
        <w:rPr>
          <w:rFonts w:hint="eastAsia" w:ascii="仿宋" w:hAnsi="仿宋" w:eastAsia="仿宋"/>
          <w:color w:val="000000"/>
          <w:sz w:val="32"/>
          <w:szCs w:val="32"/>
        </w:rPr>
        <w:t>支总计</w:t>
      </w:r>
      <w:r>
        <w:rPr>
          <w:rFonts w:hint="eastAsia" w:ascii="仿宋" w:hAnsi="仿宋" w:eastAsia="仿宋"/>
          <w:color w:val="000000"/>
          <w:sz w:val="32"/>
          <w:szCs w:val="32"/>
          <w:lang w:val="en-US" w:eastAsia="zh-CN"/>
        </w:rPr>
        <w:t>均为467.07</w:t>
      </w:r>
      <w:r>
        <w:rPr>
          <w:rFonts w:hint="eastAsia" w:ascii="仿宋" w:hAnsi="仿宋" w:eastAsia="仿宋"/>
          <w:color w:val="000000"/>
          <w:sz w:val="32"/>
          <w:szCs w:val="32"/>
        </w:rPr>
        <w:t>万元。</w:t>
      </w:r>
      <w:r>
        <w:rPr>
          <w:rFonts w:hint="eastAsia" w:ascii="仿宋" w:hAnsi="仿宋" w:eastAsia="仿宋"/>
          <w:color w:val="000000" w:themeColor="text1"/>
          <w:sz w:val="32"/>
          <w:szCs w:val="32"/>
          <w14:textFill>
            <w14:solidFill>
              <w14:schemeClr w14:val="tx1"/>
            </w14:solidFill>
          </w14:textFill>
        </w:rPr>
        <w:t>与</w:t>
      </w:r>
      <w:r>
        <w:rPr>
          <w:rFonts w:hint="eastAsia" w:ascii="仿宋" w:hAnsi="仿宋" w:eastAsia="仿宋"/>
          <w:color w:val="000000" w:themeColor="text1"/>
          <w:sz w:val="32"/>
          <w:szCs w:val="32"/>
          <w:lang w:eastAsia="zh-CN"/>
          <w14:textFill>
            <w14:solidFill>
              <w14:schemeClr w14:val="tx1"/>
            </w14:solidFill>
          </w14:textFill>
        </w:rPr>
        <w:t>2024</w:t>
      </w:r>
      <w:r>
        <w:rPr>
          <w:rFonts w:hint="eastAsia" w:ascii="仿宋" w:hAnsi="仿宋" w:eastAsia="仿宋"/>
          <w:color w:val="000000" w:themeColor="text1"/>
          <w:sz w:val="32"/>
          <w:szCs w:val="32"/>
          <w14:textFill>
            <w14:solidFill>
              <w14:schemeClr w14:val="tx1"/>
            </w14:solidFill>
          </w14:textFill>
        </w:rPr>
        <w:t>年相比</w:t>
      </w:r>
      <w:r>
        <w:rPr>
          <w:rFonts w:hint="eastAsia" w:ascii="仿宋" w:hAnsi="仿宋" w:eastAsia="仿宋"/>
          <w:color w:val="000000" w:themeColor="text1"/>
          <w:sz w:val="32"/>
          <w:szCs w:val="32"/>
          <w:lang w:val="en-US" w:eastAsia="zh-CN"/>
          <w14:textFill>
            <w14:solidFill>
              <w14:schemeClr w14:val="tx1"/>
            </w14:solidFill>
          </w14:textFill>
        </w:rPr>
        <w:t>收支总计增加41.12万</w:t>
      </w:r>
      <w:r>
        <w:rPr>
          <w:rFonts w:hint="eastAsia" w:ascii="仿宋" w:hAnsi="仿宋" w:eastAsia="仿宋"/>
          <w:color w:val="000000" w:themeColor="text1"/>
          <w:sz w:val="32"/>
          <w:szCs w:val="32"/>
          <w14:textFill>
            <w14:solidFill>
              <w14:schemeClr w14:val="tx1"/>
            </w14:solidFill>
          </w14:textFill>
        </w:rPr>
        <w:t>元，</w:t>
      </w:r>
      <w:r>
        <w:rPr>
          <w:rFonts w:hint="eastAsia" w:ascii="仿宋" w:hAnsi="仿宋" w:eastAsia="仿宋"/>
          <w:color w:val="000000" w:themeColor="text1"/>
          <w:sz w:val="32"/>
          <w:szCs w:val="32"/>
          <w:lang w:val="en-US" w:eastAsia="zh-CN"/>
          <w14:textFill>
            <w14:solidFill>
              <w14:schemeClr w14:val="tx1"/>
            </w14:solidFill>
          </w14:textFill>
        </w:rPr>
        <w:t>增长9.65%</w:t>
      </w:r>
      <w:r>
        <w:rPr>
          <w:rFonts w:hint="eastAsia" w:ascii="仿宋" w:hAnsi="仿宋" w:eastAsia="仿宋"/>
          <w:color w:val="000000" w:themeColor="text1"/>
          <w:sz w:val="32"/>
          <w:szCs w:val="32"/>
          <w14:textFill>
            <w14:solidFill>
              <w14:schemeClr w14:val="tx1"/>
            </w14:solidFill>
          </w14:textFill>
        </w:rPr>
        <w:t>。主要变动原因</w:t>
      </w:r>
      <w:r>
        <w:rPr>
          <w:rFonts w:hint="eastAsia" w:ascii="仿宋" w:hAnsi="仿宋" w:eastAsia="仿宋"/>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2024年财政困难，未支付我局统计业务经费，于今年年初拨付</w:t>
      </w:r>
      <w:r>
        <w:rPr>
          <w:rFonts w:hint="eastAsia" w:ascii="仿宋_GB2312" w:hAnsi="仿宋_GB2312" w:eastAsia="仿宋_GB2312" w:cs="仿宋_GB2312"/>
          <w:color w:val="000000" w:themeColor="text1"/>
          <w:sz w:val="32"/>
          <w:szCs w:val="32"/>
          <w14:textFill>
            <w14:solidFill>
              <w14:schemeClr w14:val="tx1"/>
            </w14:solidFill>
          </w14:textFill>
        </w:rPr>
        <w:t>。</w:t>
      </w:r>
    </w:p>
    <w:p w14:paraId="02E7ED01">
      <w:pPr>
        <w:pageBreakBefore w:val="0"/>
        <w:kinsoku/>
        <w:wordWrap/>
        <w:overflowPunct/>
        <w:topLinePunct w:val="0"/>
        <w:bidi w:val="0"/>
        <w:spacing w:line="576" w:lineRule="exact"/>
        <w:ind w:firstLine="640" w:firstLineChars="200"/>
        <w:rPr>
          <w:rFonts w:ascii="黑体" w:hAnsi="黑体" w:eastAsia="黑体"/>
          <w:color w:val="000000"/>
          <w:sz w:val="32"/>
          <w:szCs w:val="32"/>
        </w:rPr>
      </w:pPr>
      <w:r>
        <w:rPr>
          <w:rFonts w:hint="eastAsia" w:ascii="仿宋" w:hAnsi="仿宋" w:eastAsia="仿宋"/>
          <w:color w:val="000000" w:themeColor="text1"/>
          <w:sz w:val="32"/>
          <w:szCs w:val="32"/>
          <w14:textFill>
            <w14:solidFill>
              <w14:schemeClr w14:val="tx1"/>
            </w14:solidFill>
          </w14:textFill>
        </w:rPr>
        <w:t>（图4：财政拨款收、支决算总计变动情况）（柱状图）</w:t>
      </w:r>
      <w:bookmarkStart w:id="30" w:name="_Toc15377209"/>
      <w:bookmarkStart w:id="31" w:name="_Toc15396607"/>
    </w:p>
    <w:p w14:paraId="35DC04EE">
      <w:pPr>
        <w:pageBreakBefore w:val="0"/>
        <w:kinsoku/>
        <w:wordWrap/>
        <w:overflowPunct/>
        <w:topLinePunct w:val="0"/>
        <w:bidi w:val="0"/>
        <w:spacing w:line="576" w:lineRule="exact"/>
        <w:ind w:firstLine="640" w:firstLineChars="200"/>
        <w:outlineLvl w:val="1"/>
        <w:rPr>
          <w:rStyle w:val="30"/>
          <w:rFonts w:ascii="黑体" w:hAnsi="黑体" w:eastAsia="黑体"/>
          <w:b w:val="0"/>
        </w:rPr>
      </w:pPr>
      <w:r>
        <w:rPr>
          <w:rFonts w:hint="eastAsia" w:ascii="仿宋" w:hAnsi="仿宋" w:eastAsia="仿宋"/>
          <w:color w:val="FF0000"/>
          <w:sz w:val="32"/>
          <w:szCs w:val="32"/>
        </w:rPr>
        <w:drawing>
          <wp:anchor distT="0" distB="0" distL="114300" distR="114300" simplePos="0" relativeHeight="251661312" behindDoc="0" locked="0" layoutInCell="1" allowOverlap="1">
            <wp:simplePos x="0" y="0"/>
            <wp:positionH relativeFrom="column">
              <wp:posOffset>575945</wp:posOffset>
            </wp:positionH>
            <wp:positionV relativeFrom="paragraph">
              <wp:posOffset>119380</wp:posOffset>
            </wp:positionV>
            <wp:extent cx="4483100" cy="1710690"/>
            <wp:effectExtent l="4445" t="5080" r="8255" b="17780"/>
            <wp:wrapTopAndBottom/>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ascii="黑体" w:hAnsi="黑体" w:eastAsia="黑体"/>
          <w:color w:val="000000"/>
          <w:sz w:val="32"/>
          <w:szCs w:val="32"/>
        </w:rPr>
        <w:t>五、</w:t>
      </w:r>
      <w:r>
        <w:rPr>
          <w:rFonts w:hint="eastAsia" w:ascii="黑体" w:hAnsi="黑体" w:eastAsia="黑体"/>
          <w:b/>
          <w:color w:val="000000"/>
          <w:sz w:val="32"/>
          <w:szCs w:val="32"/>
        </w:rPr>
        <w:t>一</w:t>
      </w:r>
      <w:r>
        <w:rPr>
          <w:rStyle w:val="30"/>
          <w:rFonts w:hint="eastAsia" w:ascii="黑体" w:hAnsi="黑体" w:eastAsia="黑体"/>
          <w:b w:val="0"/>
        </w:rPr>
        <w:t>般公共预算财政拨款支出决算情况说明</w:t>
      </w:r>
      <w:bookmarkEnd w:id="30"/>
      <w:bookmarkEnd w:id="31"/>
    </w:p>
    <w:p w14:paraId="40A8A5B6">
      <w:pPr>
        <w:pageBreakBefore w:val="0"/>
        <w:kinsoku/>
        <w:wordWrap/>
        <w:overflowPunct/>
        <w:topLinePunct w:val="0"/>
        <w:bidi w:val="0"/>
        <w:spacing w:line="576" w:lineRule="exact"/>
        <w:ind w:firstLine="643" w:firstLineChars="200"/>
        <w:outlineLvl w:val="2"/>
        <w:rPr>
          <w:rFonts w:hint="eastAsia" w:ascii="楷体_GB2312" w:hAnsi="楷体_GB2312" w:eastAsia="楷体_GB2312" w:cs="楷体_GB2312"/>
          <w:b/>
          <w:color w:val="000000"/>
          <w:sz w:val="32"/>
          <w:szCs w:val="32"/>
        </w:rPr>
      </w:pPr>
      <w:bookmarkStart w:id="32" w:name="_Toc15377210"/>
      <w:r>
        <w:rPr>
          <w:rFonts w:hint="eastAsia" w:ascii="楷体_GB2312" w:hAnsi="楷体_GB2312" w:eastAsia="楷体_GB2312" w:cs="楷体_GB2312"/>
          <w:b/>
          <w:color w:val="000000"/>
          <w:sz w:val="32"/>
          <w:szCs w:val="32"/>
        </w:rPr>
        <w:t>（一）一般公共预算财政拨款支出决算总体情况</w:t>
      </w:r>
      <w:bookmarkEnd w:id="32"/>
    </w:p>
    <w:p w14:paraId="5993E849">
      <w:pPr>
        <w:pageBreakBefore w:val="0"/>
        <w:kinsoku/>
        <w:wordWrap/>
        <w:overflowPunct/>
        <w:topLinePunct w:val="0"/>
        <w:bidi w:val="0"/>
        <w:spacing w:line="576" w:lineRule="exact"/>
        <w:ind w:firstLine="640" w:firstLineChars="200"/>
        <w:rPr>
          <w:rFonts w:ascii="仿宋" w:hAnsi="仿宋" w:eastAsia="仿宋"/>
          <w:color w:val="000000"/>
          <w:sz w:val="32"/>
          <w:szCs w:val="32"/>
        </w:rPr>
      </w:pPr>
      <w:r>
        <w:rPr>
          <w:rFonts w:hint="eastAsia" w:ascii="仿宋" w:hAnsi="仿宋" w:eastAsia="仿宋"/>
          <w:color w:val="000000"/>
          <w:sz w:val="32"/>
          <w:szCs w:val="32"/>
          <w:lang w:eastAsia="zh-CN"/>
        </w:rPr>
        <w:t>2025</w:t>
      </w:r>
      <w:r>
        <w:rPr>
          <w:rFonts w:hint="eastAsia" w:ascii="仿宋" w:hAnsi="仿宋" w:eastAsia="仿宋"/>
          <w:color w:val="000000"/>
          <w:sz w:val="32"/>
          <w:szCs w:val="32"/>
        </w:rPr>
        <w:t>年一般公共预算财政拨款支出</w:t>
      </w:r>
      <w:r>
        <w:rPr>
          <w:rFonts w:hint="eastAsia" w:ascii="仿宋" w:hAnsi="仿宋" w:eastAsia="仿宋"/>
          <w:color w:val="000000"/>
          <w:sz w:val="32"/>
          <w:szCs w:val="32"/>
          <w:lang w:val="en-US" w:eastAsia="zh-CN"/>
        </w:rPr>
        <w:t>467.07</w:t>
      </w:r>
      <w:r>
        <w:rPr>
          <w:rFonts w:hint="eastAsia" w:ascii="仿宋" w:hAnsi="仿宋" w:eastAsia="仿宋"/>
          <w:color w:val="000000"/>
          <w:sz w:val="32"/>
          <w:szCs w:val="32"/>
        </w:rPr>
        <w:t>万元，占本年支出合计的</w:t>
      </w:r>
      <w:r>
        <w:rPr>
          <w:rFonts w:hint="eastAsia" w:ascii="仿宋" w:hAnsi="仿宋" w:eastAsia="仿宋"/>
          <w:color w:val="000000"/>
          <w:sz w:val="32"/>
          <w:szCs w:val="32"/>
          <w:lang w:val="en-US" w:eastAsia="zh-CN"/>
        </w:rPr>
        <w:t>100</w:t>
      </w:r>
      <w:r>
        <w:rPr>
          <w:rFonts w:ascii="仿宋" w:hAnsi="仿宋" w:eastAsia="仿宋"/>
          <w:color w:val="000000"/>
          <w:sz w:val="32"/>
          <w:szCs w:val="32"/>
        </w:rPr>
        <w:t>%</w:t>
      </w:r>
      <w:r>
        <w:rPr>
          <w:rFonts w:hint="eastAsia" w:ascii="仿宋" w:hAnsi="仿宋" w:eastAsia="仿宋"/>
          <w:color w:val="000000"/>
          <w:sz w:val="32"/>
          <w:szCs w:val="32"/>
        </w:rPr>
        <w:t>。与</w:t>
      </w:r>
      <w:r>
        <w:rPr>
          <w:rFonts w:hint="eastAsia" w:ascii="仿宋" w:hAnsi="仿宋" w:eastAsia="仿宋"/>
          <w:color w:val="000000"/>
          <w:sz w:val="32"/>
          <w:szCs w:val="32"/>
          <w:lang w:eastAsia="zh-CN"/>
        </w:rPr>
        <w:t>2024</w:t>
      </w:r>
      <w:r>
        <w:rPr>
          <w:rFonts w:hint="eastAsia" w:ascii="仿宋" w:hAnsi="仿宋" w:eastAsia="仿宋"/>
          <w:color w:val="000000"/>
          <w:sz w:val="32"/>
          <w:szCs w:val="32"/>
        </w:rPr>
        <w:t>年相比，一般公共预算财政拨款</w:t>
      </w:r>
      <w:r>
        <w:rPr>
          <w:rFonts w:hint="eastAsia" w:ascii="仿宋" w:hAnsi="仿宋" w:eastAsia="仿宋"/>
          <w:color w:val="000000" w:themeColor="text1"/>
          <w:sz w:val="32"/>
          <w:szCs w:val="32"/>
          <w:lang w:val="en-US" w:eastAsia="zh-CN"/>
          <w14:textFill>
            <w14:solidFill>
              <w14:schemeClr w14:val="tx1"/>
            </w14:solidFill>
          </w14:textFill>
        </w:rPr>
        <w:t>增加41.12万</w:t>
      </w:r>
      <w:r>
        <w:rPr>
          <w:rFonts w:hint="eastAsia" w:ascii="仿宋" w:hAnsi="仿宋" w:eastAsia="仿宋"/>
          <w:color w:val="000000" w:themeColor="text1"/>
          <w:sz w:val="32"/>
          <w:szCs w:val="32"/>
          <w14:textFill>
            <w14:solidFill>
              <w14:schemeClr w14:val="tx1"/>
            </w14:solidFill>
          </w14:textFill>
        </w:rPr>
        <w:t>元，</w:t>
      </w:r>
      <w:r>
        <w:rPr>
          <w:rFonts w:hint="eastAsia" w:ascii="仿宋" w:hAnsi="仿宋" w:eastAsia="仿宋"/>
          <w:color w:val="000000" w:themeColor="text1"/>
          <w:sz w:val="32"/>
          <w:szCs w:val="32"/>
          <w:lang w:val="en-US" w:eastAsia="zh-CN"/>
          <w14:textFill>
            <w14:solidFill>
              <w14:schemeClr w14:val="tx1"/>
            </w14:solidFill>
          </w14:textFill>
        </w:rPr>
        <w:t>增长9.65%</w:t>
      </w:r>
      <w:r>
        <w:rPr>
          <w:rFonts w:hint="eastAsia" w:ascii="仿宋" w:hAnsi="仿宋" w:eastAsia="仿宋"/>
          <w:color w:val="000000" w:themeColor="text1"/>
          <w:sz w:val="32"/>
          <w:szCs w:val="32"/>
          <w14:textFill>
            <w14:solidFill>
              <w14:schemeClr w14:val="tx1"/>
            </w14:solidFill>
          </w14:textFill>
        </w:rPr>
        <w:t>。主要变动原因</w:t>
      </w:r>
      <w:r>
        <w:rPr>
          <w:rFonts w:hint="eastAsia" w:ascii="仿宋" w:hAnsi="仿宋" w:eastAsia="仿宋"/>
          <w:color w:val="000000" w:themeColor="text1"/>
          <w:sz w:val="32"/>
          <w:szCs w:val="32"/>
          <w:lang w:eastAsia="zh-CN"/>
          <w14:textFill>
            <w14:solidFill>
              <w14:schemeClr w14:val="tx1"/>
            </w14:solidFill>
          </w14:textFill>
        </w:rPr>
        <w:t>：</w:t>
      </w:r>
      <w:r>
        <w:rPr>
          <w:rFonts w:hint="eastAsia" w:ascii="仿宋" w:hAnsi="仿宋" w:eastAsia="仿宋"/>
          <w:color w:val="000000" w:themeColor="text1"/>
          <w:sz w:val="32"/>
          <w:szCs w:val="32"/>
          <w:lang w:val="en-US" w:eastAsia="zh-CN"/>
          <w14:textFill>
            <w14:solidFill>
              <w14:schemeClr w14:val="tx1"/>
            </w14:solidFill>
          </w14:textFill>
        </w:rPr>
        <w:t>本年度</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本单位新增1名职工；2024年财政困难，未支付我局统计业务经费，于今年年初拨付，所以今年经费较高</w:t>
      </w:r>
      <w:r>
        <w:rPr>
          <w:rFonts w:hint="eastAsia" w:ascii="仿宋_GB2312" w:hAnsi="仿宋_GB2312" w:eastAsia="仿宋_GB2312" w:cs="仿宋_GB2312"/>
          <w:color w:val="000000" w:themeColor="text1"/>
          <w:sz w:val="32"/>
          <w:szCs w:val="32"/>
          <w14:textFill>
            <w14:solidFill>
              <w14:schemeClr w14:val="tx1"/>
            </w14:solidFill>
          </w14:textFill>
        </w:rPr>
        <w:t>。</w:t>
      </w:r>
    </w:p>
    <w:p w14:paraId="102779A6">
      <w:pPr>
        <w:pageBreakBefore w:val="0"/>
        <w:kinsoku/>
        <w:wordWrap/>
        <w:overflowPunct/>
        <w:topLinePunct w:val="0"/>
        <w:bidi w:val="0"/>
        <w:spacing w:line="576" w:lineRule="exact"/>
        <w:rPr>
          <w:rFonts w:ascii="仿宋" w:hAnsi="仿宋" w:eastAsia="仿宋"/>
          <w:b/>
          <w:color w:val="000000"/>
          <w:sz w:val="32"/>
          <w:szCs w:val="32"/>
        </w:rPr>
      </w:pPr>
      <w:r>
        <w:rPr>
          <w:rFonts w:hint="eastAsia" w:ascii="仿宋" w:hAnsi="仿宋" w:eastAsia="仿宋"/>
          <w:color w:val="FF0000"/>
          <w:sz w:val="32"/>
          <w:szCs w:val="32"/>
        </w:rPr>
        <w:drawing>
          <wp:anchor distT="0" distB="0" distL="114300" distR="114300" simplePos="0" relativeHeight="251664384" behindDoc="0" locked="0" layoutInCell="1" allowOverlap="1">
            <wp:simplePos x="0" y="0"/>
            <wp:positionH relativeFrom="column">
              <wp:posOffset>371475</wp:posOffset>
            </wp:positionH>
            <wp:positionV relativeFrom="paragraph">
              <wp:posOffset>482600</wp:posOffset>
            </wp:positionV>
            <wp:extent cx="4536440" cy="1858010"/>
            <wp:effectExtent l="4445" t="4445" r="12065" b="23495"/>
            <wp:wrapTopAndBottom/>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ascii="仿宋" w:hAnsi="仿宋" w:eastAsia="仿宋"/>
          <w:color w:val="000000" w:themeColor="text1"/>
          <w:sz w:val="32"/>
          <w:szCs w:val="32"/>
          <w14:textFill>
            <w14:solidFill>
              <w14:schemeClr w14:val="tx1"/>
            </w14:solidFill>
          </w14:textFill>
        </w:rPr>
        <w:t>（图5</w:t>
      </w:r>
      <w:r>
        <w:rPr>
          <w:rFonts w:hint="eastAsia" w:ascii="仿宋" w:hAnsi="仿宋" w:eastAsia="仿宋"/>
          <w:color w:val="000000" w:themeColor="text1"/>
          <w:sz w:val="30"/>
          <w:szCs w:val="30"/>
          <w14:textFill>
            <w14:solidFill>
              <w14:schemeClr w14:val="tx1"/>
            </w14:solidFill>
          </w14:textFill>
        </w:rPr>
        <w:t>：一般公共预算财政拨款支出决算变动情况）（柱状图</w:t>
      </w:r>
      <w:bookmarkStart w:id="33" w:name="_Toc15377211"/>
    </w:p>
    <w:p w14:paraId="16234A36">
      <w:pPr>
        <w:pageBreakBefore w:val="0"/>
        <w:kinsoku/>
        <w:wordWrap/>
        <w:overflowPunct/>
        <w:topLinePunct w:val="0"/>
        <w:bidi w:val="0"/>
        <w:spacing w:line="576" w:lineRule="exact"/>
        <w:ind w:firstLine="643" w:firstLineChars="200"/>
        <w:outlineLvl w:val="2"/>
        <w:rPr>
          <w:rFonts w:hint="eastAsia" w:ascii="楷体_GB2312" w:hAnsi="楷体_GB2312" w:eastAsia="楷体_GB2312" w:cs="楷体_GB2312"/>
          <w:b/>
          <w:color w:val="000000"/>
          <w:sz w:val="32"/>
          <w:szCs w:val="32"/>
        </w:rPr>
      </w:pPr>
      <w:r>
        <w:rPr>
          <w:rFonts w:hint="eastAsia" w:ascii="楷体_GB2312" w:hAnsi="楷体_GB2312" w:eastAsia="楷体_GB2312" w:cs="楷体_GB2312"/>
          <w:b/>
          <w:color w:val="000000"/>
          <w:sz w:val="32"/>
          <w:szCs w:val="32"/>
        </w:rPr>
        <w:t>（二）一般公共预算财政拨款支出决算结构情况</w:t>
      </w:r>
      <w:bookmarkEnd w:id="33"/>
    </w:p>
    <w:p w14:paraId="797D0DC6">
      <w:pPr>
        <w:pageBreakBefore w:val="0"/>
        <w:kinsoku/>
        <w:wordWrap/>
        <w:overflowPunct/>
        <w:topLinePunct w:val="0"/>
        <w:bidi w:val="0"/>
        <w:spacing w:line="576" w:lineRule="exact"/>
        <w:ind w:firstLine="640" w:firstLineChars="200"/>
        <w:rPr>
          <w:rFonts w:hint="eastAsia" w:ascii="仿宋" w:hAnsi="仿宋" w:eastAsia="仿宋"/>
          <w:color w:val="000000"/>
          <w:sz w:val="32"/>
          <w:szCs w:val="32"/>
          <w:lang w:eastAsia="zh-CN"/>
        </w:rPr>
      </w:pPr>
      <w:r>
        <w:rPr>
          <w:rFonts w:hint="eastAsia" w:ascii="仿宋" w:hAnsi="仿宋" w:eastAsia="仿宋"/>
          <w:color w:val="000000"/>
          <w:sz w:val="32"/>
          <w:szCs w:val="32"/>
          <w:lang w:eastAsia="zh-CN"/>
        </w:rPr>
        <w:t>2025年</w:t>
      </w:r>
      <w:r>
        <w:rPr>
          <w:rFonts w:hint="eastAsia" w:ascii="仿宋" w:hAnsi="仿宋" w:eastAsia="仿宋"/>
          <w:color w:val="000000"/>
          <w:sz w:val="32"/>
          <w:szCs w:val="32"/>
        </w:rPr>
        <w:t>一般公共预算财政拨款支出</w:t>
      </w:r>
      <w:r>
        <w:rPr>
          <w:rFonts w:hint="eastAsia" w:ascii="仿宋" w:hAnsi="仿宋" w:eastAsia="仿宋"/>
          <w:color w:val="000000"/>
          <w:sz w:val="32"/>
          <w:szCs w:val="32"/>
          <w:lang w:val="en-US" w:eastAsia="zh-CN"/>
        </w:rPr>
        <w:t>467.07</w:t>
      </w:r>
      <w:r>
        <w:rPr>
          <w:rFonts w:hint="eastAsia" w:ascii="仿宋" w:hAnsi="仿宋" w:eastAsia="仿宋"/>
          <w:color w:val="000000"/>
          <w:sz w:val="32"/>
          <w:szCs w:val="32"/>
          <w:lang w:eastAsia="zh-CN"/>
        </w:rPr>
        <w:t>万元，其中：</w:t>
      </w:r>
      <w:r>
        <w:rPr>
          <w:rFonts w:hint="eastAsia" w:ascii="仿宋" w:hAnsi="仿宋" w:eastAsia="仿宋"/>
          <w:color w:val="000000"/>
          <w:sz w:val="32"/>
          <w:szCs w:val="32"/>
        </w:rPr>
        <w:t>一般公共服务支出</w:t>
      </w:r>
      <w:r>
        <w:rPr>
          <w:rFonts w:hint="eastAsia" w:ascii="仿宋" w:hAnsi="仿宋" w:eastAsia="仿宋"/>
          <w:color w:val="000000"/>
          <w:sz w:val="32"/>
          <w:szCs w:val="32"/>
          <w:lang w:val="en-US" w:eastAsia="zh-CN"/>
        </w:rPr>
        <w:t>373.09</w:t>
      </w:r>
      <w:r>
        <w:rPr>
          <w:rFonts w:hint="eastAsia" w:ascii="仿宋" w:hAnsi="仿宋" w:eastAsia="仿宋"/>
          <w:color w:val="000000"/>
          <w:sz w:val="32"/>
          <w:szCs w:val="32"/>
        </w:rPr>
        <w:t>万元，占总支出的</w:t>
      </w:r>
      <w:r>
        <w:rPr>
          <w:rFonts w:hint="eastAsia" w:ascii="仿宋" w:hAnsi="仿宋" w:eastAsia="仿宋"/>
          <w:color w:val="000000"/>
          <w:sz w:val="32"/>
          <w:szCs w:val="32"/>
          <w:lang w:val="en-US" w:eastAsia="zh-CN"/>
        </w:rPr>
        <w:t>79.88</w:t>
      </w:r>
      <w:r>
        <w:rPr>
          <w:rFonts w:hint="eastAsia" w:ascii="仿宋" w:hAnsi="仿宋" w:eastAsia="仿宋"/>
          <w:color w:val="000000"/>
          <w:sz w:val="32"/>
          <w:szCs w:val="32"/>
        </w:rPr>
        <w:t>%</w:t>
      </w:r>
      <w:r>
        <w:rPr>
          <w:rFonts w:hint="eastAsia" w:ascii="仿宋" w:hAnsi="仿宋" w:eastAsia="仿宋"/>
          <w:color w:val="000000"/>
          <w:sz w:val="32"/>
          <w:szCs w:val="32"/>
          <w:lang w:eastAsia="zh-CN"/>
        </w:rPr>
        <w:t>；</w:t>
      </w:r>
      <w:r>
        <w:rPr>
          <w:rFonts w:hint="eastAsia" w:ascii="仿宋" w:hAnsi="仿宋" w:eastAsia="仿宋"/>
          <w:color w:val="000000"/>
          <w:sz w:val="32"/>
          <w:szCs w:val="32"/>
        </w:rPr>
        <w:t>社会保障和就业支出决算数</w:t>
      </w:r>
      <w:r>
        <w:rPr>
          <w:rFonts w:hint="eastAsia" w:ascii="仿宋" w:hAnsi="仿宋" w:eastAsia="仿宋"/>
          <w:color w:val="000000"/>
          <w:sz w:val="32"/>
          <w:szCs w:val="32"/>
          <w:lang w:val="en-US" w:eastAsia="zh-CN"/>
        </w:rPr>
        <w:t>47.6</w:t>
      </w:r>
      <w:r>
        <w:rPr>
          <w:rFonts w:hint="eastAsia" w:ascii="仿宋" w:hAnsi="仿宋" w:eastAsia="仿宋"/>
          <w:color w:val="000000"/>
          <w:sz w:val="32"/>
          <w:szCs w:val="32"/>
        </w:rPr>
        <w:t>万元。占总支出的</w:t>
      </w:r>
      <w:r>
        <w:rPr>
          <w:rFonts w:hint="eastAsia" w:ascii="仿宋" w:hAnsi="仿宋" w:eastAsia="仿宋"/>
          <w:color w:val="000000"/>
          <w:sz w:val="32"/>
          <w:szCs w:val="32"/>
          <w:lang w:val="en-US" w:eastAsia="zh-CN"/>
        </w:rPr>
        <w:t>10.19</w:t>
      </w:r>
      <w:r>
        <w:rPr>
          <w:rFonts w:hint="eastAsia" w:ascii="仿宋" w:hAnsi="仿宋" w:eastAsia="仿宋"/>
          <w:color w:val="000000"/>
          <w:sz w:val="32"/>
          <w:szCs w:val="32"/>
        </w:rPr>
        <w:t>%</w:t>
      </w:r>
      <w:r>
        <w:rPr>
          <w:rFonts w:hint="eastAsia" w:ascii="仿宋" w:hAnsi="仿宋" w:eastAsia="仿宋"/>
          <w:color w:val="000000"/>
          <w:sz w:val="32"/>
          <w:szCs w:val="32"/>
          <w:lang w:eastAsia="zh-CN"/>
        </w:rPr>
        <w:t>；</w:t>
      </w:r>
      <w:r>
        <w:rPr>
          <w:rFonts w:hint="eastAsia" w:ascii="仿宋" w:hAnsi="仿宋" w:eastAsia="仿宋"/>
          <w:color w:val="000000"/>
          <w:sz w:val="32"/>
          <w:szCs w:val="32"/>
        </w:rPr>
        <w:t>卫生健康支出决算数</w:t>
      </w:r>
      <w:r>
        <w:rPr>
          <w:rFonts w:hint="eastAsia" w:ascii="仿宋" w:hAnsi="仿宋" w:eastAsia="仿宋"/>
          <w:color w:val="000000"/>
          <w:sz w:val="32"/>
          <w:szCs w:val="32"/>
          <w:lang w:val="en-US" w:eastAsia="zh-CN"/>
        </w:rPr>
        <w:t>19.82</w:t>
      </w:r>
      <w:r>
        <w:rPr>
          <w:rFonts w:hint="eastAsia" w:ascii="仿宋" w:hAnsi="仿宋" w:eastAsia="仿宋"/>
          <w:color w:val="000000"/>
          <w:sz w:val="32"/>
          <w:szCs w:val="32"/>
        </w:rPr>
        <w:t>万元。占总支出的</w:t>
      </w:r>
      <w:r>
        <w:rPr>
          <w:rFonts w:hint="eastAsia" w:ascii="仿宋" w:hAnsi="仿宋" w:eastAsia="仿宋"/>
          <w:color w:val="000000"/>
          <w:sz w:val="32"/>
          <w:szCs w:val="32"/>
          <w:lang w:val="en-US" w:eastAsia="zh-CN"/>
        </w:rPr>
        <w:t>4.24</w:t>
      </w:r>
      <w:r>
        <w:rPr>
          <w:rFonts w:hint="eastAsia" w:ascii="仿宋" w:hAnsi="仿宋" w:eastAsia="仿宋"/>
          <w:color w:val="000000"/>
          <w:sz w:val="32"/>
          <w:szCs w:val="32"/>
        </w:rPr>
        <w:t>%</w:t>
      </w:r>
      <w:r>
        <w:rPr>
          <w:rFonts w:hint="eastAsia" w:ascii="仿宋" w:hAnsi="仿宋" w:eastAsia="仿宋"/>
          <w:color w:val="000000"/>
          <w:sz w:val="32"/>
          <w:szCs w:val="32"/>
          <w:lang w:eastAsia="zh-CN"/>
        </w:rPr>
        <w:t>；</w:t>
      </w:r>
      <w:r>
        <w:rPr>
          <w:rFonts w:hint="eastAsia" w:ascii="仿宋" w:hAnsi="仿宋" w:eastAsia="仿宋"/>
          <w:color w:val="000000"/>
          <w:sz w:val="32"/>
          <w:szCs w:val="32"/>
        </w:rPr>
        <w:t>住房保障支出决算数</w:t>
      </w:r>
      <w:r>
        <w:rPr>
          <w:rFonts w:hint="eastAsia" w:ascii="仿宋" w:hAnsi="仿宋" w:eastAsia="仿宋"/>
          <w:color w:val="000000"/>
          <w:sz w:val="32"/>
          <w:szCs w:val="32"/>
          <w:lang w:val="en-US" w:eastAsia="zh-CN"/>
        </w:rPr>
        <w:t>26.56</w:t>
      </w:r>
      <w:r>
        <w:rPr>
          <w:rFonts w:hint="eastAsia" w:ascii="仿宋" w:hAnsi="仿宋" w:eastAsia="仿宋"/>
          <w:color w:val="000000"/>
          <w:sz w:val="32"/>
          <w:szCs w:val="32"/>
        </w:rPr>
        <w:t>万元，占总支出的</w:t>
      </w:r>
      <w:r>
        <w:rPr>
          <w:rFonts w:hint="eastAsia" w:ascii="仿宋" w:hAnsi="仿宋" w:eastAsia="仿宋"/>
          <w:color w:val="000000"/>
          <w:sz w:val="32"/>
          <w:szCs w:val="32"/>
          <w:lang w:val="en-US" w:eastAsia="zh-CN"/>
        </w:rPr>
        <w:t>5.69</w:t>
      </w:r>
      <w:r>
        <w:rPr>
          <w:rFonts w:hint="eastAsia" w:ascii="仿宋" w:hAnsi="仿宋" w:eastAsia="仿宋"/>
          <w:color w:val="000000"/>
          <w:sz w:val="32"/>
          <w:szCs w:val="32"/>
        </w:rPr>
        <w:t>%。</w:t>
      </w:r>
    </w:p>
    <w:p w14:paraId="1A3C9A2B">
      <w:pPr>
        <w:pageBreakBefore w:val="0"/>
        <w:kinsoku/>
        <w:wordWrap/>
        <w:overflowPunct/>
        <w:topLinePunct w:val="0"/>
        <w:bidi w:val="0"/>
        <w:spacing w:line="576" w:lineRule="exact"/>
        <w:ind w:firstLine="640" w:firstLineChars="200"/>
        <w:rPr>
          <w:rFonts w:ascii="仿宋" w:hAnsi="仿宋" w:eastAsia="仿宋"/>
          <w:color w:val="000000"/>
          <w:sz w:val="32"/>
          <w:szCs w:val="32"/>
        </w:rPr>
      </w:pPr>
      <w:r>
        <w:rPr>
          <w:rFonts w:hint="eastAsia" w:ascii="仿宋" w:hAnsi="仿宋" w:eastAsia="仿宋"/>
          <w:color w:val="000000" w:themeColor="text1"/>
          <w:sz w:val="32"/>
          <w:szCs w:val="32"/>
          <w:lang w:eastAsia="zh-CN"/>
          <w14:textFill>
            <w14:solidFill>
              <w14:schemeClr w14:val="tx1"/>
            </w14:solidFill>
          </w14:textFill>
        </w:rPr>
        <w:drawing>
          <wp:anchor distT="0" distB="0" distL="114300" distR="114300" simplePos="0" relativeHeight="251663360" behindDoc="0" locked="0" layoutInCell="1" allowOverlap="1">
            <wp:simplePos x="0" y="0"/>
            <wp:positionH relativeFrom="column">
              <wp:posOffset>370205</wp:posOffset>
            </wp:positionH>
            <wp:positionV relativeFrom="paragraph">
              <wp:posOffset>471170</wp:posOffset>
            </wp:positionV>
            <wp:extent cx="4878705" cy="2047240"/>
            <wp:effectExtent l="4445" t="4445" r="12700" b="571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仿宋" w:hAnsi="仿宋" w:eastAsia="仿宋"/>
          <w:color w:val="000000"/>
          <w:sz w:val="32"/>
          <w:szCs w:val="32"/>
        </w:rPr>
        <w:t>（图6：一般公共预算财政拨款支出决算结构）</w:t>
      </w:r>
    </w:p>
    <w:p w14:paraId="156A90FE">
      <w:pPr>
        <w:pageBreakBefore w:val="0"/>
        <w:kinsoku/>
        <w:wordWrap/>
        <w:overflowPunct/>
        <w:topLinePunct w:val="0"/>
        <w:bidi w:val="0"/>
        <w:spacing w:line="576" w:lineRule="exact"/>
        <w:ind w:firstLine="643" w:firstLineChars="200"/>
        <w:outlineLvl w:val="2"/>
        <w:rPr>
          <w:rFonts w:ascii="仿宋" w:hAnsi="仿宋" w:eastAsia="仿宋"/>
          <w:b/>
          <w:color w:val="000000"/>
          <w:sz w:val="32"/>
          <w:szCs w:val="32"/>
        </w:rPr>
      </w:pPr>
      <w:bookmarkStart w:id="34" w:name="_Toc15377212"/>
      <w:r>
        <w:rPr>
          <w:rFonts w:hint="eastAsia" w:ascii="仿宋" w:hAnsi="仿宋" w:eastAsia="仿宋"/>
          <w:b/>
          <w:color w:val="000000"/>
          <w:sz w:val="32"/>
          <w:szCs w:val="32"/>
        </w:rPr>
        <w:t>（三）一般公共预算财政拨款支出决算具体情况</w:t>
      </w:r>
      <w:bookmarkEnd w:id="34"/>
    </w:p>
    <w:p w14:paraId="3BD377CE">
      <w:pPr>
        <w:pageBreakBefore w:val="0"/>
        <w:kinsoku/>
        <w:wordWrap/>
        <w:overflowPunct/>
        <w:topLinePunct w:val="0"/>
        <w:bidi w:val="0"/>
        <w:spacing w:line="576" w:lineRule="exact"/>
        <w:ind w:firstLine="643" w:firstLineChars="200"/>
        <w:outlineLvl w:val="2"/>
        <w:rPr>
          <w:rFonts w:ascii="仿宋" w:hAnsi="仿宋" w:eastAsia="仿宋"/>
          <w:color w:val="FF0000"/>
          <w:sz w:val="32"/>
          <w:szCs w:val="32"/>
        </w:rPr>
      </w:pPr>
      <w:bookmarkStart w:id="35" w:name="_Toc15377444"/>
      <w:bookmarkStart w:id="36" w:name="_Toc15377213"/>
      <w:bookmarkStart w:id="37" w:name="_Toc15378460"/>
      <w:r>
        <w:rPr>
          <w:rFonts w:hint="eastAsia" w:ascii="仿宋" w:hAnsi="仿宋" w:eastAsia="仿宋"/>
          <w:b/>
          <w:color w:val="000000" w:themeColor="text1"/>
          <w:sz w:val="32"/>
          <w:szCs w:val="32"/>
          <w:lang w:eastAsia="zh-CN"/>
          <w14:textFill>
            <w14:solidFill>
              <w14:schemeClr w14:val="tx1"/>
            </w14:solidFill>
          </w14:textFill>
        </w:rPr>
        <w:t>2025</w:t>
      </w:r>
      <w:r>
        <w:rPr>
          <w:rFonts w:hint="eastAsia" w:ascii="仿宋" w:hAnsi="仿宋" w:eastAsia="仿宋"/>
          <w:b/>
          <w:color w:val="000000" w:themeColor="text1"/>
          <w:sz w:val="32"/>
          <w:szCs w:val="32"/>
          <w14:textFill>
            <w14:solidFill>
              <w14:schemeClr w14:val="tx1"/>
            </w14:solidFill>
          </w14:textFill>
        </w:rPr>
        <w:t>年一般公共预算支出决算数为</w:t>
      </w:r>
      <w:r>
        <w:rPr>
          <w:rFonts w:hint="eastAsia" w:ascii="仿宋" w:hAnsi="仿宋" w:eastAsia="仿宋"/>
          <w:b/>
          <w:bCs/>
          <w:color w:val="000000"/>
          <w:sz w:val="32"/>
          <w:szCs w:val="32"/>
          <w:lang w:val="en-US" w:eastAsia="zh-CN"/>
        </w:rPr>
        <w:t>467.07</w:t>
      </w:r>
      <w:r>
        <w:rPr>
          <w:rFonts w:hint="eastAsia" w:ascii="仿宋" w:hAnsi="仿宋" w:eastAsia="仿宋"/>
          <w:b/>
          <w:color w:val="000000" w:themeColor="text1"/>
          <w:sz w:val="32"/>
          <w:szCs w:val="32"/>
          <w:lang w:val="en-US" w:eastAsia="zh-CN"/>
          <w14:textFill>
            <w14:solidFill>
              <w14:schemeClr w14:val="tx1"/>
            </w14:solidFill>
          </w14:textFill>
        </w:rPr>
        <w:t>万元</w:t>
      </w:r>
      <w:r>
        <w:rPr>
          <w:rFonts w:hint="eastAsia" w:ascii="仿宋" w:hAnsi="仿宋" w:eastAsia="仿宋"/>
          <w:color w:val="000000" w:themeColor="text1"/>
          <w:sz w:val="32"/>
          <w:szCs w:val="32"/>
          <w14:textFill>
            <w14:solidFill>
              <w14:schemeClr w14:val="tx1"/>
            </w14:solidFill>
          </w14:textFill>
        </w:rPr>
        <w:t>，</w:t>
      </w:r>
      <w:r>
        <w:rPr>
          <w:rStyle w:val="19"/>
          <w:rFonts w:hint="eastAsia" w:ascii="仿宋" w:hAnsi="仿宋" w:eastAsia="仿宋"/>
          <w:bCs/>
          <w:color w:val="000000" w:themeColor="text1"/>
          <w:sz w:val="32"/>
          <w:szCs w:val="32"/>
          <w14:textFill>
            <w14:solidFill>
              <w14:schemeClr w14:val="tx1"/>
            </w14:solidFill>
          </w14:textFill>
        </w:rPr>
        <w:t>完成</w:t>
      </w:r>
      <w:r>
        <w:rPr>
          <w:rStyle w:val="19"/>
          <w:rFonts w:hint="eastAsia" w:ascii="仿宋" w:hAnsi="仿宋" w:eastAsia="仿宋"/>
          <w:bCs/>
          <w:color w:val="000000"/>
          <w:sz w:val="32"/>
          <w:szCs w:val="32"/>
        </w:rPr>
        <w:t>预算</w:t>
      </w:r>
      <w:r>
        <w:rPr>
          <w:rStyle w:val="19"/>
          <w:rFonts w:hint="eastAsia" w:ascii="仿宋" w:hAnsi="仿宋" w:eastAsia="仿宋"/>
          <w:bCs/>
          <w:color w:val="000000"/>
          <w:sz w:val="32"/>
          <w:szCs w:val="32"/>
          <w:lang w:val="en-US" w:eastAsia="zh-CN"/>
        </w:rPr>
        <w:t>100</w:t>
      </w:r>
      <w:r>
        <w:rPr>
          <w:rStyle w:val="19"/>
          <w:rFonts w:ascii="仿宋" w:hAnsi="仿宋" w:eastAsia="仿宋"/>
          <w:bCs/>
          <w:color w:val="000000"/>
          <w:sz w:val="32"/>
          <w:szCs w:val="32"/>
        </w:rPr>
        <w:t>%</w:t>
      </w:r>
      <w:r>
        <w:rPr>
          <w:rStyle w:val="19"/>
          <w:rFonts w:hint="eastAsia" w:ascii="仿宋" w:hAnsi="仿宋" w:eastAsia="仿宋"/>
          <w:bCs/>
          <w:color w:val="000000"/>
          <w:sz w:val="32"/>
          <w:szCs w:val="32"/>
        </w:rPr>
        <w:t>。其中：</w:t>
      </w:r>
      <w:bookmarkEnd w:id="35"/>
      <w:bookmarkEnd w:id="36"/>
      <w:bookmarkEnd w:id="37"/>
    </w:p>
    <w:p w14:paraId="4D520ABD">
      <w:pPr>
        <w:pageBreakBefore w:val="0"/>
        <w:numPr>
          <w:ilvl w:val="0"/>
          <w:numId w:val="2"/>
        </w:numPr>
        <w:kinsoku/>
        <w:wordWrap/>
        <w:overflowPunct/>
        <w:topLinePunct w:val="0"/>
        <w:bidi w:val="0"/>
        <w:spacing w:line="576" w:lineRule="exact"/>
        <w:ind w:firstLine="643" w:firstLineChars="200"/>
        <w:rPr>
          <w:rStyle w:val="19"/>
          <w:rFonts w:ascii="仿宋_GB2312" w:eastAsia="仿宋_GB2312"/>
          <w:b w:val="0"/>
          <w:color w:val="000000"/>
          <w:sz w:val="32"/>
          <w:szCs w:val="32"/>
        </w:rPr>
      </w:pPr>
      <w:r>
        <w:rPr>
          <w:rStyle w:val="19"/>
          <w:rFonts w:hint="eastAsia" w:ascii="仿宋_GB2312" w:eastAsia="仿宋_GB2312"/>
          <w:color w:val="000000"/>
          <w:sz w:val="32"/>
          <w:szCs w:val="32"/>
        </w:rPr>
        <w:t>一般公共服务支出（201）-统计信息事务（20105）-行政运行、专项统计业务、专项普查活动(2010501/2010505/2010507):</w:t>
      </w:r>
      <w:r>
        <w:rPr>
          <w:rStyle w:val="19"/>
          <w:rFonts w:hint="eastAsia" w:ascii="仿宋_GB2312" w:eastAsia="仿宋_GB2312"/>
          <w:b w:val="0"/>
          <w:color w:val="000000"/>
          <w:sz w:val="32"/>
          <w:szCs w:val="32"/>
        </w:rPr>
        <w:t>支出决算为</w:t>
      </w:r>
      <w:r>
        <w:rPr>
          <w:rFonts w:hint="eastAsia" w:ascii="仿宋" w:hAnsi="仿宋" w:eastAsia="仿宋"/>
          <w:color w:val="000000"/>
          <w:sz w:val="32"/>
          <w:szCs w:val="32"/>
          <w:lang w:val="en-US" w:eastAsia="zh-CN"/>
        </w:rPr>
        <w:t>373.09</w:t>
      </w:r>
      <w:r>
        <w:rPr>
          <w:rStyle w:val="19"/>
          <w:rFonts w:hint="eastAsia" w:ascii="仿宋_GB2312" w:eastAsia="仿宋_GB2312"/>
          <w:b w:val="0"/>
          <w:color w:val="000000"/>
          <w:sz w:val="32"/>
          <w:szCs w:val="32"/>
        </w:rPr>
        <w:t>万元，预算数为</w:t>
      </w:r>
      <w:r>
        <w:rPr>
          <w:rFonts w:hint="eastAsia" w:ascii="仿宋" w:hAnsi="仿宋" w:eastAsia="仿宋"/>
          <w:color w:val="000000"/>
          <w:sz w:val="32"/>
          <w:szCs w:val="32"/>
          <w:lang w:val="en-US" w:eastAsia="zh-CN"/>
        </w:rPr>
        <w:t>373.09</w:t>
      </w:r>
      <w:r>
        <w:rPr>
          <w:rStyle w:val="19"/>
          <w:rFonts w:hint="eastAsia" w:ascii="仿宋_GB2312" w:eastAsia="仿宋_GB2312"/>
          <w:b w:val="0"/>
          <w:color w:val="000000"/>
          <w:sz w:val="32"/>
          <w:szCs w:val="32"/>
        </w:rPr>
        <w:t>万元，完成预算</w:t>
      </w:r>
      <w:r>
        <w:rPr>
          <w:rStyle w:val="19"/>
          <w:rFonts w:hint="eastAsia" w:ascii="仿宋_GB2312" w:eastAsia="仿宋_GB2312"/>
          <w:b w:val="0"/>
          <w:color w:val="000000"/>
          <w:sz w:val="32"/>
          <w:szCs w:val="32"/>
          <w:lang w:val="en-US" w:eastAsia="zh-CN"/>
        </w:rPr>
        <w:t>100</w:t>
      </w:r>
      <w:r>
        <w:rPr>
          <w:rStyle w:val="19"/>
          <w:rFonts w:hint="eastAsia" w:ascii="仿宋_GB2312" w:eastAsia="仿宋_GB2312"/>
          <w:b w:val="0"/>
          <w:color w:val="000000"/>
          <w:sz w:val="32"/>
          <w:szCs w:val="32"/>
        </w:rPr>
        <w:t>%。</w:t>
      </w:r>
    </w:p>
    <w:p w14:paraId="43F579D8">
      <w:pPr>
        <w:pageBreakBefore w:val="0"/>
        <w:numPr>
          <w:ilvl w:val="0"/>
          <w:numId w:val="2"/>
        </w:numPr>
        <w:kinsoku/>
        <w:wordWrap/>
        <w:overflowPunct/>
        <w:topLinePunct w:val="0"/>
        <w:bidi w:val="0"/>
        <w:spacing w:line="576" w:lineRule="exact"/>
        <w:ind w:firstLine="643" w:firstLineChars="200"/>
        <w:rPr>
          <w:rFonts w:ascii="仿宋_GB2312" w:eastAsia="仿宋_GB2312"/>
          <w:b/>
          <w:color w:val="000000"/>
          <w:sz w:val="32"/>
          <w:szCs w:val="32"/>
        </w:rPr>
      </w:pPr>
      <w:r>
        <w:rPr>
          <w:rStyle w:val="19"/>
          <w:rFonts w:hint="eastAsia" w:ascii="仿宋_GB2312" w:eastAsia="仿宋_GB2312"/>
          <w:color w:val="000000"/>
          <w:sz w:val="32"/>
          <w:szCs w:val="32"/>
        </w:rPr>
        <w:t>社会保障和就业支出（208）-行政事业单位离退休（20805）-机关事业单位养老保险和职业年金缴费支出（2080505/2080506）:</w:t>
      </w:r>
      <w:r>
        <w:rPr>
          <w:rStyle w:val="19"/>
          <w:rFonts w:hint="eastAsia" w:ascii="仿宋_GB2312" w:eastAsia="仿宋_GB2312"/>
          <w:b w:val="0"/>
          <w:color w:val="000000"/>
          <w:sz w:val="32"/>
          <w:szCs w:val="32"/>
        </w:rPr>
        <w:t>支出决算为</w:t>
      </w:r>
      <w:r>
        <w:rPr>
          <w:rFonts w:hint="eastAsia" w:ascii="仿宋" w:hAnsi="仿宋" w:eastAsia="仿宋"/>
          <w:color w:val="000000"/>
          <w:sz w:val="32"/>
          <w:szCs w:val="32"/>
          <w:lang w:val="en-US" w:eastAsia="zh-CN"/>
        </w:rPr>
        <w:t>47.6</w:t>
      </w:r>
      <w:r>
        <w:rPr>
          <w:rStyle w:val="19"/>
          <w:rFonts w:hint="eastAsia" w:ascii="仿宋_GB2312" w:eastAsia="仿宋_GB2312"/>
          <w:b w:val="0"/>
          <w:color w:val="000000"/>
          <w:sz w:val="32"/>
          <w:szCs w:val="32"/>
        </w:rPr>
        <w:t>万元，完成预算100%，决算数与预算数持平。</w:t>
      </w:r>
    </w:p>
    <w:p w14:paraId="52C1AD6D">
      <w:pPr>
        <w:pageBreakBefore w:val="0"/>
        <w:numPr>
          <w:ilvl w:val="0"/>
          <w:numId w:val="2"/>
        </w:numPr>
        <w:kinsoku/>
        <w:wordWrap/>
        <w:overflowPunct/>
        <w:topLinePunct w:val="0"/>
        <w:bidi w:val="0"/>
        <w:spacing w:line="576" w:lineRule="exact"/>
        <w:ind w:firstLine="643" w:firstLineChars="200"/>
        <w:rPr>
          <w:rFonts w:ascii="仿宋_GB2312" w:eastAsia="仿宋_GB2312"/>
          <w:b/>
          <w:color w:val="000000"/>
          <w:sz w:val="32"/>
          <w:szCs w:val="32"/>
        </w:rPr>
      </w:pPr>
      <w:r>
        <w:rPr>
          <w:rStyle w:val="19"/>
          <w:rFonts w:hint="eastAsia" w:ascii="仿宋_GB2312" w:eastAsia="仿宋_GB2312"/>
          <w:color w:val="000000"/>
          <w:sz w:val="32"/>
          <w:szCs w:val="32"/>
        </w:rPr>
        <w:t>医疗卫生和计划生育支出（210）-行政事业单位医疗（21011）-事业单位医疗（2101102）:</w:t>
      </w:r>
      <w:r>
        <w:rPr>
          <w:rStyle w:val="19"/>
          <w:rFonts w:hint="eastAsia" w:ascii="仿宋_GB2312" w:eastAsia="仿宋_GB2312"/>
          <w:b w:val="0"/>
          <w:color w:val="000000"/>
          <w:sz w:val="32"/>
          <w:szCs w:val="32"/>
        </w:rPr>
        <w:t>支出决算为</w:t>
      </w:r>
      <w:r>
        <w:rPr>
          <w:rFonts w:hint="eastAsia" w:ascii="仿宋" w:hAnsi="仿宋" w:eastAsia="仿宋"/>
          <w:color w:val="000000"/>
          <w:sz w:val="32"/>
          <w:szCs w:val="32"/>
          <w:lang w:val="en-US" w:eastAsia="zh-CN"/>
        </w:rPr>
        <w:t>19.82</w:t>
      </w:r>
      <w:r>
        <w:rPr>
          <w:rStyle w:val="19"/>
          <w:rFonts w:hint="eastAsia" w:ascii="仿宋_GB2312" w:eastAsia="仿宋_GB2312"/>
          <w:b w:val="0"/>
          <w:color w:val="000000"/>
          <w:sz w:val="32"/>
          <w:szCs w:val="32"/>
        </w:rPr>
        <w:t>万元，完成预算100%，决算数与预算数持平。</w:t>
      </w:r>
    </w:p>
    <w:p w14:paraId="33A75D43">
      <w:pPr>
        <w:pageBreakBefore w:val="0"/>
        <w:numPr>
          <w:ilvl w:val="0"/>
          <w:numId w:val="2"/>
        </w:numPr>
        <w:kinsoku/>
        <w:wordWrap/>
        <w:overflowPunct/>
        <w:topLinePunct w:val="0"/>
        <w:bidi w:val="0"/>
        <w:spacing w:line="576" w:lineRule="exact"/>
        <w:ind w:firstLine="643" w:firstLineChars="200"/>
        <w:rPr>
          <w:rFonts w:ascii="仿宋" w:hAnsi="仿宋" w:eastAsia="仿宋"/>
          <w:b/>
          <w:color w:val="000000"/>
          <w:sz w:val="32"/>
          <w:szCs w:val="32"/>
        </w:rPr>
      </w:pPr>
      <w:r>
        <w:rPr>
          <w:rStyle w:val="19"/>
          <w:rFonts w:hint="eastAsia" w:ascii="仿宋_GB2312" w:eastAsia="仿宋_GB2312"/>
          <w:color w:val="000000"/>
          <w:sz w:val="32"/>
          <w:szCs w:val="32"/>
        </w:rPr>
        <w:t>4.住房保障支出（221）-住房改革支出（22102）-住房公积金（2210201）:</w:t>
      </w:r>
      <w:r>
        <w:rPr>
          <w:rStyle w:val="19"/>
          <w:rFonts w:hint="eastAsia" w:ascii="仿宋_GB2312" w:eastAsia="仿宋_GB2312"/>
          <w:b w:val="0"/>
          <w:color w:val="000000"/>
          <w:sz w:val="32"/>
          <w:szCs w:val="32"/>
        </w:rPr>
        <w:t>支出决算为</w:t>
      </w:r>
      <w:r>
        <w:rPr>
          <w:rFonts w:hint="eastAsia" w:ascii="仿宋" w:hAnsi="仿宋" w:eastAsia="仿宋"/>
          <w:color w:val="000000"/>
          <w:sz w:val="32"/>
          <w:szCs w:val="32"/>
          <w:lang w:val="en-US" w:eastAsia="zh-CN"/>
        </w:rPr>
        <w:t>26.56</w:t>
      </w:r>
      <w:r>
        <w:rPr>
          <w:rStyle w:val="19"/>
          <w:rFonts w:hint="eastAsia" w:ascii="仿宋_GB2312" w:eastAsia="仿宋_GB2312"/>
          <w:b w:val="0"/>
          <w:color w:val="000000"/>
          <w:sz w:val="32"/>
          <w:szCs w:val="32"/>
        </w:rPr>
        <w:t>万元，完成预算</w:t>
      </w:r>
      <w:r>
        <w:rPr>
          <w:rStyle w:val="19"/>
          <w:rFonts w:hint="eastAsia" w:ascii="仿宋_GB2312" w:eastAsia="仿宋_GB2312"/>
          <w:b w:val="0"/>
          <w:color w:val="000000"/>
          <w:sz w:val="32"/>
          <w:szCs w:val="32"/>
          <w:lang w:val="en-US" w:eastAsia="zh-CN"/>
        </w:rPr>
        <w:t>100</w:t>
      </w:r>
      <w:r>
        <w:rPr>
          <w:rStyle w:val="19"/>
          <w:rFonts w:hint="eastAsia" w:ascii="仿宋_GB2312" w:eastAsia="仿宋_GB2312"/>
          <w:b w:val="0"/>
          <w:color w:val="000000"/>
          <w:sz w:val="32"/>
          <w:szCs w:val="32"/>
        </w:rPr>
        <w:t>%，决算数与预算数持平。</w:t>
      </w:r>
    </w:p>
    <w:p w14:paraId="0D605A4D">
      <w:pPr>
        <w:pageBreakBefore w:val="0"/>
        <w:tabs>
          <w:tab w:val="right" w:pos="8306"/>
        </w:tabs>
        <w:kinsoku/>
        <w:wordWrap/>
        <w:overflowPunct/>
        <w:topLinePunct w:val="0"/>
        <w:bidi w:val="0"/>
        <w:spacing w:line="576" w:lineRule="exact"/>
        <w:ind w:firstLine="640"/>
        <w:outlineLvl w:val="1"/>
        <w:rPr>
          <w:rStyle w:val="30"/>
        </w:rPr>
      </w:pPr>
      <w:bookmarkStart w:id="38" w:name="_Toc15396608"/>
      <w:bookmarkStart w:id="39" w:name="_Toc15377214"/>
      <w:r>
        <w:rPr>
          <w:rFonts w:hint="eastAsia" w:ascii="黑体" w:eastAsia="黑体"/>
          <w:color w:val="000000"/>
          <w:sz w:val="32"/>
          <w:szCs w:val="32"/>
        </w:rPr>
        <w:t>六</w:t>
      </w:r>
      <w:r>
        <w:rPr>
          <w:rFonts w:hint="eastAsia" w:ascii="黑体" w:eastAsia="黑体"/>
          <w:b/>
          <w:color w:val="000000"/>
          <w:sz w:val="32"/>
          <w:szCs w:val="32"/>
        </w:rPr>
        <w:t>、</w:t>
      </w:r>
      <w:r>
        <w:rPr>
          <w:rFonts w:hint="eastAsia" w:ascii="黑体" w:hAnsi="黑体" w:eastAsia="黑体"/>
          <w:b/>
          <w:color w:val="000000"/>
          <w:sz w:val="32"/>
          <w:szCs w:val="32"/>
        </w:rPr>
        <w:t>一</w:t>
      </w:r>
      <w:r>
        <w:rPr>
          <w:rStyle w:val="30"/>
          <w:rFonts w:hint="eastAsia" w:ascii="黑体" w:hAnsi="黑体" w:eastAsia="黑体"/>
          <w:b w:val="0"/>
        </w:rPr>
        <w:t>般公共预算财政拨款基本支出决算情况说明</w:t>
      </w:r>
      <w:bookmarkEnd w:id="38"/>
      <w:bookmarkEnd w:id="39"/>
      <w:r>
        <w:rPr>
          <w:rStyle w:val="30"/>
          <w:rFonts w:ascii="黑体" w:hAnsi="黑体" w:eastAsia="黑体"/>
          <w:b w:val="0"/>
        </w:rPr>
        <w:tab/>
      </w:r>
    </w:p>
    <w:p w14:paraId="320B5422">
      <w:pPr>
        <w:pageBreakBefore w:val="0"/>
        <w:kinsoku/>
        <w:wordWrap/>
        <w:overflowPunct/>
        <w:topLinePunct w:val="0"/>
        <w:bidi w:val="0"/>
        <w:spacing w:line="576" w:lineRule="exact"/>
        <w:ind w:firstLine="645"/>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2025</w:t>
      </w:r>
      <w:r>
        <w:rPr>
          <w:rFonts w:hint="eastAsia" w:ascii="仿宋_GB2312" w:hAnsi="仿宋_GB2312" w:eastAsia="仿宋_GB2312" w:cs="仿宋_GB2312"/>
          <w:color w:val="000000"/>
          <w:sz w:val="32"/>
          <w:szCs w:val="32"/>
        </w:rPr>
        <w:t>年一般公共预算财政拨款基本支出</w:t>
      </w:r>
      <w:r>
        <w:rPr>
          <w:rFonts w:hint="eastAsia" w:ascii="仿宋" w:hAnsi="仿宋" w:eastAsia="仿宋"/>
          <w:color w:val="000000"/>
          <w:sz w:val="32"/>
          <w:szCs w:val="32"/>
          <w:lang w:val="en-US" w:eastAsia="zh-CN"/>
        </w:rPr>
        <w:t>467.07</w:t>
      </w:r>
      <w:r>
        <w:rPr>
          <w:rFonts w:hint="eastAsia" w:ascii="仿宋_GB2312" w:hAnsi="仿宋_GB2312" w:eastAsia="仿宋_GB2312" w:cs="仿宋_GB2312"/>
          <w:color w:val="000000"/>
          <w:sz w:val="32"/>
          <w:szCs w:val="32"/>
        </w:rPr>
        <w:t>万元，其中：</w:t>
      </w:r>
    </w:p>
    <w:p w14:paraId="0201F47B">
      <w:pPr>
        <w:pageBreakBefore w:val="0"/>
        <w:kinsoku/>
        <w:wordWrap/>
        <w:overflowPunct/>
        <w:topLinePunct w:val="0"/>
        <w:bidi w:val="0"/>
        <w:spacing w:line="576"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人员经费</w:t>
      </w:r>
      <w:r>
        <w:rPr>
          <w:rFonts w:hint="eastAsia" w:ascii="仿宋_GB2312" w:hAnsi="仿宋_GB2312" w:eastAsia="仿宋_GB2312" w:cs="仿宋_GB2312"/>
          <w:color w:val="000000"/>
          <w:sz w:val="32"/>
          <w:szCs w:val="32"/>
          <w:lang w:val="en-US" w:eastAsia="zh-CN"/>
        </w:rPr>
        <w:t>376.68</w:t>
      </w:r>
      <w:r>
        <w:rPr>
          <w:rFonts w:hint="eastAsia" w:ascii="仿宋_GB2312" w:hAnsi="仿宋_GB2312" w:eastAsia="仿宋_GB2312" w:cs="仿宋_GB2312"/>
          <w:color w:val="000000"/>
          <w:sz w:val="32"/>
          <w:szCs w:val="32"/>
        </w:rPr>
        <w:t>万元，主要包括：基本工资、津贴补贴、奖金、机关事业单位基本养老保险缴费、职业年金缴费、</w:t>
      </w:r>
      <w:r>
        <w:rPr>
          <w:rFonts w:hint="eastAsia" w:ascii="仿宋" w:hAnsi="仿宋" w:eastAsia="仿宋"/>
          <w:color w:val="000000"/>
          <w:sz w:val="32"/>
          <w:szCs w:val="32"/>
        </w:rPr>
        <w:t>职工基本医疗保险缴费</w:t>
      </w:r>
      <w:r>
        <w:rPr>
          <w:rFonts w:hint="eastAsia" w:ascii="仿宋" w:hAnsi="仿宋" w:eastAsia="仿宋"/>
          <w:color w:val="000000"/>
          <w:sz w:val="32"/>
          <w:szCs w:val="32"/>
          <w:lang w:eastAsia="zh-CN"/>
        </w:rPr>
        <w:t>、公务员医疗补助缴费、</w:t>
      </w:r>
      <w:r>
        <w:rPr>
          <w:rFonts w:hint="eastAsia" w:ascii="仿宋_GB2312" w:hAnsi="仿宋_GB2312" w:eastAsia="仿宋_GB2312" w:cs="仿宋_GB2312"/>
          <w:color w:val="000000"/>
          <w:sz w:val="32"/>
          <w:szCs w:val="32"/>
        </w:rPr>
        <w:t>其他社会保障缴费、其他工资福利支出、退休费、生活补助、奖励金、住房公积金出等。</w:t>
      </w:r>
    </w:p>
    <w:p w14:paraId="455A58CD">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日常公用经费</w:t>
      </w:r>
      <w:r>
        <w:rPr>
          <w:rFonts w:hint="eastAsia" w:ascii="仿宋_GB2312" w:hAnsi="仿宋_GB2312" w:eastAsia="仿宋_GB2312" w:cs="仿宋_GB2312"/>
          <w:color w:val="000000"/>
          <w:sz w:val="32"/>
          <w:szCs w:val="32"/>
          <w:lang w:val="en-US" w:eastAsia="zh-CN"/>
        </w:rPr>
        <w:t>19.89</w:t>
      </w:r>
      <w:r>
        <w:rPr>
          <w:rFonts w:hint="eastAsia" w:ascii="仿宋_GB2312" w:hAnsi="仿宋_GB2312" w:eastAsia="仿宋_GB2312" w:cs="仿宋_GB2312"/>
          <w:color w:val="000000" w:themeColor="text1"/>
          <w:sz w:val="32"/>
          <w:szCs w:val="32"/>
          <w14:textFill>
            <w14:solidFill>
              <w14:schemeClr w14:val="tx1"/>
            </w14:solidFill>
          </w14:textFill>
        </w:rPr>
        <w:t>万</w:t>
      </w:r>
      <w:r>
        <w:rPr>
          <w:rFonts w:hint="eastAsia" w:ascii="仿宋_GB2312" w:hAnsi="仿宋_GB2312" w:eastAsia="仿宋_GB2312" w:cs="仿宋_GB2312"/>
          <w:color w:val="000000"/>
          <w:sz w:val="32"/>
          <w:szCs w:val="32"/>
        </w:rPr>
        <w:t>元，主要包括：办公费、印刷费、水费、电费、邮电费、差旅费、维修（护）费、租赁费、会议费</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公务用车运行维护费、其他交通费、其他商品和服务支出、息网络及软件购置更新等。</w:t>
      </w:r>
      <w:bookmarkStart w:id="40" w:name="_Toc15396609"/>
      <w:bookmarkStart w:id="41" w:name="_Toc15377215"/>
    </w:p>
    <w:p w14:paraId="01D587C5">
      <w:pPr>
        <w:pageBreakBefore w:val="0"/>
        <w:kinsoku/>
        <w:wordWrap/>
        <w:overflowPunct/>
        <w:topLinePunct w:val="0"/>
        <w:bidi w:val="0"/>
        <w:spacing w:line="576" w:lineRule="exact"/>
        <w:ind w:firstLine="640"/>
        <w:outlineLvl w:val="1"/>
        <w:rPr>
          <w:rStyle w:val="30"/>
          <w:rFonts w:ascii="黑体" w:hAnsi="黑体" w:eastAsia="黑体"/>
          <w:b w:val="0"/>
        </w:rPr>
      </w:pPr>
      <w:r>
        <w:rPr>
          <w:rFonts w:hint="eastAsia" w:ascii="黑体" w:eastAsia="黑体"/>
          <w:color w:val="000000"/>
          <w:sz w:val="32"/>
          <w:szCs w:val="32"/>
        </w:rPr>
        <w:t>七、</w:t>
      </w:r>
      <w:r>
        <w:rPr>
          <w:rStyle w:val="30"/>
          <w:rFonts w:hint="eastAsia" w:ascii="黑体" w:hAnsi="黑体" w:eastAsia="黑体"/>
        </w:rPr>
        <w:t>“</w:t>
      </w:r>
      <w:r>
        <w:rPr>
          <w:rStyle w:val="30"/>
          <w:rFonts w:hint="eastAsia" w:ascii="黑体" w:hAnsi="黑体" w:eastAsia="黑体"/>
          <w:b w:val="0"/>
        </w:rPr>
        <w:t>三公”经费财政拨款支出决算情况说明</w:t>
      </w:r>
      <w:bookmarkEnd w:id="40"/>
      <w:bookmarkEnd w:id="41"/>
    </w:p>
    <w:p w14:paraId="35A52B91">
      <w:pPr>
        <w:pageBreakBefore w:val="0"/>
        <w:kinsoku/>
        <w:wordWrap/>
        <w:overflowPunct/>
        <w:topLinePunct w:val="0"/>
        <w:bidi w:val="0"/>
        <w:spacing w:line="576" w:lineRule="exact"/>
        <w:ind w:firstLine="640"/>
        <w:outlineLvl w:val="2"/>
        <w:rPr>
          <w:rFonts w:ascii="仿宋" w:hAnsi="仿宋" w:eastAsia="仿宋"/>
          <w:b/>
          <w:color w:val="000000"/>
          <w:sz w:val="32"/>
          <w:szCs w:val="32"/>
        </w:rPr>
      </w:pPr>
      <w:bookmarkStart w:id="42" w:name="_Toc15377216"/>
      <w:r>
        <w:rPr>
          <w:rFonts w:hint="eastAsia" w:ascii="仿宋" w:hAnsi="仿宋" w:eastAsia="仿宋"/>
          <w:b/>
          <w:color w:val="000000"/>
          <w:sz w:val="32"/>
          <w:szCs w:val="32"/>
        </w:rPr>
        <w:t>（一）“三公”经费财政拨款支出决算总体情况说明</w:t>
      </w:r>
      <w:bookmarkEnd w:id="42"/>
    </w:p>
    <w:p w14:paraId="0789B232">
      <w:pPr>
        <w:pageBreakBefore w:val="0"/>
        <w:kinsoku/>
        <w:wordWrap/>
        <w:overflowPunct/>
        <w:topLinePunct w:val="0"/>
        <w:bidi w:val="0"/>
        <w:spacing w:line="576"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2025</w:t>
      </w:r>
      <w:r>
        <w:rPr>
          <w:rFonts w:hint="eastAsia" w:ascii="仿宋_GB2312" w:hAnsi="仿宋_GB2312" w:eastAsia="仿宋_GB2312" w:cs="仿宋_GB2312"/>
          <w:color w:val="000000"/>
          <w:sz w:val="32"/>
          <w:szCs w:val="32"/>
        </w:rPr>
        <w:t>年“三公”经费财政拨款支出决算为</w:t>
      </w:r>
      <w:r>
        <w:rPr>
          <w:rFonts w:hint="eastAsia" w:ascii="仿宋_GB2312" w:hAnsi="仿宋_GB2312" w:eastAsia="仿宋_GB2312" w:cs="仿宋_GB2312"/>
          <w:color w:val="000000"/>
          <w:sz w:val="32"/>
          <w:szCs w:val="32"/>
          <w:lang w:val="en-US" w:eastAsia="zh-CN"/>
        </w:rPr>
        <w:t>2.48</w:t>
      </w:r>
      <w:r>
        <w:rPr>
          <w:rFonts w:hint="eastAsia" w:ascii="仿宋_GB2312" w:hAnsi="仿宋_GB2312" w:eastAsia="仿宋_GB2312" w:cs="仿宋_GB2312"/>
          <w:color w:val="000000"/>
          <w:sz w:val="32"/>
          <w:szCs w:val="32"/>
        </w:rPr>
        <w:t>万元，完成预算</w:t>
      </w:r>
      <w:r>
        <w:rPr>
          <w:rFonts w:hint="eastAsia" w:ascii="仿宋_GB2312" w:hAnsi="仿宋_GB2312" w:eastAsia="仿宋_GB2312" w:cs="仿宋_GB2312"/>
          <w:color w:val="000000"/>
          <w:sz w:val="32"/>
          <w:szCs w:val="32"/>
          <w:lang w:val="en-US" w:eastAsia="zh-CN"/>
        </w:rPr>
        <w:t>100</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较上年降低35.25%，原因是：去年有第五次经济普查项目，公务用车较为频繁，所以支出较高。</w:t>
      </w:r>
      <w:r>
        <w:rPr>
          <w:rFonts w:hint="eastAsia" w:ascii="仿宋_GB2312" w:hAnsi="仿宋_GB2312" w:eastAsia="仿宋_GB2312" w:cs="仿宋_GB2312"/>
          <w:color w:val="000000"/>
          <w:sz w:val="32"/>
          <w:szCs w:val="32"/>
        </w:rPr>
        <w:t>决算数与预算数</w:t>
      </w:r>
      <w:r>
        <w:rPr>
          <w:rFonts w:hint="eastAsia" w:ascii="仿宋_GB2312" w:hAnsi="仿宋_GB2312" w:eastAsia="仿宋_GB2312" w:cs="仿宋_GB2312"/>
          <w:color w:val="000000"/>
          <w:sz w:val="32"/>
          <w:szCs w:val="32"/>
          <w:lang w:val="en-US" w:eastAsia="zh-CN"/>
        </w:rPr>
        <w:t>基本</w:t>
      </w:r>
      <w:r>
        <w:rPr>
          <w:rFonts w:hint="eastAsia" w:ascii="仿宋_GB2312" w:hAnsi="仿宋_GB2312" w:eastAsia="仿宋_GB2312" w:cs="仿宋_GB2312"/>
          <w:color w:val="000000"/>
          <w:sz w:val="32"/>
          <w:szCs w:val="32"/>
        </w:rPr>
        <w:t>持平。</w:t>
      </w:r>
    </w:p>
    <w:p w14:paraId="30AEE67E">
      <w:pPr>
        <w:pageBreakBefore w:val="0"/>
        <w:kinsoku/>
        <w:wordWrap/>
        <w:overflowPunct/>
        <w:topLinePunct w:val="0"/>
        <w:bidi w:val="0"/>
        <w:spacing w:line="576" w:lineRule="exact"/>
        <w:ind w:firstLine="640"/>
        <w:outlineLvl w:val="2"/>
        <w:rPr>
          <w:rFonts w:ascii="仿宋" w:hAnsi="仿宋" w:eastAsia="仿宋"/>
          <w:b/>
          <w:color w:val="000000"/>
          <w:sz w:val="32"/>
          <w:szCs w:val="32"/>
        </w:rPr>
      </w:pPr>
      <w:bookmarkStart w:id="43" w:name="_Toc15377217"/>
      <w:r>
        <w:rPr>
          <w:rFonts w:hint="eastAsia" w:ascii="仿宋" w:hAnsi="仿宋" w:eastAsia="仿宋"/>
          <w:b/>
          <w:color w:val="000000"/>
          <w:sz w:val="32"/>
          <w:szCs w:val="32"/>
        </w:rPr>
        <w:t>（二）“三公”经费财政拨款支出决算具体情况说明</w:t>
      </w:r>
      <w:bookmarkEnd w:id="43"/>
    </w:p>
    <w:p w14:paraId="6BC695B2">
      <w:pPr>
        <w:pageBreakBefore w:val="0"/>
        <w:kinsoku/>
        <w:wordWrap/>
        <w:overflowPunct/>
        <w:topLinePunct w:val="0"/>
        <w:bidi w:val="0"/>
        <w:spacing w:line="576" w:lineRule="exact"/>
        <w:ind w:firstLine="640"/>
        <w:rPr>
          <w:rFonts w:ascii="仿宋" w:hAnsi="仿宋" w:eastAsia="仿宋"/>
          <w:color w:val="000000"/>
          <w:sz w:val="32"/>
          <w:szCs w:val="32"/>
        </w:rPr>
      </w:pPr>
      <w:r>
        <w:rPr>
          <w:rFonts w:hint="eastAsia" w:ascii="仿宋" w:hAnsi="仿宋" w:eastAsia="仿宋"/>
          <w:color w:val="000000"/>
          <w:sz w:val="32"/>
          <w:szCs w:val="32"/>
          <w:lang w:eastAsia="zh-CN"/>
        </w:rPr>
        <w:t>2025</w:t>
      </w:r>
      <w:r>
        <w:rPr>
          <w:rFonts w:hint="eastAsia" w:ascii="仿宋" w:hAnsi="仿宋" w:eastAsia="仿宋"/>
          <w:color w:val="000000"/>
          <w:sz w:val="32"/>
          <w:szCs w:val="32"/>
        </w:rPr>
        <w:t>年“三公”经费财政拨款支出决算中，无因公出国（境）费；公务用车购置及运行维护费</w:t>
      </w:r>
      <w:r>
        <w:rPr>
          <w:rFonts w:hint="eastAsia" w:ascii="仿宋_GB2312" w:hAnsi="仿宋_GB2312" w:eastAsia="仿宋_GB2312" w:cs="仿宋_GB2312"/>
          <w:color w:val="000000"/>
          <w:sz w:val="32"/>
          <w:szCs w:val="32"/>
          <w:lang w:val="en-US" w:eastAsia="zh-CN"/>
        </w:rPr>
        <w:t>2.48</w:t>
      </w:r>
      <w:r>
        <w:rPr>
          <w:rFonts w:hint="eastAsia" w:ascii="仿宋" w:hAnsi="仿宋" w:eastAsia="仿宋"/>
          <w:color w:val="000000"/>
          <w:sz w:val="32"/>
          <w:szCs w:val="32"/>
          <w:lang w:val="en-US" w:eastAsia="zh-CN"/>
        </w:rPr>
        <w:t>万元，占100%</w:t>
      </w:r>
      <w:r>
        <w:rPr>
          <w:rFonts w:hint="eastAsia" w:ascii="仿宋" w:hAnsi="仿宋" w:eastAsia="仿宋"/>
          <w:color w:val="000000"/>
          <w:sz w:val="32"/>
          <w:szCs w:val="32"/>
        </w:rPr>
        <w:t>；无公务接待费。</w:t>
      </w:r>
    </w:p>
    <w:p w14:paraId="665F3B75">
      <w:pPr>
        <w:pageBreakBefore w:val="0"/>
        <w:numPr>
          <w:ilvl w:val="0"/>
          <w:numId w:val="3"/>
        </w:numPr>
        <w:kinsoku/>
        <w:wordWrap/>
        <w:overflowPunct/>
        <w:topLinePunct w:val="0"/>
        <w:bidi w:val="0"/>
        <w:spacing w:line="576" w:lineRule="exact"/>
        <w:ind w:firstLine="640"/>
        <w:rPr>
          <w:rFonts w:ascii="仿宋" w:hAnsi="仿宋" w:eastAsia="仿宋"/>
          <w:color w:val="000000"/>
          <w:sz w:val="32"/>
          <w:szCs w:val="32"/>
        </w:rPr>
      </w:pPr>
      <w:r>
        <w:rPr>
          <w:rFonts w:hint="eastAsia" w:ascii="仿宋_GB2312" w:eastAsia="仿宋_GB2312"/>
          <w:b/>
          <w:color w:val="000000"/>
          <w:sz w:val="32"/>
          <w:szCs w:val="32"/>
        </w:rPr>
        <w:t>因公出国（境）经费支出</w:t>
      </w:r>
      <w:r>
        <w:rPr>
          <w:rFonts w:hint="eastAsia" w:ascii="仿宋_GB2312" w:eastAsia="仿宋_GB2312"/>
          <w:color w:val="000000"/>
          <w:sz w:val="32"/>
          <w:szCs w:val="32"/>
        </w:rPr>
        <w:t>0万元，</w:t>
      </w:r>
      <w:r>
        <w:rPr>
          <w:rStyle w:val="19"/>
          <w:rFonts w:hint="eastAsia" w:ascii="仿宋" w:hAnsi="仿宋" w:eastAsia="仿宋"/>
          <w:b w:val="0"/>
          <w:bCs/>
          <w:color w:val="000000"/>
          <w:sz w:val="32"/>
          <w:szCs w:val="32"/>
        </w:rPr>
        <w:t>完成预算100</w:t>
      </w:r>
      <w:r>
        <w:rPr>
          <w:rStyle w:val="19"/>
          <w:rFonts w:ascii="仿宋" w:hAnsi="仿宋" w:eastAsia="仿宋"/>
          <w:b w:val="0"/>
          <w:bCs/>
          <w:color w:val="000000"/>
          <w:sz w:val="32"/>
          <w:szCs w:val="32"/>
        </w:rPr>
        <w:t>%</w:t>
      </w:r>
      <w:r>
        <w:rPr>
          <w:rStyle w:val="19"/>
          <w:rFonts w:hint="eastAsia" w:ascii="仿宋" w:hAnsi="仿宋" w:eastAsia="仿宋"/>
          <w:b w:val="0"/>
          <w:bCs/>
          <w:color w:val="000000"/>
          <w:sz w:val="32"/>
          <w:szCs w:val="32"/>
        </w:rPr>
        <w:t>。</w:t>
      </w:r>
      <w:r>
        <w:rPr>
          <w:rFonts w:hint="eastAsia" w:ascii="仿宋_GB2312" w:eastAsia="仿宋_GB2312"/>
          <w:color w:val="000000"/>
          <w:sz w:val="32"/>
          <w:szCs w:val="32"/>
        </w:rPr>
        <w:t>全年安排因公出国（境）团组0次，出国（境）0人。因公出国（境）支出决算比</w:t>
      </w:r>
      <w:r>
        <w:rPr>
          <w:rFonts w:hint="eastAsia" w:ascii="仿宋_GB2312" w:eastAsia="仿宋_GB2312"/>
          <w:color w:val="000000"/>
          <w:sz w:val="32"/>
          <w:szCs w:val="32"/>
          <w:lang w:eastAsia="zh-CN"/>
        </w:rPr>
        <w:t>2024</w:t>
      </w:r>
      <w:r>
        <w:rPr>
          <w:rFonts w:hint="eastAsia" w:ascii="仿宋_GB2312" w:eastAsia="仿宋_GB2312"/>
          <w:color w:val="000000"/>
          <w:sz w:val="32"/>
          <w:szCs w:val="32"/>
        </w:rPr>
        <w:t>年增加</w:t>
      </w:r>
      <w:r>
        <w:rPr>
          <w:rFonts w:ascii="仿宋_GB2312" w:eastAsia="仿宋_GB2312"/>
          <w:color w:val="000000"/>
          <w:sz w:val="32"/>
          <w:szCs w:val="32"/>
        </w:rPr>
        <w:t>/</w:t>
      </w:r>
      <w:r>
        <w:rPr>
          <w:rFonts w:hint="eastAsia" w:ascii="仿宋_GB2312" w:eastAsia="仿宋_GB2312"/>
          <w:color w:val="000000"/>
          <w:sz w:val="32"/>
          <w:szCs w:val="32"/>
        </w:rPr>
        <w:t>减少0万元，增长</w:t>
      </w:r>
      <w:r>
        <w:rPr>
          <w:rFonts w:ascii="仿宋_GB2312" w:eastAsia="仿宋_GB2312"/>
          <w:color w:val="000000"/>
          <w:sz w:val="32"/>
          <w:szCs w:val="32"/>
        </w:rPr>
        <w:t>/</w:t>
      </w:r>
      <w:r>
        <w:rPr>
          <w:rFonts w:hint="eastAsia" w:ascii="仿宋_GB2312" w:eastAsia="仿宋_GB2312"/>
          <w:color w:val="000000"/>
          <w:sz w:val="32"/>
          <w:szCs w:val="32"/>
        </w:rPr>
        <w:t>下降0</w:t>
      </w:r>
      <w:r>
        <w:rPr>
          <w:rFonts w:ascii="仿宋_GB2312" w:eastAsia="仿宋_GB2312"/>
          <w:color w:val="000000"/>
          <w:sz w:val="32"/>
          <w:szCs w:val="32"/>
        </w:rPr>
        <w:t>%</w:t>
      </w:r>
      <w:r>
        <w:rPr>
          <w:rFonts w:hint="eastAsia" w:ascii="仿宋_GB2312" w:eastAsia="仿宋_GB2312"/>
          <w:color w:val="000000"/>
          <w:sz w:val="32"/>
          <w:szCs w:val="32"/>
        </w:rPr>
        <w:t>。主要原因是我单位无</w:t>
      </w:r>
      <w:r>
        <w:rPr>
          <w:rFonts w:hint="eastAsia" w:ascii="仿宋" w:hAnsi="仿宋" w:eastAsia="仿宋"/>
          <w:color w:val="000000"/>
          <w:sz w:val="32"/>
          <w:szCs w:val="32"/>
        </w:rPr>
        <w:t>因公出国（境）费。</w:t>
      </w:r>
    </w:p>
    <w:p w14:paraId="5CE03898">
      <w:pPr>
        <w:pageBreakBefore w:val="0"/>
        <w:numPr>
          <w:ilvl w:val="0"/>
          <w:numId w:val="3"/>
        </w:numPr>
        <w:kinsoku/>
        <w:wordWrap/>
        <w:overflowPunct/>
        <w:topLinePunct w:val="0"/>
        <w:bidi w:val="0"/>
        <w:spacing w:line="576" w:lineRule="exact"/>
        <w:ind w:firstLine="640"/>
        <w:rPr>
          <w:rFonts w:ascii="仿宋_GB2312" w:eastAsia="仿宋_GB2312"/>
          <w:b/>
          <w:color w:val="000000"/>
          <w:sz w:val="32"/>
          <w:szCs w:val="32"/>
        </w:rPr>
      </w:pPr>
      <w:r>
        <w:rPr>
          <w:rFonts w:hint="eastAsia" w:ascii="仿宋_GB2312" w:eastAsia="仿宋_GB2312"/>
          <w:b/>
          <w:color w:val="000000"/>
          <w:sz w:val="32"/>
          <w:szCs w:val="32"/>
        </w:rPr>
        <w:t>公务用车购置及运行维护费支出</w:t>
      </w:r>
      <w:r>
        <w:rPr>
          <w:rFonts w:hint="eastAsia" w:ascii="仿宋_GB2312" w:hAnsi="仿宋_GB2312" w:eastAsia="仿宋_GB2312" w:cs="仿宋_GB2312"/>
          <w:b/>
          <w:bCs/>
          <w:color w:val="000000"/>
          <w:sz w:val="32"/>
          <w:szCs w:val="32"/>
          <w:lang w:val="en-US" w:eastAsia="zh-CN"/>
        </w:rPr>
        <w:t>2.48</w:t>
      </w:r>
      <w:r>
        <w:rPr>
          <w:rFonts w:hint="eastAsia" w:ascii="仿宋_GB2312" w:eastAsia="仿宋_GB2312"/>
          <w:color w:val="000000"/>
          <w:sz w:val="32"/>
          <w:szCs w:val="32"/>
        </w:rPr>
        <w:t>万元,</w:t>
      </w:r>
      <w:r>
        <w:rPr>
          <w:rStyle w:val="19"/>
          <w:rFonts w:hint="eastAsia" w:ascii="仿宋" w:hAnsi="仿宋" w:eastAsia="仿宋"/>
          <w:b w:val="0"/>
          <w:bCs/>
          <w:color w:val="000000"/>
          <w:sz w:val="32"/>
          <w:szCs w:val="32"/>
        </w:rPr>
        <w:t>完成预算</w:t>
      </w:r>
      <w:r>
        <w:rPr>
          <w:rStyle w:val="19"/>
          <w:rFonts w:hint="eastAsia" w:ascii="仿宋" w:hAnsi="仿宋" w:eastAsia="仿宋"/>
          <w:b w:val="0"/>
          <w:bCs/>
          <w:color w:val="000000"/>
          <w:sz w:val="32"/>
          <w:szCs w:val="32"/>
          <w:lang w:val="en-US" w:eastAsia="zh-CN"/>
        </w:rPr>
        <w:t>100</w:t>
      </w:r>
      <w:r>
        <w:rPr>
          <w:rStyle w:val="19"/>
          <w:rFonts w:ascii="仿宋" w:hAnsi="仿宋" w:eastAsia="仿宋"/>
          <w:b w:val="0"/>
          <w:bCs/>
          <w:color w:val="000000"/>
          <w:sz w:val="32"/>
          <w:szCs w:val="32"/>
        </w:rPr>
        <w:t>%</w:t>
      </w:r>
      <w:r>
        <w:rPr>
          <w:rStyle w:val="19"/>
          <w:rFonts w:hint="eastAsia" w:ascii="仿宋" w:hAnsi="仿宋" w:eastAsia="仿宋"/>
          <w:b w:val="0"/>
          <w:bCs/>
          <w:color w:val="000000"/>
          <w:sz w:val="32"/>
          <w:szCs w:val="32"/>
        </w:rPr>
        <w:t>。</w:t>
      </w:r>
      <w:r>
        <w:rPr>
          <w:rFonts w:hint="eastAsia" w:ascii="仿宋_GB2312" w:eastAsia="仿宋_GB2312"/>
          <w:color w:val="000000"/>
          <w:sz w:val="32"/>
          <w:szCs w:val="32"/>
        </w:rPr>
        <w:t>公务用车购置及运行维护费支出决算比</w:t>
      </w:r>
      <w:r>
        <w:rPr>
          <w:rFonts w:hint="eastAsia" w:ascii="仿宋_GB2312" w:eastAsia="仿宋_GB2312"/>
          <w:color w:val="000000"/>
          <w:sz w:val="32"/>
          <w:szCs w:val="32"/>
          <w:lang w:eastAsia="zh-CN"/>
        </w:rPr>
        <w:t>2024</w:t>
      </w:r>
      <w:r>
        <w:rPr>
          <w:rFonts w:hint="eastAsia" w:ascii="仿宋_GB2312" w:eastAsia="仿宋_GB2312"/>
          <w:color w:val="000000"/>
          <w:sz w:val="32"/>
          <w:szCs w:val="32"/>
        </w:rPr>
        <w:t>年</w:t>
      </w:r>
      <w:r>
        <w:rPr>
          <w:rFonts w:hint="eastAsia" w:ascii="仿宋_GB2312" w:hAnsi="仿宋_GB2312" w:eastAsia="仿宋_GB2312" w:cs="仿宋_GB2312"/>
          <w:color w:val="000000"/>
          <w:sz w:val="32"/>
          <w:szCs w:val="32"/>
          <w:lang w:val="en-US" w:eastAsia="zh-CN"/>
        </w:rPr>
        <w:t>较降低35.25%，原因是：去年有第五次经济普查项目，公务用车较为频繁，所以支出较高。</w:t>
      </w:r>
      <w:r>
        <w:rPr>
          <w:rFonts w:hint="eastAsia" w:ascii="仿宋_GB2312" w:hAnsi="仿宋_GB2312" w:eastAsia="仿宋_GB2312" w:cs="仿宋_GB2312"/>
          <w:color w:val="000000"/>
          <w:sz w:val="32"/>
          <w:szCs w:val="32"/>
        </w:rPr>
        <w:t>决算数与预算数</w:t>
      </w:r>
      <w:r>
        <w:rPr>
          <w:rFonts w:hint="eastAsia" w:ascii="仿宋_GB2312" w:hAnsi="仿宋_GB2312" w:eastAsia="仿宋_GB2312" w:cs="仿宋_GB2312"/>
          <w:color w:val="000000"/>
          <w:sz w:val="32"/>
          <w:szCs w:val="32"/>
          <w:lang w:val="en-US" w:eastAsia="zh-CN"/>
        </w:rPr>
        <w:t>基本</w:t>
      </w:r>
      <w:r>
        <w:rPr>
          <w:rFonts w:hint="eastAsia" w:ascii="仿宋_GB2312" w:hAnsi="仿宋_GB2312" w:eastAsia="仿宋_GB2312" w:cs="仿宋_GB2312"/>
          <w:color w:val="000000"/>
          <w:sz w:val="32"/>
          <w:szCs w:val="32"/>
        </w:rPr>
        <w:t>持平。</w:t>
      </w:r>
    </w:p>
    <w:p w14:paraId="0EA666FE">
      <w:pPr>
        <w:pageBreakBefore w:val="0"/>
        <w:kinsoku/>
        <w:wordWrap/>
        <w:overflowPunct/>
        <w:topLinePunct w:val="0"/>
        <w:bidi w:val="0"/>
        <w:spacing w:line="576"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其中：</w:t>
      </w:r>
      <w:r>
        <w:rPr>
          <w:rFonts w:hint="eastAsia" w:ascii="仿宋_GB2312" w:eastAsia="仿宋_GB2312"/>
          <w:b/>
          <w:color w:val="000000"/>
          <w:sz w:val="32"/>
          <w:szCs w:val="32"/>
        </w:rPr>
        <w:t>公务用车购置支出</w:t>
      </w:r>
      <w:r>
        <w:rPr>
          <w:rFonts w:hint="eastAsia" w:ascii="仿宋_GB2312" w:eastAsia="仿宋_GB2312"/>
          <w:b/>
          <w:color w:val="000000"/>
          <w:sz w:val="32"/>
          <w:szCs w:val="32"/>
          <w:lang w:val="en-US" w:eastAsia="zh-CN"/>
        </w:rPr>
        <w:t>0</w:t>
      </w:r>
      <w:r>
        <w:rPr>
          <w:rFonts w:hint="eastAsia" w:ascii="仿宋_GB2312" w:eastAsia="仿宋_GB2312"/>
          <w:color w:val="000000"/>
          <w:sz w:val="32"/>
          <w:szCs w:val="32"/>
        </w:rPr>
        <w:t>万元</w:t>
      </w:r>
      <w:r>
        <w:rPr>
          <w:rFonts w:ascii="仿宋_GB2312" w:eastAsia="仿宋_GB2312"/>
          <w:color w:val="000000"/>
          <w:sz w:val="32"/>
          <w:szCs w:val="32"/>
        </w:rPr>
        <w:t>。</w:t>
      </w:r>
    </w:p>
    <w:p w14:paraId="4F9AE377">
      <w:pPr>
        <w:pageBreakBefore w:val="0"/>
        <w:kinsoku/>
        <w:wordWrap/>
        <w:overflowPunct/>
        <w:topLinePunct w:val="0"/>
        <w:bidi w:val="0"/>
        <w:spacing w:line="576" w:lineRule="exact"/>
        <w:ind w:firstLine="640"/>
        <w:rPr>
          <w:rFonts w:ascii="仿宋_GB2312" w:eastAsia="仿宋_GB2312"/>
          <w:color w:val="000000"/>
          <w:sz w:val="32"/>
          <w:szCs w:val="32"/>
        </w:rPr>
      </w:pPr>
      <w:r>
        <w:rPr>
          <w:rFonts w:hint="eastAsia" w:ascii="仿宋_GB2312" w:eastAsia="仿宋_GB2312"/>
          <w:b/>
          <w:color w:val="000000"/>
          <w:sz w:val="32"/>
          <w:szCs w:val="32"/>
        </w:rPr>
        <w:t>公务用车运行维护费支出</w:t>
      </w:r>
      <w:r>
        <w:rPr>
          <w:rFonts w:hint="eastAsia" w:ascii="仿宋_GB2312" w:eastAsia="仿宋_GB2312"/>
          <w:color w:val="000000"/>
          <w:sz w:val="32"/>
          <w:szCs w:val="32"/>
          <w:lang w:val="en-US" w:eastAsia="zh-CN"/>
        </w:rPr>
        <w:t>3.83</w:t>
      </w:r>
      <w:r>
        <w:rPr>
          <w:rFonts w:hint="eastAsia" w:ascii="仿宋_GB2312" w:eastAsia="仿宋_GB2312"/>
          <w:color w:val="000000"/>
          <w:sz w:val="32"/>
          <w:szCs w:val="32"/>
        </w:rPr>
        <w:t>万元。主要用于所需的公务用车燃料费、维修费、过路过桥费、保险费等支出。</w:t>
      </w:r>
    </w:p>
    <w:p w14:paraId="2315B408">
      <w:pPr>
        <w:pageBreakBefore w:val="0"/>
        <w:kinsoku/>
        <w:wordWrap/>
        <w:overflowPunct/>
        <w:topLinePunct w:val="0"/>
        <w:bidi w:val="0"/>
        <w:spacing w:line="576" w:lineRule="exact"/>
        <w:ind w:firstLine="640"/>
        <w:rPr>
          <w:rStyle w:val="19"/>
          <w:rFonts w:ascii="仿宋" w:hAnsi="仿宋" w:eastAsia="仿宋"/>
          <w:b w:val="0"/>
          <w:bCs/>
          <w:color w:val="000000"/>
          <w:sz w:val="32"/>
          <w:szCs w:val="32"/>
        </w:rPr>
      </w:pPr>
      <w:r>
        <w:rPr>
          <w:rFonts w:ascii="仿宋_GB2312" w:eastAsia="仿宋_GB2312"/>
          <w:b/>
          <w:color w:val="000000"/>
          <w:sz w:val="32"/>
          <w:szCs w:val="32"/>
        </w:rPr>
        <w:t>3.</w:t>
      </w:r>
      <w:r>
        <w:rPr>
          <w:rFonts w:hint="eastAsia" w:ascii="仿宋_GB2312" w:eastAsia="仿宋_GB2312"/>
          <w:b/>
          <w:color w:val="000000"/>
          <w:sz w:val="32"/>
          <w:szCs w:val="32"/>
        </w:rPr>
        <w:t>公务接待费支出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r>
        <w:rPr>
          <w:rStyle w:val="19"/>
          <w:rFonts w:hint="eastAsia" w:ascii="仿宋" w:hAnsi="仿宋" w:eastAsia="仿宋"/>
          <w:b w:val="0"/>
          <w:bCs/>
          <w:color w:val="000000"/>
          <w:sz w:val="32"/>
          <w:szCs w:val="32"/>
        </w:rPr>
        <w:t>。</w:t>
      </w:r>
    </w:p>
    <w:p w14:paraId="52F41F98">
      <w:pPr>
        <w:pageBreakBefore w:val="0"/>
        <w:kinsoku/>
        <w:wordWrap/>
        <w:overflowPunct/>
        <w:topLinePunct w:val="0"/>
        <w:bidi w:val="0"/>
        <w:spacing w:line="576" w:lineRule="exact"/>
        <w:ind w:firstLine="640"/>
        <w:rPr>
          <w:rFonts w:ascii="仿宋_GB2312" w:eastAsia="仿宋_GB2312"/>
          <w:color w:val="000000"/>
          <w:sz w:val="32"/>
          <w:szCs w:val="32"/>
        </w:rPr>
      </w:pPr>
      <w:r>
        <w:rPr>
          <w:rFonts w:hint="eastAsia" w:ascii="仿宋" w:hAnsi="仿宋" w:eastAsia="仿宋"/>
          <w:b/>
          <w:color w:val="000000"/>
          <w:sz w:val="32"/>
          <w:szCs w:val="32"/>
        </w:rPr>
        <w:t>国内公务接待支出</w:t>
      </w:r>
      <w:r>
        <w:rPr>
          <w:rFonts w:hint="eastAsia" w:ascii="仿宋" w:hAnsi="仿宋" w:eastAsia="仿宋"/>
          <w:color w:val="000000"/>
          <w:sz w:val="32"/>
          <w:szCs w:val="32"/>
        </w:rPr>
        <w:t>0</w:t>
      </w:r>
      <w:r>
        <w:rPr>
          <w:rFonts w:hint="eastAsia" w:ascii="仿宋_GB2312" w:eastAsia="仿宋_GB2312"/>
          <w:color w:val="000000"/>
          <w:sz w:val="32"/>
          <w:szCs w:val="32"/>
        </w:rPr>
        <w:t>万元，主要用于(执行公务、开展业务活动开支的交通费、住宿费、用餐费等)。国内公务接待</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批次，</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人次（不包括陪同人员），共计支出0万元。</w:t>
      </w:r>
    </w:p>
    <w:p w14:paraId="73BDA212">
      <w:pPr>
        <w:pageBreakBefore w:val="0"/>
        <w:kinsoku/>
        <w:wordWrap/>
        <w:overflowPunct/>
        <w:topLinePunct w:val="0"/>
        <w:bidi w:val="0"/>
        <w:spacing w:line="576" w:lineRule="exact"/>
        <w:ind w:firstLine="643" w:firstLineChars="200"/>
        <w:rPr>
          <w:rFonts w:ascii="仿宋_GB2312" w:eastAsia="仿宋_GB2312"/>
          <w:color w:val="000000" w:themeColor="text1"/>
          <w:sz w:val="32"/>
          <w:szCs w:val="32"/>
          <w14:textFill>
            <w14:solidFill>
              <w14:schemeClr w14:val="tx1"/>
            </w14:solidFill>
          </w14:textFill>
        </w:rPr>
      </w:pPr>
      <w:r>
        <w:rPr>
          <w:rFonts w:hint="eastAsia" w:ascii="仿宋" w:hAnsi="仿宋" w:eastAsia="仿宋"/>
          <w:b/>
          <w:color w:val="000000"/>
          <w:sz w:val="32"/>
          <w:szCs w:val="32"/>
        </w:rPr>
        <w:t>外事接待支出</w:t>
      </w:r>
      <w:r>
        <w:rPr>
          <w:rFonts w:hint="eastAsia" w:ascii="仿宋" w:hAnsi="仿宋" w:eastAsia="仿宋"/>
          <w:color w:val="000000"/>
          <w:sz w:val="32"/>
          <w:szCs w:val="32"/>
        </w:rPr>
        <w:t>0</w:t>
      </w:r>
      <w:r>
        <w:rPr>
          <w:rFonts w:hint="eastAsia" w:ascii="仿宋_GB2312" w:eastAsia="仿宋_GB2312"/>
          <w:color w:val="000000"/>
          <w:sz w:val="32"/>
          <w:szCs w:val="32"/>
        </w:rPr>
        <w:t>万元</w:t>
      </w:r>
      <w:r>
        <w:rPr>
          <w:rFonts w:hint="eastAsia" w:ascii="仿宋_GB2312" w:eastAsia="仿宋_GB2312"/>
          <w:color w:val="000000" w:themeColor="text1"/>
          <w:sz w:val="32"/>
          <w:szCs w:val="32"/>
          <w14:textFill>
            <w14:solidFill>
              <w14:schemeClr w14:val="tx1"/>
            </w14:solidFill>
          </w14:textFill>
        </w:rPr>
        <w:t>，外事接待0批次，0人，共计支出0万元。</w:t>
      </w:r>
      <w:bookmarkStart w:id="44" w:name="_Toc15377218"/>
      <w:bookmarkStart w:id="45" w:name="_Toc15396610"/>
    </w:p>
    <w:p w14:paraId="7D76276A">
      <w:pPr>
        <w:pageBreakBefore w:val="0"/>
        <w:kinsoku/>
        <w:wordWrap/>
        <w:overflowPunct/>
        <w:topLinePunct w:val="0"/>
        <w:bidi w:val="0"/>
        <w:spacing w:line="576" w:lineRule="exact"/>
        <w:ind w:firstLine="640"/>
        <w:outlineLvl w:val="1"/>
        <w:rPr>
          <w:rStyle w:val="30"/>
          <w:rFonts w:ascii="黑体" w:hAnsi="黑体" w:eastAsia="黑体"/>
        </w:rPr>
      </w:pPr>
      <w:r>
        <w:rPr>
          <w:rFonts w:hint="eastAsia" w:ascii="黑体" w:eastAsia="黑体"/>
          <w:color w:val="000000"/>
          <w:sz w:val="32"/>
          <w:szCs w:val="32"/>
        </w:rPr>
        <w:t>八、</w:t>
      </w:r>
      <w:r>
        <w:rPr>
          <w:rStyle w:val="30"/>
          <w:rFonts w:hint="eastAsia" w:ascii="黑体" w:hAnsi="黑体" w:eastAsia="黑体"/>
          <w:b w:val="0"/>
        </w:rPr>
        <w:t>政府性基金预算支出决算情况说明</w:t>
      </w:r>
      <w:bookmarkEnd w:id="44"/>
      <w:bookmarkEnd w:id="45"/>
    </w:p>
    <w:p w14:paraId="3DB9C196">
      <w:pPr>
        <w:pageBreakBefore w:val="0"/>
        <w:kinsoku/>
        <w:wordWrap/>
        <w:overflowPunct/>
        <w:topLinePunct w:val="0"/>
        <w:bidi w:val="0"/>
        <w:spacing w:line="576" w:lineRule="exact"/>
        <w:ind w:firstLine="640"/>
        <w:rPr>
          <w:rFonts w:ascii="仿宋_GB2312" w:eastAsia="仿宋_GB2312"/>
          <w:color w:val="000000"/>
          <w:sz w:val="32"/>
          <w:szCs w:val="32"/>
        </w:rPr>
      </w:pPr>
      <w:r>
        <w:rPr>
          <w:rFonts w:hint="eastAsia" w:ascii="仿宋_GB2312" w:eastAsia="仿宋_GB2312"/>
          <w:color w:val="000000"/>
          <w:sz w:val="32"/>
          <w:szCs w:val="32"/>
        </w:rPr>
        <w:t>我单位</w:t>
      </w:r>
      <w:r>
        <w:rPr>
          <w:rFonts w:hint="eastAsia" w:ascii="仿宋_GB2312" w:eastAsia="仿宋_GB2312"/>
          <w:color w:val="000000"/>
          <w:sz w:val="32"/>
          <w:szCs w:val="32"/>
          <w:lang w:eastAsia="zh-CN"/>
        </w:rPr>
        <w:t>2025</w:t>
      </w:r>
      <w:r>
        <w:rPr>
          <w:rFonts w:hint="eastAsia" w:ascii="仿宋_GB2312" w:eastAsia="仿宋_GB2312"/>
          <w:color w:val="000000"/>
          <w:sz w:val="32"/>
          <w:szCs w:val="32"/>
        </w:rPr>
        <w:t>年无政府性基金预算拨款支出。</w:t>
      </w:r>
    </w:p>
    <w:p w14:paraId="2F5F3AD8">
      <w:pPr>
        <w:pageBreakBefore w:val="0"/>
        <w:numPr>
          <w:ilvl w:val="0"/>
          <w:numId w:val="4"/>
        </w:numPr>
        <w:kinsoku/>
        <w:wordWrap/>
        <w:overflowPunct/>
        <w:topLinePunct w:val="0"/>
        <w:bidi w:val="0"/>
        <w:spacing w:line="576" w:lineRule="exact"/>
        <w:ind w:firstLine="640"/>
        <w:outlineLvl w:val="1"/>
        <w:rPr>
          <w:rStyle w:val="30"/>
          <w:rFonts w:ascii="黑体" w:hAnsi="黑体" w:eastAsia="黑体"/>
          <w:b w:val="0"/>
        </w:rPr>
      </w:pPr>
      <w:bookmarkStart w:id="46" w:name="_Toc15396611"/>
      <w:bookmarkStart w:id="47" w:name="_Toc15377219"/>
      <w:r>
        <w:rPr>
          <w:rStyle w:val="30"/>
          <w:rFonts w:hint="eastAsia" w:ascii="黑体" w:hAnsi="黑体" w:eastAsia="黑体"/>
          <w:b w:val="0"/>
        </w:rPr>
        <w:t>国有资本经营预算支出决算情况说明</w:t>
      </w:r>
      <w:bookmarkEnd w:id="46"/>
      <w:bookmarkEnd w:id="47"/>
    </w:p>
    <w:p w14:paraId="65CD0EF4">
      <w:pPr>
        <w:pageBreakBefore w:val="0"/>
        <w:kinsoku/>
        <w:wordWrap/>
        <w:overflowPunct/>
        <w:topLinePunct w:val="0"/>
        <w:bidi w:val="0"/>
        <w:spacing w:line="576" w:lineRule="exact"/>
        <w:ind w:firstLine="640"/>
        <w:rPr>
          <w:rFonts w:ascii="仿宋_GB2312" w:eastAsia="仿宋_GB2312"/>
          <w:color w:val="000000"/>
          <w:sz w:val="32"/>
          <w:szCs w:val="32"/>
        </w:rPr>
      </w:pPr>
      <w:r>
        <w:rPr>
          <w:rFonts w:hint="eastAsia" w:ascii="仿宋_GB2312" w:eastAsia="仿宋_GB2312"/>
          <w:color w:val="000000"/>
          <w:sz w:val="32"/>
          <w:szCs w:val="32"/>
        </w:rPr>
        <w:t>我单位</w:t>
      </w:r>
      <w:r>
        <w:rPr>
          <w:rFonts w:hint="eastAsia" w:ascii="仿宋_GB2312" w:eastAsia="仿宋_GB2312"/>
          <w:color w:val="000000"/>
          <w:sz w:val="32"/>
          <w:szCs w:val="32"/>
          <w:lang w:eastAsia="zh-CN"/>
        </w:rPr>
        <w:t>2025</w:t>
      </w:r>
      <w:r>
        <w:rPr>
          <w:rFonts w:hint="eastAsia" w:ascii="仿宋_GB2312" w:eastAsia="仿宋_GB2312"/>
          <w:color w:val="000000"/>
          <w:sz w:val="32"/>
          <w:szCs w:val="32"/>
        </w:rPr>
        <w:t>年无国有资本经营预算拨款支出。</w:t>
      </w:r>
    </w:p>
    <w:p w14:paraId="2D0E7FBC">
      <w:pPr>
        <w:pageBreakBefore w:val="0"/>
        <w:kinsoku/>
        <w:wordWrap/>
        <w:overflowPunct/>
        <w:topLinePunct w:val="0"/>
        <w:bidi w:val="0"/>
        <w:spacing w:line="576" w:lineRule="exact"/>
        <w:ind w:firstLine="480" w:firstLineChars="150"/>
        <w:outlineLvl w:val="1"/>
        <w:rPr>
          <w:rStyle w:val="30"/>
          <w:rFonts w:ascii="黑体" w:hAnsi="黑体" w:eastAsia="黑体"/>
        </w:rPr>
      </w:pPr>
      <w:bookmarkStart w:id="48" w:name="_Toc15396612"/>
      <w:bookmarkStart w:id="49" w:name="_Toc15377221"/>
      <w:r>
        <w:rPr>
          <w:rFonts w:hint="eastAsia" w:ascii="黑体" w:hAnsi="黑体" w:eastAsia="黑体"/>
          <w:color w:val="000000"/>
          <w:sz w:val="32"/>
          <w:szCs w:val="32"/>
        </w:rPr>
        <w:t>十</w:t>
      </w:r>
      <w:r>
        <w:rPr>
          <w:rStyle w:val="30"/>
          <w:rFonts w:hint="eastAsia" w:ascii="黑体" w:hAnsi="黑体" w:eastAsia="黑体"/>
        </w:rPr>
        <w:t>、</w:t>
      </w:r>
      <w:r>
        <w:rPr>
          <w:rStyle w:val="30"/>
          <w:rFonts w:hint="eastAsia" w:ascii="黑体" w:hAnsi="黑体" w:eastAsia="黑体"/>
          <w:b w:val="0"/>
        </w:rPr>
        <w:t>其他重要事项的情况说明</w:t>
      </w:r>
      <w:bookmarkEnd w:id="48"/>
      <w:bookmarkEnd w:id="49"/>
    </w:p>
    <w:p w14:paraId="518E29DF">
      <w:pPr>
        <w:pageBreakBefore w:val="0"/>
        <w:kinsoku/>
        <w:wordWrap/>
        <w:overflowPunct/>
        <w:topLinePunct w:val="0"/>
        <w:autoSpaceDE w:val="0"/>
        <w:autoSpaceDN w:val="0"/>
        <w:bidi w:val="0"/>
        <w:adjustRightInd w:val="0"/>
        <w:spacing w:line="576" w:lineRule="exact"/>
        <w:ind w:firstLine="643" w:firstLineChars="200"/>
        <w:jc w:val="left"/>
        <w:outlineLvl w:val="2"/>
        <w:rPr>
          <w:rFonts w:hint="eastAsia" w:ascii="楷体_GB2312" w:hAnsi="楷体_GB2312" w:eastAsia="楷体_GB2312" w:cs="楷体_GB2312"/>
          <w:b/>
          <w:color w:val="000000"/>
          <w:sz w:val="32"/>
          <w:szCs w:val="32"/>
        </w:rPr>
      </w:pPr>
      <w:bookmarkStart w:id="50" w:name="_Toc15377222"/>
      <w:r>
        <w:rPr>
          <w:rFonts w:hint="eastAsia" w:ascii="楷体_GB2312" w:hAnsi="楷体_GB2312" w:eastAsia="楷体_GB2312" w:cs="楷体_GB2312"/>
          <w:b/>
          <w:color w:val="000000"/>
          <w:sz w:val="32"/>
          <w:szCs w:val="32"/>
        </w:rPr>
        <w:t>（一）机关运行经费支出情况</w:t>
      </w:r>
      <w:bookmarkEnd w:id="50"/>
    </w:p>
    <w:p w14:paraId="1F7387F4">
      <w:pPr>
        <w:pageBreakBefore w:val="0"/>
        <w:kinsoku/>
        <w:wordWrap/>
        <w:overflowPunct/>
        <w:topLinePunct w:val="0"/>
        <w:bidi w:val="0"/>
        <w:spacing w:line="576" w:lineRule="exact"/>
        <w:ind w:firstLine="640" w:firstLineChars="200"/>
        <w:rPr>
          <w:rFonts w:ascii="仿宋_GB2312" w:eastAsia="仿宋_GB2312"/>
          <w:color w:val="0000FF"/>
          <w:sz w:val="32"/>
          <w:szCs w:val="32"/>
        </w:rPr>
      </w:pPr>
      <w:r>
        <w:rPr>
          <w:rFonts w:hint="eastAsia" w:ascii="仿宋_GB2312" w:eastAsia="仿宋_GB2312"/>
          <w:color w:val="000000"/>
          <w:sz w:val="32"/>
          <w:szCs w:val="32"/>
          <w:lang w:eastAsia="zh-CN"/>
        </w:rPr>
        <w:t>2025</w:t>
      </w:r>
      <w:r>
        <w:rPr>
          <w:rFonts w:hint="eastAsia" w:ascii="仿宋_GB2312" w:eastAsia="仿宋_GB2312"/>
          <w:color w:val="000000"/>
          <w:sz w:val="32"/>
          <w:szCs w:val="32"/>
        </w:rPr>
        <w:t>年，小金县统计局机关运行经费支出</w:t>
      </w:r>
      <w:r>
        <w:rPr>
          <w:rFonts w:hint="eastAsia" w:ascii="仿宋_GB2312" w:eastAsia="仿宋_GB2312"/>
          <w:color w:val="000000"/>
          <w:sz w:val="32"/>
          <w:szCs w:val="32"/>
          <w:lang w:val="en-US" w:eastAsia="zh-CN"/>
        </w:rPr>
        <w:t>19.89</w:t>
      </w:r>
      <w:r>
        <w:rPr>
          <w:rFonts w:hint="eastAsia" w:ascii="仿宋_GB2312" w:eastAsia="仿宋_GB2312"/>
          <w:color w:val="000000"/>
          <w:sz w:val="32"/>
          <w:szCs w:val="32"/>
        </w:rPr>
        <w:t>万元，比</w:t>
      </w:r>
      <w:r>
        <w:rPr>
          <w:rFonts w:hint="eastAsia" w:ascii="仿宋_GB2312" w:eastAsia="仿宋_GB2312"/>
          <w:color w:val="000000"/>
          <w:sz w:val="32"/>
          <w:szCs w:val="32"/>
          <w:lang w:eastAsia="zh-CN"/>
        </w:rPr>
        <w:t>2024</w:t>
      </w:r>
      <w:r>
        <w:rPr>
          <w:rFonts w:hint="eastAsia" w:ascii="仿宋_GB2312" w:eastAsia="仿宋_GB2312"/>
          <w:color w:val="000000"/>
          <w:sz w:val="32"/>
          <w:szCs w:val="32"/>
        </w:rPr>
        <w:t>年</w:t>
      </w:r>
      <w:r>
        <w:rPr>
          <w:rFonts w:hint="eastAsia" w:ascii="仿宋_GB2312" w:eastAsia="仿宋_GB2312"/>
          <w:color w:val="000000"/>
          <w:sz w:val="32"/>
          <w:szCs w:val="32"/>
          <w:lang w:val="en-US" w:eastAsia="zh-CN"/>
        </w:rPr>
        <w:t>增加6.52</w:t>
      </w:r>
      <w:r>
        <w:rPr>
          <w:rFonts w:hint="eastAsia" w:ascii="仿宋_GB2312" w:eastAsia="仿宋_GB2312"/>
          <w:color w:val="000000"/>
          <w:sz w:val="32"/>
          <w:szCs w:val="32"/>
        </w:rPr>
        <w:t>万元</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主要原因是单位职工增加</w:t>
      </w:r>
      <w:r>
        <w:rPr>
          <w:rFonts w:hint="eastAsia" w:ascii="仿宋_GB2312" w:eastAsia="仿宋_GB2312"/>
          <w:color w:val="000000"/>
          <w:sz w:val="32"/>
          <w:szCs w:val="32"/>
        </w:rPr>
        <w:t>。</w:t>
      </w:r>
    </w:p>
    <w:p w14:paraId="0346EA44">
      <w:pPr>
        <w:pageBreakBefore w:val="0"/>
        <w:kinsoku/>
        <w:wordWrap/>
        <w:overflowPunct/>
        <w:topLinePunct w:val="0"/>
        <w:autoSpaceDE w:val="0"/>
        <w:autoSpaceDN w:val="0"/>
        <w:bidi w:val="0"/>
        <w:adjustRightInd w:val="0"/>
        <w:spacing w:line="576" w:lineRule="exact"/>
        <w:ind w:firstLine="643" w:firstLineChars="200"/>
        <w:jc w:val="left"/>
        <w:outlineLvl w:val="2"/>
        <w:rPr>
          <w:rFonts w:hint="eastAsia" w:ascii="楷体_GB2312" w:hAnsi="楷体_GB2312" w:eastAsia="楷体_GB2312" w:cs="楷体_GB2312"/>
          <w:b/>
          <w:color w:val="000000"/>
          <w:sz w:val="32"/>
          <w:szCs w:val="32"/>
        </w:rPr>
      </w:pPr>
      <w:bookmarkStart w:id="51" w:name="_Toc15377223"/>
      <w:r>
        <w:rPr>
          <w:rFonts w:hint="eastAsia" w:ascii="楷体_GB2312" w:hAnsi="楷体_GB2312" w:eastAsia="楷体_GB2312" w:cs="楷体_GB2312"/>
          <w:b/>
          <w:color w:val="000000"/>
          <w:sz w:val="32"/>
          <w:szCs w:val="32"/>
        </w:rPr>
        <w:t>（二）政府采购支出情况</w:t>
      </w:r>
      <w:bookmarkEnd w:id="51"/>
    </w:p>
    <w:p w14:paraId="6A82AC5D">
      <w:pPr>
        <w:pageBreakBefore w:val="0"/>
        <w:kinsoku/>
        <w:wordWrap/>
        <w:overflowPunct/>
        <w:topLinePunct w:val="0"/>
        <w:bidi w:val="0"/>
        <w:spacing w:line="576" w:lineRule="exact"/>
        <w:ind w:firstLine="640" w:firstLineChars="200"/>
        <w:rPr>
          <w:rFonts w:ascii="仿宋_GB2312" w:eastAsia="仿宋_GB2312"/>
          <w:color w:val="000000"/>
          <w:sz w:val="32"/>
          <w:szCs w:val="32"/>
        </w:rPr>
      </w:pPr>
      <w:r>
        <w:rPr>
          <w:rFonts w:hint="eastAsia" w:ascii="仿宋_GB2312" w:eastAsia="仿宋_GB2312"/>
          <w:color w:val="000000"/>
          <w:sz w:val="32"/>
          <w:szCs w:val="32"/>
          <w:lang w:eastAsia="zh-CN"/>
        </w:rPr>
        <w:t>2025</w:t>
      </w:r>
      <w:r>
        <w:rPr>
          <w:rFonts w:hint="eastAsia" w:ascii="仿宋_GB2312" w:eastAsia="仿宋_GB2312"/>
          <w:color w:val="000000"/>
          <w:sz w:val="32"/>
          <w:szCs w:val="32"/>
        </w:rPr>
        <w:t>年政府采购支出</w:t>
      </w:r>
      <w:r>
        <w:rPr>
          <w:rFonts w:hint="eastAsia" w:ascii="仿宋_GB2312" w:eastAsia="仿宋_GB2312"/>
          <w:color w:val="000000"/>
          <w:sz w:val="32"/>
          <w:szCs w:val="32"/>
          <w:lang w:val="en-US" w:eastAsia="zh-CN"/>
        </w:rPr>
        <w:t>0万元</w:t>
      </w:r>
      <w:r>
        <w:rPr>
          <w:rFonts w:hint="eastAsia" w:ascii="仿宋_GB2312" w:eastAsia="仿宋_GB2312"/>
          <w:color w:val="000000"/>
          <w:sz w:val="32"/>
          <w:szCs w:val="32"/>
        </w:rPr>
        <w:t>，其中：政府采购货物支出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万元、政府采购工程支出0万元、政府采购服务支出0万元。授予中小企业合同金额0万元，占政府采购支出总额的0</w:t>
      </w:r>
      <w:r>
        <w:rPr>
          <w:rFonts w:ascii="仿宋_GB2312" w:eastAsia="仿宋_GB2312"/>
          <w:color w:val="000000"/>
          <w:sz w:val="32"/>
          <w:szCs w:val="32"/>
        </w:rPr>
        <w:t>%</w:t>
      </w:r>
      <w:r>
        <w:rPr>
          <w:rFonts w:hint="eastAsia" w:ascii="仿宋_GB2312" w:eastAsia="仿宋_GB2312"/>
          <w:color w:val="000000"/>
          <w:sz w:val="32"/>
          <w:szCs w:val="32"/>
        </w:rPr>
        <w:t>，其中：授予小微企业合同金额0万元，占政府采购支出总额的0</w:t>
      </w:r>
      <w:r>
        <w:rPr>
          <w:rFonts w:ascii="仿宋_GB2312" w:eastAsia="仿宋_GB2312"/>
          <w:color w:val="000000"/>
          <w:sz w:val="32"/>
          <w:szCs w:val="32"/>
        </w:rPr>
        <w:t>%</w:t>
      </w:r>
      <w:r>
        <w:rPr>
          <w:rFonts w:hint="eastAsia" w:ascii="仿宋_GB2312" w:eastAsia="仿宋_GB2312"/>
          <w:color w:val="000000"/>
          <w:sz w:val="32"/>
          <w:szCs w:val="32"/>
        </w:rPr>
        <w:t>。</w:t>
      </w:r>
    </w:p>
    <w:p w14:paraId="23554DA5">
      <w:pPr>
        <w:pageBreakBefore w:val="0"/>
        <w:kinsoku/>
        <w:wordWrap/>
        <w:overflowPunct/>
        <w:topLinePunct w:val="0"/>
        <w:autoSpaceDE w:val="0"/>
        <w:autoSpaceDN w:val="0"/>
        <w:bidi w:val="0"/>
        <w:adjustRightInd w:val="0"/>
        <w:spacing w:line="576" w:lineRule="exact"/>
        <w:ind w:firstLine="643" w:firstLineChars="200"/>
        <w:jc w:val="left"/>
        <w:outlineLvl w:val="2"/>
        <w:rPr>
          <w:rFonts w:hint="eastAsia" w:ascii="楷体_GB2312" w:hAnsi="楷体_GB2312" w:eastAsia="楷体_GB2312" w:cs="楷体_GB2312"/>
          <w:b/>
          <w:color w:val="000000"/>
          <w:sz w:val="32"/>
          <w:szCs w:val="32"/>
        </w:rPr>
      </w:pPr>
      <w:bookmarkStart w:id="52" w:name="_Toc15377224"/>
      <w:r>
        <w:rPr>
          <w:rFonts w:hint="eastAsia" w:ascii="楷体_GB2312" w:hAnsi="楷体_GB2312" w:eastAsia="楷体_GB2312" w:cs="楷体_GB2312"/>
          <w:b/>
          <w:color w:val="000000"/>
          <w:sz w:val="32"/>
          <w:szCs w:val="32"/>
        </w:rPr>
        <w:t>（三）国有资产占有使用情况</w:t>
      </w:r>
      <w:bookmarkEnd w:id="52"/>
    </w:p>
    <w:p w14:paraId="7DF8D4D2">
      <w:pPr>
        <w:pageBreakBefore w:val="0"/>
        <w:kinsoku/>
        <w:wordWrap/>
        <w:overflowPunct/>
        <w:topLinePunct w:val="0"/>
        <w:autoSpaceDE w:val="0"/>
        <w:autoSpaceDN w:val="0"/>
        <w:bidi w:val="0"/>
        <w:adjustRightInd w:val="0"/>
        <w:spacing w:line="576" w:lineRule="exact"/>
        <w:ind w:firstLine="640" w:firstLineChars="200"/>
        <w:jc w:val="left"/>
        <w:rPr>
          <w:rFonts w:ascii="仿宋" w:hAnsi="仿宋" w:eastAsia="仿宋"/>
          <w:b/>
          <w:color w:val="FF0000"/>
          <w:sz w:val="32"/>
          <w:szCs w:val="32"/>
        </w:rPr>
      </w:pPr>
      <w:r>
        <w:rPr>
          <w:rFonts w:hint="eastAsia" w:ascii="仿宋_GB2312" w:eastAsia="仿宋_GB2312"/>
          <w:color w:val="000000"/>
          <w:sz w:val="32"/>
          <w:szCs w:val="32"/>
        </w:rPr>
        <w:t>截至</w:t>
      </w:r>
      <w:r>
        <w:rPr>
          <w:rFonts w:hint="eastAsia" w:ascii="仿宋_GB2312" w:eastAsia="仿宋_GB2312"/>
          <w:color w:val="000000"/>
          <w:sz w:val="32"/>
          <w:szCs w:val="32"/>
          <w:lang w:eastAsia="zh-CN"/>
        </w:rPr>
        <w:t>2025</w:t>
      </w:r>
      <w:r>
        <w:rPr>
          <w:rFonts w:hint="eastAsia" w:ascii="仿宋_GB2312" w:eastAsia="仿宋_GB2312"/>
          <w:color w:val="000000"/>
          <w:sz w:val="32"/>
          <w:szCs w:val="32"/>
        </w:rPr>
        <w:t>年</w:t>
      </w:r>
      <w:r>
        <w:rPr>
          <w:rFonts w:ascii="仿宋_GB2312" w:eastAsia="仿宋_GB2312"/>
          <w:color w:val="000000"/>
          <w:sz w:val="32"/>
          <w:szCs w:val="32"/>
        </w:rPr>
        <w:t>12</w:t>
      </w:r>
      <w:r>
        <w:rPr>
          <w:rFonts w:hint="eastAsia" w:ascii="仿宋_GB2312" w:eastAsia="仿宋_GB2312"/>
          <w:color w:val="000000"/>
          <w:sz w:val="32"/>
          <w:szCs w:val="32"/>
        </w:rPr>
        <w:t>月</w:t>
      </w:r>
      <w:r>
        <w:rPr>
          <w:rFonts w:ascii="仿宋_GB2312" w:eastAsia="仿宋_GB2312"/>
          <w:color w:val="000000"/>
          <w:sz w:val="32"/>
          <w:szCs w:val="32"/>
        </w:rPr>
        <w:t>31</w:t>
      </w:r>
      <w:r>
        <w:rPr>
          <w:rFonts w:hint="eastAsia" w:ascii="仿宋_GB2312" w:eastAsia="仿宋_GB2312"/>
          <w:color w:val="000000"/>
          <w:sz w:val="32"/>
          <w:szCs w:val="32"/>
        </w:rPr>
        <w:t>日，小金县统计局共有车辆</w:t>
      </w:r>
      <w:r>
        <w:rPr>
          <w:rFonts w:hint="eastAsia" w:ascii="仿宋_GB2312" w:eastAsia="仿宋_GB2312"/>
          <w:color w:val="000000"/>
          <w:sz w:val="32"/>
          <w:szCs w:val="32"/>
          <w:lang w:val="en-US" w:eastAsia="zh-CN"/>
        </w:rPr>
        <w:t>1</w:t>
      </w:r>
      <w:r>
        <w:rPr>
          <w:rFonts w:hint="eastAsia" w:ascii="仿宋_GB2312" w:eastAsia="仿宋_GB2312"/>
          <w:color w:val="000000"/>
          <w:sz w:val="32"/>
          <w:szCs w:val="32"/>
        </w:rPr>
        <w:t>辆</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租用一辆</w:t>
      </w:r>
      <w:r>
        <w:rPr>
          <w:rFonts w:hint="eastAsia" w:ascii="仿宋_GB2312" w:eastAsia="仿宋_GB2312"/>
          <w:color w:val="000000"/>
          <w:sz w:val="32"/>
          <w:szCs w:val="32"/>
        </w:rPr>
        <w:t>。</w:t>
      </w:r>
    </w:p>
    <w:p w14:paraId="36387976">
      <w:pPr>
        <w:pageBreakBefore w:val="0"/>
        <w:kinsoku/>
        <w:wordWrap/>
        <w:overflowPunct/>
        <w:topLinePunct w:val="0"/>
        <w:autoSpaceDE w:val="0"/>
        <w:autoSpaceDN w:val="0"/>
        <w:bidi w:val="0"/>
        <w:adjustRightInd w:val="0"/>
        <w:spacing w:line="576" w:lineRule="exact"/>
        <w:ind w:firstLine="643" w:firstLineChars="200"/>
        <w:jc w:val="left"/>
        <w:outlineLvl w:val="2"/>
        <w:rPr>
          <w:rFonts w:hint="eastAsia" w:ascii="楷体_GB2312" w:hAnsi="楷体_GB2312" w:eastAsia="楷体_GB2312" w:cs="楷体_GB2312"/>
          <w:b/>
          <w:color w:val="000000"/>
          <w:sz w:val="32"/>
          <w:szCs w:val="32"/>
        </w:rPr>
      </w:pPr>
      <w:r>
        <w:rPr>
          <w:rFonts w:hint="eastAsia" w:ascii="楷体_GB2312" w:hAnsi="楷体_GB2312" w:eastAsia="楷体_GB2312" w:cs="楷体_GB2312"/>
          <w:b/>
          <w:color w:val="000000"/>
          <w:sz w:val="32"/>
          <w:szCs w:val="32"/>
        </w:rPr>
        <w:t>（四）预算绩效管理情况</w:t>
      </w:r>
    </w:p>
    <w:p w14:paraId="4AC55FFA">
      <w:pPr>
        <w:pageBreakBefore w:val="0"/>
        <w:kinsoku/>
        <w:wordWrap/>
        <w:overflowPunct/>
        <w:topLinePunct w:val="0"/>
        <w:bidi w:val="0"/>
        <w:spacing w:line="576"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sz w:val="32"/>
          <w:szCs w:val="32"/>
        </w:rPr>
        <w:t>根据预算绩效管理要求，本部门（单位）在年初预算编制阶段，</w:t>
      </w:r>
      <w:r>
        <w:rPr>
          <w:rFonts w:hint="eastAsia" w:ascii="仿宋_GB2312" w:hAnsi="仿宋_GB2312" w:eastAsia="仿宋_GB2312" w:cs="仿宋_GB2312"/>
          <w:color w:val="000000" w:themeColor="text1"/>
          <w:sz w:val="32"/>
          <w:szCs w:val="32"/>
          <w14:textFill>
            <w14:solidFill>
              <w14:schemeClr w14:val="tx1"/>
            </w14:solidFill>
          </w14:textFill>
        </w:rPr>
        <w:t>编制了绩效目标，预算执行过程中，开展绩效监控，年终执行完毕后，开展了绩效目标完成情况自评。</w:t>
      </w:r>
    </w:p>
    <w:p w14:paraId="4C4399BC">
      <w:pPr>
        <w:pageBreakBefore w:val="0"/>
        <w:kinsoku/>
        <w:wordWrap/>
        <w:overflowPunct/>
        <w:topLinePunct w:val="0"/>
        <w:bidi w:val="0"/>
        <w:spacing w:line="576" w:lineRule="exact"/>
        <w:ind w:firstLine="640" w:firstLineChars="200"/>
        <w:rPr>
          <w:rFonts w:hint="eastAsia" w:ascii="仿宋" w:hAnsi="仿宋" w:eastAsia="仿宋" w:cs="仿宋"/>
          <w:color w:val="000000"/>
          <w:kern w:val="0"/>
          <w:sz w:val="30"/>
          <w:szCs w:val="30"/>
          <w:shd w:val="clear" w:color="auto" w:fill="FFFFFF"/>
        </w:rPr>
      </w:pPr>
      <w:r>
        <w:rPr>
          <w:rFonts w:hint="eastAsia" w:ascii="仿宋_GB2312" w:hAnsi="仿宋_GB2312" w:eastAsia="仿宋_GB2312" w:cs="仿宋_GB2312"/>
          <w:sz w:val="32"/>
          <w:szCs w:val="32"/>
        </w:rPr>
        <w:t>本部门按要求对</w:t>
      </w: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年部门整体支出开展绩效自评，从评价情况来看</w:t>
      </w:r>
      <w:r>
        <w:rPr>
          <w:rFonts w:hint="eastAsia" w:ascii="仿宋" w:hAnsi="仿宋" w:eastAsia="仿宋" w:cs="仿宋"/>
          <w:color w:val="000000"/>
          <w:kern w:val="0"/>
          <w:sz w:val="30"/>
          <w:szCs w:val="30"/>
          <w:shd w:val="clear" w:color="auto" w:fill="FFFFFF"/>
        </w:rPr>
        <w:t>执行情况良好，无不良记录及违规违纪行为，预算支出和决算支出情况相符。</w:t>
      </w:r>
    </w:p>
    <w:p w14:paraId="514B14B9">
      <w:pPr>
        <w:pageBreakBefore w:val="0"/>
        <w:kinsoku/>
        <w:wordWrap/>
        <w:overflowPunct/>
        <w:topLinePunct w:val="0"/>
        <w:bidi w:val="0"/>
        <w:spacing w:line="576" w:lineRule="exact"/>
        <w:ind w:firstLine="600" w:firstLineChars="200"/>
        <w:rPr>
          <w:rFonts w:hint="eastAsia" w:ascii="仿宋" w:hAnsi="仿宋" w:eastAsia="仿宋" w:cs="仿宋"/>
          <w:color w:val="000000"/>
          <w:kern w:val="0"/>
          <w:sz w:val="30"/>
          <w:szCs w:val="30"/>
          <w:shd w:val="clear" w:color="auto" w:fill="FFFFFF"/>
        </w:rPr>
      </w:pPr>
    </w:p>
    <w:p w14:paraId="0515F916">
      <w:pPr>
        <w:pageBreakBefore w:val="0"/>
        <w:kinsoku/>
        <w:wordWrap/>
        <w:overflowPunct/>
        <w:topLinePunct w:val="0"/>
        <w:bidi w:val="0"/>
        <w:spacing w:line="576" w:lineRule="exact"/>
        <w:ind w:firstLine="600" w:firstLineChars="200"/>
        <w:rPr>
          <w:rFonts w:hint="eastAsia" w:ascii="仿宋" w:hAnsi="仿宋" w:eastAsia="仿宋" w:cs="仿宋"/>
          <w:color w:val="000000"/>
          <w:kern w:val="0"/>
          <w:sz w:val="30"/>
          <w:szCs w:val="30"/>
          <w:shd w:val="clear" w:color="auto" w:fill="FFFFFF"/>
        </w:rPr>
      </w:pPr>
    </w:p>
    <w:p w14:paraId="29E46ADF">
      <w:pPr>
        <w:pageBreakBefore w:val="0"/>
        <w:kinsoku/>
        <w:wordWrap/>
        <w:overflowPunct/>
        <w:topLinePunct w:val="0"/>
        <w:bidi w:val="0"/>
        <w:spacing w:line="576" w:lineRule="exact"/>
        <w:ind w:firstLine="600" w:firstLineChars="200"/>
        <w:rPr>
          <w:rFonts w:hint="eastAsia" w:ascii="仿宋" w:hAnsi="仿宋" w:eastAsia="仿宋" w:cs="仿宋"/>
          <w:color w:val="000000"/>
          <w:kern w:val="0"/>
          <w:sz w:val="30"/>
          <w:szCs w:val="30"/>
          <w:shd w:val="clear" w:color="auto" w:fill="FFFFFF"/>
        </w:rPr>
      </w:pPr>
    </w:p>
    <w:p w14:paraId="6383B666">
      <w:pPr>
        <w:pageBreakBefore w:val="0"/>
        <w:kinsoku/>
        <w:wordWrap/>
        <w:overflowPunct/>
        <w:topLinePunct w:val="0"/>
        <w:bidi w:val="0"/>
        <w:spacing w:line="576" w:lineRule="exact"/>
        <w:ind w:firstLine="600" w:firstLineChars="200"/>
        <w:rPr>
          <w:rFonts w:hint="eastAsia" w:ascii="仿宋" w:hAnsi="仿宋" w:eastAsia="仿宋" w:cs="仿宋"/>
          <w:color w:val="000000"/>
          <w:kern w:val="0"/>
          <w:sz w:val="30"/>
          <w:szCs w:val="30"/>
          <w:shd w:val="clear" w:color="auto" w:fill="FFFFFF"/>
        </w:rPr>
      </w:pPr>
    </w:p>
    <w:p w14:paraId="6A414078">
      <w:pPr>
        <w:pStyle w:val="2"/>
        <w:rPr>
          <w:rFonts w:hint="eastAsia" w:ascii="仿宋" w:hAnsi="仿宋" w:eastAsia="仿宋" w:cs="仿宋"/>
          <w:color w:val="000000"/>
          <w:kern w:val="0"/>
          <w:sz w:val="30"/>
          <w:szCs w:val="30"/>
          <w:shd w:val="clear" w:color="auto" w:fill="FFFFFF"/>
        </w:rPr>
      </w:pPr>
    </w:p>
    <w:p w14:paraId="180B8333">
      <w:pPr>
        <w:rPr>
          <w:rFonts w:hint="eastAsia" w:ascii="仿宋" w:hAnsi="仿宋" w:eastAsia="仿宋" w:cs="仿宋"/>
          <w:color w:val="000000"/>
          <w:kern w:val="0"/>
          <w:sz w:val="30"/>
          <w:szCs w:val="30"/>
          <w:shd w:val="clear" w:color="auto" w:fill="FFFFFF"/>
        </w:rPr>
      </w:pPr>
    </w:p>
    <w:p w14:paraId="4EE9451A">
      <w:pPr>
        <w:pStyle w:val="2"/>
        <w:rPr>
          <w:rFonts w:hint="eastAsia" w:ascii="仿宋" w:hAnsi="仿宋" w:eastAsia="仿宋" w:cs="仿宋"/>
          <w:color w:val="000000"/>
          <w:kern w:val="0"/>
          <w:sz w:val="30"/>
          <w:szCs w:val="30"/>
          <w:shd w:val="clear" w:color="auto" w:fill="FFFFFF"/>
        </w:rPr>
      </w:pPr>
    </w:p>
    <w:p w14:paraId="04072567">
      <w:pPr>
        <w:rPr>
          <w:rFonts w:hint="eastAsia" w:ascii="仿宋" w:hAnsi="仿宋" w:eastAsia="仿宋" w:cs="仿宋"/>
          <w:color w:val="000000"/>
          <w:kern w:val="0"/>
          <w:sz w:val="30"/>
          <w:szCs w:val="30"/>
          <w:shd w:val="clear" w:color="auto" w:fill="FFFFFF"/>
        </w:rPr>
      </w:pPr>
    </w:p>
    <w:p w14:paraId="6CFF1887">
      <w:pPr>
        <w:pStyle w:val="2"/>
        <w:rPr>
          <w:rFonts w:hint="eastAsia" w:ascii="仿宋" w:hAnsi="仿宋" w:eastAsia="仿宋" w:cs="仿宋"/>
          <w:color w:val="000000"/>
          <w:kern w:val="0"/>
          <w:sz w:val="30"/>
          <w:szCs w:val="30"/>
          <w:shd w:val="clear" w:color="auto" w:fill="FFFFFF"/>
        </w:rPr>
      </w:pPr>
    </w:p>
    <w:p w14:paraId="1C302CB2">
      <w:pPr>
        <w:rPr>
          <w:rFonts w:hint="eastAsia" w:ascii="仿宋" w:hAnsi="仿宋" w:eastAsia="仿宋" w:cs="仿宋"/>
          <w:color w:val="000000"/>
          <w:kern w:val="0"/>
          <w:sz w:val="30"/>
          <w:szCs w:val="30"/>
          <w:shd w:val="clear" w:color="auto" w:fill="FFFFFF"/>
        </w:rPr>
      </w:pPr>
    </w:p>
    <w:p w14:paraId="6D418F0C">
      <w:pPr>
        <w:pStyle w:val="2"/>
        <w:rPr>
          <w:rFonts w:hint="eastAsia" w:ascii="仿宋" w:hAnsi="仿宋" w:eastAsia="仿宋" w:cs="仿宋"/>
          <w:color w:val="000000"/>
          <w:kern w:val="0"/>
          <w:sz w:val="30"/>
          <w:szCs w:val="30"/>
          <w:shd w:val="clear" w:color="auto" w:fill="FFFFFF"/>
        </w:rPr>
      </w:pPr>
    </w:p>
    <w:p w14:paraId="560888D8">
      <w:pPr>
        <w:rPr>
          <w:rFonts w:hint="eastAsia" w:ascii="仿宋" w:hAnsi="仿宋" w:eastAsia="仿宋" w:cs="仿宋"/>
          <w:color w:val="000000"/>
          <w:kern w:val="0"/>
          <w:sz w:val="30"/>
          <w:szCs w:val="30"/>
          <w:shd w:val="clear" w:color="auto" w:fill="FFFFFF"/>
        </w:rPr>
      </w:pPr>
    </w:p>
    <w:p w14:paraId="1A99D793">
      <w:pPr>
        <w:pStyle w:val="2"/>
        <w:rPr>
          <w:rFonts w:hint="eastAsia" w:ascii="仿宋" w:hAnsi="仿宋" w:eastAsia="仿宋" w:cs="仿宋"/>
          <w:color w:val="000000"/>
          <w:kern w:val="0"/>
          <w:sz w:val="30"/>
          <w:szCs w:val="30"/>
          <w:shd w:val="clear" w:color="auto" w:fill="FFFFFF"/>
        </w:rPr>
      </w:pPr>
    </w:p>
    <w:p w14:paraId="24E8F983">
      <w:pPr>
        <w:rPr>
          <w:rFonts w:hint="eastAsia" w:ascii="仿宋" w:hAnsi="仿宋" w:eastAsia="仿宋" w:cs="仿宋"/>
          <w:color w:val="000000"/>
          <w:kern w:val="0"/>
          <w:sz w:val="30"/>
          <w:szCs w:val="30"/>
          <w:shd w:val="clear" w:color="auto" w:fill="FFFFFF"/>
        </w:rPr>
      </w:pPr>
    </w:p>
    <w:p w14:paraId="1E5EEAF2">
      <w:pPr>
        <w:pStyle w:val="2"/>
        <w:rPr>
          <w:rFonts w:hint="eastAsia"/>
        </w:rPr>
      </w:pPr>
    </w:p>
    <w:p w14:paraId="17917445">
      <w:pPr>
        <w:pageBreakBefore w:val="0"/>
        <w:numPr>
          <w:ilvl w:val="0"/>
          <w:numId w:val="5"/>
        </w:numPr>
        <w:kinsoku/>
        <w:wordWrap/>
        <w:overflowPunct/>
        <w:topLinePunct w:val="0"/>
        <w:bidi w:val="0"/>
        <w:spacing w:line="576" w:lineRule="exact"/>
        <w:ind w:firstLine="660" w:firstLineChars="150"/>
        <w:jc w:val="center"/>
        <w:outlineLvl w:val="0"/>
        <w:rPr>
          <w:rStyle w:val="29"/>
          <w:rFonts w:ascii="黑体" w:hAnsi="黑体" w:eastAsia="黑体"/>
          <w:b w:val="0"/>
        </w:rPr>
      </w:pPr>
      <w:bookmarkStart w:id="53" w:name="_Toc15396613"/>
      <w:bookmarkStart w:id="54" w:name="_Toc15377225"/>
      <w:r>
        <w:rPr>
          <w:rFonts w:hint="eastAsia" w:ascii="黑体" w:hAnsi="黑体" w:eastAsia="黑体"/>
          <w:color w:val="000000"/>
          <w:sz w:val="44"/>
          <w:szCs w:val="44"/>
        </w:rPr>
        <w:t>名</w:t>
      </w:r>
      <w:r>
        <w:rPr>
          <w:rStyle w:val="29"/>
          <w:rFonts w:hint="eastAsia" w:ascii="黑体" w:hAnsi="黑体" w:eastAsia="黑体"/>
          <w:b w:val="0"/>
        </w:rPr>
        <w:t>词解释</w:t>
      </w:r>
      <w:bookmarkEnd w:id="53"/>
      <w:bookmarkEnd w:id="54"/>
    </w:p>
    <w:p w14:paraId="46E87986">
      <w:pPr>
        <w:pageBreakBefore w:val="0"/>
        <w:kinsoku/>
        <w:wordWrap/>
        <w:overflowPunct/>
        <w:topLinePunct w:val="0"/>
        <w:bidi w:val="0"/>
        <w:spacing w:line="576" w:lineRule="exact"/>
        <w:jc w:val="left"/>
        <w:rPr>
          <w:rFonts w:ascii="宋体"/>
          <w:b/>
          <w:color w:val="000000"/>
          <w:sz w:val="44"/>
          <w:szCs w:val="44"/>
        </w:rPr>
      </w:pPr>
    </w:p>
    <w:p w14:paraId="75E48829">
      <w:pPr>
        <w:pStyle w:val="27"/>
        <w:pageBreakBefore w:val="0"/>
        <w:kinsoku/>
        <w:wordWrap/>
        <w:overflowPunct/>
        <w:topLinePunct w:val="0"/>
        <w:bidi w:val="0"/>
        <w:spacing w:line="576" w:lineRule="exact"/>
        <w:ind w:firstLine="640" w:firstLineChars="200"/>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财政拨款收入：指单位从同级财政部门取得的财政预算资金。</w:t>
      </w:r>
    </w:p>
    <w:p w14:paraId="09887F07">
      <w:pPr>
        <w:pStyle w:val="27"/>
        <w:pageBreakBefore w:val="0"/>
        <w:kinsoku/>
        <w:wordWrap/>
        <w:overflowPunct/>
        <w:topLinePunct w:val="0"/>
        <w:bidi w:val="0"/>
        <w:spacing w:line="576" w:lineRule="exact"/>
        <w:ind w:firstLine="640" w:firstLineChars="200"/>
        <w:rPr>
          <w:rFonts w:hint="eastAsia" w:ascii="仿宋_GB2312" w:eastAsia="仿宋_GB2312"/>
          <w:sz w:val="32"/>
          <w:szCs w:val="32"/>
          <w:lang w:eastAsia="zh-CN"/>
        </w:rPr>
      </w:pPr>
      <w:r>
        <w:rPr>
          <w:rFonts w:ascii="仿宋_GB2312" w:eastAsia="仿宋_GB2312"/>
          <w:sz w:val="32"/>
          <w:szCs w:val="32"/>
        </w:rPr>
        <w:t>2.</w:t>
      </w:r>
      <w:r>
        <w:rPr>
          <w:rFonts w:hint="eastAsia" w:ascii="仿宋_GB2312" w:eastAsia="仿宋_GB2312"/>
          <w:sz w:val="32"/>
          <w:szCs w:val="32"/>
        </w:rPr>
        <w:t>其他收入：指单位取得的除上述收入以外的各项收入。主要是…（收入类型）等。</w:t>
      </w:r>
    </w:p>
    <w:p w14:paraId="4FEEFFEA">
      <w:pPr>
        <w:pStyle w:val="27"/>
        <w:pageBreakBefore w:val="0"/>
        <w:kinsoku/>
        <w:wordWrap/>
        <w:overflowPunct/>
        <w:topLinePunct w:val="0"/>
        <w:bidi w:val="0"/>
        <w:spacing w:line="576"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val="en-US" w:eastAsia="zh-CN"/>
        </w:rPr>
        <w:t>3</w:t>
      </w:r>
      <w:r>
        <w:rPr>
          <w:rFonts w:ascii="仿宋_GB2312" w:eastAsia="仿宋_GB2312"/>
          <w:sz w:val="32"/>
          <w:szCs w:val="32"/>
        </w:rPr>
        <w:t>.</w:t>
      </w:r>
      <w:r>
        <w:rPr>
          <w:rFonts w:hint="eastAsia" w:ascii="仿宋_GB2312" w:eastAsia="仿宋_GB2312"/>
          <w:sz w:val="32"/>
          <w:szCs w:val="32"/>
        </w:rPr>
        <w:t>年初结转和结余：指以前年度尚未完成、结转到本年按有关规定继续使用的资金。</w:t>
      </w:r>
    </w:p>
    <w:p w14:paraId="7FA3D23B">
      <w:pPr>
        <w:pStyle w:val="27"/>
        <w:pageBreakBefore w:val="0"/>
        <w:kinsoku/>
        <w:wordWrap/>
        <w:overflowPunct/>
        <w:topLinePunct w:val="0"/>
        <w:bidi w:val="0"/>
        <w:spacing w:line="576" w:lineRule="exact"/>
        <w:ind w:firstLine="640" w:firstLineChars="200"/>
        <w:rPr>
          <w:rFonts w:ascii="仿宋_GB2312" w:eastAsia="仿宋_GB2312"/>
          <w:sz w:val="32"/>
          <w:szCs w:val="32"/>
        </w:rPr>
      </w:pPr>
      <w:r>
        <w:rPr>
          <w:rFonts w:hint="eastAsia" w:ascii="仿宋_GB2312" w:eastAsia="仿宋_GB2312"/>
          <w:sz w:val="32"/>
          <w:szCs w:val="32"/>
          <w:lang w:val="en-US" w:eastAsia="zh-CN"/>
        </w:rPr>
        <w:t>4</w:t>
      </w:r>
      <w:r>
        <w:rPr>
          <w:rFonts w:ascii="仿宋_GB2312" w:eastAsia="仿宋_GB2312"/>
          <w:sz w:val="32"/>
          <w:szCs w:val="32"/>
        </w:rPr>
        <w:t>.</w:t>
      </w:r>
      <w:r>
        <w:rPr>
          <w:rFonts w:hint="eastAsia" w:ascii="仿宋_GB2312" w:eastAsia="仿宋_GB2312"/>
          <w:sz w:val="32"/>
          <w:szCs w:val="32"/>
        </w:rPr>
        <w:t>结余分配：指事业单位按照事业单位会计制度的规定从非财政补助结余中分配的事业基金和职工福利基金等。</w:t>
      </w:r>
    </w:p>
    <w:p w14:paraId="6D5D8D3A">
      <w:pPr>
        <w:pStyle w:val="27"/>
        <w:pageBreakBefore w:val="0"/>
        <w:kinsoku/>
        <w:wordWrap/>
        <w:overflowPunct/>
        <w:topLinePunct w:val="0"/>
        <w:bidi w:val="0"/>
        <w:spacing w:line="576" w:lineRule="exact"/>
        <w:ind w:firstLine="640" w:firstLineChars="200"/>
        <w:rPr>
          <w:rFonts w:ascii="仿宋_GB2312" w:eastAsia="仿宋_GB2312"/>
          <w:sz w:val="32"/>
          <w:szCs w:val="32"/>
        </w:rPr>
      </w:pPr>
      <w:r>
        <w:rPr>
          <w:rFonts w:hint="eastAsia" w:ascii="仿宋_GB2312" w:eastAsia="仿宋_GB2312"/>
          <w:sz w:val="32"/>
          <w:szCs w:val="32"/>
          <w:lang w:val="en-US" w:eastAsia="zh-CN"/>
        </w:rPr>
        <w:t>5</w:t>
      </w:r>
      <w:r>
        <w:rPr>
          <w:rFonts w:hint="eastAsia" w:ascii="仿宋_GB2312" w:eastAsia="仿宋_GB2312"/>
          <w:sz w:val="32"/>
          <w:szCs w:val="32"/>
        </w:rPr>
        <w:t>、年末结转和结余：指单位按有关规定结转到下年或以后年度继续使用的资金。</w:t>
      </w:r>
    </w:p>
    <w:p w14:paraId="5E5BE5C4">
      <w:pPr>
        <w:pageBreakBefore w:val="0"/>
        <w:kinsoku/>
        <w:wordWrap/>
        <w:overflowPunct/>
        <w:topLinePunct w:val="0"/>
        <w:bidi w:val="0"/>
        <w:spacing w:line="576" w:lineRule="exact"/>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6</w:t>
      </w:r>
      <w:r>
        <w:rPr>
          <w:rFonts w:ascii="仿宋_GB2312" w:eastAsia="仿宋_GB2312"/>
          <w:color w:val="000000"/>
          <w:sz w:val="32"/>
          <w:szCs w:val="32"/>
        </w:rPr>
        <w:t>.</w:t>
      </w:r>
      <w:r>
        <w:rPr>
          <w:rFonts w:hint="eastAsia" w:ascii="仿宋_GB2312" w:eastAsia="仿宋_GB2312"/>
          <w:color w:val="000000"/>
          <w:sz w:val="32"/>
          <w:szCs w:val="32"/>
        </w:rPr>
        <w:t>一般公共服务（类）专项统计业务、专项普查活动：指</w:t>
      </w:r>
      <w:r>
        <w:rPr>
          <w:rFonts w:hint="eastAsia" w:ascii="仿宋_GB2312" w:eastAsia="仿宋_GB2312"/>
          <w:color w:val="000000"/>
          <w:sz w:val="32"/>
          <w:szCs w:val="32"/>
          <w:lang w:val="en-US" w:eastAsia="zh-CN"/>
        </w:rPr>
        <w:t>统计局为完成各类调查活动而产生的统计业务费及调查费用</w:t>
      </w:r>
      <w:r>
        <w:rPr>
          <w:rFonts w:hint="eastAsia" w:ascii="仿宋_GB2312" w:eastAsia="仿宋_GB2312"/>
          <w:color w:val="000000"/>
          <w:sz w:val="32"/>
          <w:szCs w:val="32"/>
        </w:rPr>
        <w:t>。</w:t>
      </w:r>
    </w:p>
    <w:p w14:paraId="680D3A66">
      <w:pPr>
        <w:pageBreakBefore w:val="0"/>
        <w:kinsoku/>
        <w:wordWrap/>
        <w:overflowPunct/>
        <w:topLinePunct w:val="0"/>
        <w:bidi w:val="0"/>
        <w:spacing w:line="576" w:lineRule="exact"/>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7</w:t>
      </w:r>
      <w:r>
        <w:rPr>
          <w:rFonts w:ascii="仿宋_GB2312" w:eastAsia="仿宋_GB2312"/>
          <w:color w:val="000000"/>
          <w:sz w:val="32"/>
          <w:szCs w:val="32"/>
        </w:rPr>
        <w:t>.</w:t>
      </w:r>
      <w:r>
        <w:rPr>
          <w:rFonts w:hint="eastAsia" w:ascii="仿宋_GB2312" w:eastAsia="仿宋_GB2312"/>
          <w:color w:val="000000"/>
          <w:sz w:val="32"/>
          <w:szCs w:val="32"/>
        </w:rPr>
        <w:t>基本支出：指为保障机构正常运转、完成日常工作任务而发生的人员支出和公用支出。</w:t>
      </w:r>
    </w:p>
    <w:p w14:paraId="165DDC0A">
      <w:pPr>
        <w:pageBreakBefore w:val="0"/>
        <w:kinsoku/>
        <w:wordWrap/>
        <w:overflowPunct/>
        <w:topLinePunct w:val="0"/>
        <w:bidi w:val="0"/>
        <w:spacing w:line="576" w:lineRule="exact"/>
        <w:ind w:firstLine="640" w:firstLineChars="200"/>
        <w:rPr>
          <w:rFonts w:hint="eastAsia" w:ascii="仿宋_GB2312" w:eastAsia="仿宋_GB2312"/>
          <w:color w:val="000000"/>
          <w:sz w:val="32"/>
          <w:szCs w:val="32"/>
          <w:lang w:eastAsia="zh-CN"/>
        </w:rPr>
      </w:pPr>
      <w:r>
        <w:rPr>
          <w:rFonts w:hint="eastAsia" w:ascii="仿宋_GB2312" w:eastAsia="仿宋_GB2312"/>
          <w:color w:val="000000"/>
          <w:sz w:val="32"/>
          <w:szCs w:val="32"/>
          <w:lang w:val="en-US" w:eastAsia="zh-CN"/>
        </w:rPr>
        <w:t>8</w:t>
      </w:r>
      <w:r>
        <w:rPr>
          <w:rFonts w:ascii="仿宋_GB2312" w:eastAsia="仿宋_GB2312"/>
          <w:color w:val="000000"/>
          <w:sz w:val="32"/>
          <w:szCs w:val="32"/>
        </w:rPr>
        <w:t>.</w:t>
      </w:r>
      <w:r>
        <w:rPr>
          <w:rFonts w:hint="eastAsia" w:ascii="仿宋_GB2312" w:eastAsia="仿宋_GB2312"/>
          <w:color w:val="000000"/>
          <w:sz w:val="32"/>
          <w:szCs w:val="32"/>
        </w:rPr>
        <w:t>项目支出：指在基本支出之外为完成特定行政任务和事业发展目标所发生的支出。</w:t>
      </w:r>
    </w:p>
    <w:p w14:paraId="3475014C">
      <w:pPr>
        <w:pageBreakBefore w:val="0"/>
        <w:kinsoku/>
        <w:wordWrap/>
        <w:overflowPunct/>
        <w:topLinePunct w:val="0"/>
        <w:bidi w:val="0"/>
        <w:spacing w:line="576" w:lineRule="exact"/>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9</w:t>
      </w:r>
      <w:r>
        <w:rPr>
          <w:rFonts w:ascii="仿宋_GB2312" w:eastAsia="仿宋_GB2312"/>
          <w:color w:val="000000"/>
          <w:sz w:val="32"/>
          <w:szCs w:val="32"/>
        </w:rPr>
        <w:t>.</w:t>
      </w:r>
      <w:r>
        <w:rPr>
          <w:rFonts w:hint="eastAsia" w:ascii="仿宋_GB2312" w:eastAsia="仿宋_GB2312"/>
          <w:color w:val="000000"/>
          <w:sz w:val="32"/>
          <w:szCs w:val="32"/>
        </w:rPr>
        <w:t>经营支出：指事业单位在专业业务活动及其辅助活动之外开展非独立核算经营活动发生的支出。</w:t>
      </w:r>
    </w:p>
    <w:p w14:paraId="32723DF6">
      <w:pPr>
        <w:pStyle w:val="27"/>
        <w:pageBreakBefore w:val="0"/>
        <w:kinsoku/>
        <w:wordWrap/>
        <w:overflowPunct/>
        <w:topLinePunct w:val="0"/>
        <w:bidi w:val="0"/>
        <w:spacing w:line="576" w:lineRule="exact"/>
        <w:ind w:firstLine="640" w:firstLineChars="200"/>
        <w:rPr>
          <w:rFonts w:ascii="仿宋_GB2312" w:eastAsia="仿宋_GB2312"/>
          <w:sz w:val="32"/>
          <w:szCs w:val="32"/>
        </w:rPr>
      </w:pPr>
      <w:r>
        <w:rPr>
          <w:rFonts w:hint="eastAsia" w:ascii="仿宋_GB2312" w:eastAsia="仿宋_GB2312"/>
          <w:sz w:val="32"/>
          <w:szCs w:val="32"/>
          <w:lang w:val="en-US" w:eastAsia="zh-CN"/>
        </w:rPr>
        <w:t>10</w:t>
      </w:r>
      <w:r>
        <w:rPr>
          <w:rFonts w:ascii="仿宋_GB2312" w:eastAsia="仿宋_GB2312"/>
          <w:sz w:val="32"/>
          <w:szCs w:val="32"/>
        </w:rPr>
        <w:t>.</w:t>
      </w:r>
      <w:r>
        <w:rPr>
          <w:rFonts w:hint="eastAsia" w:ascii="仿宋_GB2312" w:eastAsia="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F1D92FA">
      <w:pPr>
        <w:pStyle w:val="27"/>
        <w:pageBreakBefore w:val="0"/>
        <w:kinsoku/>
        <w:wordWrap/>
        <w:overflowPunct/>
        <w:topLinePunct w:val="0"/>
        <w:bidi w:val="0"/>
        <w:spacing w:line="576" w:lineRule="exact"/>
        <w:ind w:firstLine="640" w:firstLineChars="200"/>
        <w:rPr>
          <w:rFonts w:ascii="仿宋_GB2312" w:eastAsia="仿宋_GB2312" w:cs="黑体"/>
          <w:sz w:val="32"/>
          <w:szCs w:val="32"/>
        </w:rPr>
      </w:pPr>
      <w:r>
        <w:rPr>
          <w:rFonts w:hint="eastAsia" w:ascii="仿宋_GB2312" w:eastAsia="仿宋_GB2312"/>
          <w:sz w:val="32"/>
          <w:szCs w:val="32"/>
          <w:lang w:val="en-US" w:eastAsia="zh-CN"/>
        </w:rPr>
        <w:t>11</w:t>
      </w:r>
      <w:r>
        <w:rPr>
          <w:rFonts w:ascii="仿宋_GB2312" w:eastAsia="仿宋_GB2312"/>
          <w:sz w:val="32"/>
          <w:szCs w:val="32"/>
        </w:rPr>
        <w:t>.</w:t>
      </w:r>
      <w:r>
        <w:rPr>
          <w:rFonts w:hint="eastAsia" w:ascii="仿宋_GB2312"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372C98F">
      <w:pPr>
        <w:pageBreakBefore w:val="0"/>
        <w:kinsoku/>
        <w:wordWrap/>
        <w:overflowPunct/>
        <w:topLinePunct w:val="0"/>
        <w:bidi w:val="0"/>
        <w:spacing w:line="576" w:lineRule="exact"/>
        <w:ind w:firstLine="643" w:firstLineChars="200"/>
        <w:rPr>
          <w:rFonts w:ascii="仿宋" w:hAnsi="仿宋" w:eastAsia="仿宋"/>
          <w:b/>
          <w:color w:val="000000"/>
          <w:sz w:val="32"/>
          <w:szCs w:val="32"/>
        </w:rPr>
      </w:pPr>
      <w:bookmarkStart w:id="55" w:name="_Toc15377226"/>
      <w:r>
        <w:rPr>
          <w:rFonts w:hint="eastAsia" w:ascii="仿宋" w:hAnsi="仿宋" w:eastAsia="仿宋"/>
          <w:b/>
          <w:color w:val="000000"/>
          <w:sz w:val="32"/>
          <w:szCs w:val="32"/>
        </w:rPr>
        <w:t>（名词解释部分请根据各部门实际列支情况罗列，并根据本部门职责职能增减名词解释内容。）</w:t>
      </w:r>
    </w:p>
    <w:p w14:paraId="4F0547D5">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center"/>
        <w:textAlignment w:val="auto"/>
        <w:outlineLvl w:val="0"/>
        <w:rPr>
          <w:rStyle w:val="29"/>
          <w:rFonts w:ascii="黑体" w:hAnsi="黑体" w:eastAsia="黑体"/>
          <w:b w:val="0"/>
        </w:rPr>
      </w:pPr>
      <w:r>
        <w:rPr>
          <w:rFonts w:ascii="仿宋_GB2312" w:hAnsi="Calibri" w:eastAsia="仿宋_GB2312" w:cs="仿宋"/>
          <w:color w:val="000000"/>
          <w:kern w:val="0"/>
          <w:sz w:val="32"/>
          <w:szCs w:val="32"/>
          <w:lang w:val="en-US" w:eastAsia="zh-CN" w:bidi="ar-SA"/>
        </w:rPr>
        <w:br w:type="page"/>
      </w:r>
      <w:bookmarkStart w:id="56" w:name="_Toc15396614"/>
      <w:r>
        <w:rPr>
          <w:rFonts w:hint="eastAsia" w:ascii="黑体" w:hAnsi="黑体" w:eastAsia="黑体"/>
          <w:color w:val="000000"/>
          <w:sz w:val="44"/>
          <w:szCs w:val="44"/>
        </w:rPr>
        <w:t>第</w:t>
      </w:r>
      <w:r>
        <w:rPr>
          <w:rStyle w:val="29"/>
          <w:rFonts w:hint="eastAsia" w:ascii="黑体" w:hAnsi="黑体" w:eastAsia="黑体"/>
          <w:b w:val="0"/>
        </w:rPr>
        <w:t>四部分附件</w:t>
      </w:r>
      <w:bookmarkEnd w:id="56"/>
    </w:p>
    <w:p w14:paraId="4320DAF9">
      <w:pPr>
        <w:pageBreakBefore w:val="0"/>
        <w:kinsoku/>
        <w:wordWrap/>
        <w:overflowPunct/>
        <w:topLinePunct w:val="0"/>
        <w:bidi w:val="0"/>
        <w:spacing w:line="576" w:lineRule="exact"/>
        <w:jc w:val="left"/>
        <w:outlineLvl w:val="0"/>
        <w:rPr>
          <w:rFonts w:hint="eastAsia" w:ascii="宋体" w:hAnsi="宋体" w:eastAsia="宋体"/>
          <w:b/>
          <w:sz w:val="44"/>
          <w:szCs w:val="44"/>
          <w:shd w:val="clear" w:color="auto" w:fill="FFFFFF"/>
        </w:rPr>
      </w:pPr>
      <w:r>
        <w:rPr>
          <w:rFonts w:hint="eastAsia" w:ascii="黑体" w:hAnsi="黑体" w:eastAsia="黑体" w:cs="黑体"/>
          <w:sz w:val="32"/>
          <w:szCs w:val="32"/>
        </w:rPr>
        <w:t>附件1</w:t>
      </w:r>
    </w:p>
    <w:p w14:paraId="7B442368">
      <w:pPr>
        <w:keepNext w:val="0"/>
        <w:keepLines w:val="0"/>
        <w:widowControl w:val="0"/>
        <w:suppressLineNumbers w:val="0"/>
        <w:autoSpaceDE w:val="0"/>
        <w:autoSpaceDN/>
        <w:spacing w:before="0" w:beforeAutospacing="0" w:after="0" w:afterAutospacing="0" w:line="576" w:lineRule="exact"/>
        <w:ind w:left="0" w:right="0"/>
        <w:contextualSpacing/>
        <w:jc w:val="center"/>
        <w:rPr>
          <w:rFonts w:hint="eastAsia" w:ascii="方正小标宋简体" w:hAnsi="方正小标宋简体" w:eastAsia="方正小标宋简体" w:cs="方正小标宋简体"/>
          <w:b/>
          <w:bCs w:val="0"/>
          <w:kern w:val="2"/>
          <w:sz w:val="44"/>
          <w:szCs w:val="44"/>
          <w:shd w:val="clear" w:fill="FFFFFF"/>
        </w:rPr>
      </w:pPr>
      <w:r>
        <w:rPr>
          <w:rFonts w:hint="eastAsia" w:ascii="方正小标宋简体" w:hAnsi="方正小标宋简体" w:eastAsia="方正小标宋简体" w:cs="方正小标宋简体"/>
          <w:b/>
          <w:bCs w:val="0"/>
          <w:kern w:val="2"/>
          <w:sz w:val="44"/>
          <w:szCs w:val="44"/>
          <w:shd w:val="clear" w:fill="FFFFFF"/>
          <w:lang w:val="en-US" w:eastAsia="zh-CN" w:bidi="ar"/>
        </w:rPr>
        <w:t>小金县统计局</w:t>
      </w:r>
    </w:p>
    <w:p w14:paraId="6AD80A19">
      <w:pPr>
        <w:keepNext w:val="0"/>
        <w:keepLines w:val="0"/>
        <w:widowControl/>
        <w:suppressLineNumbers w:val="0"/>
        <w:autoSpaceDE w:val="0"/>
        <w:autoSpaceDN/>
        <w:spacing w:before="0" w:beforeAutospacing="0" w:after="0" w:afterAutospacing="0" w:line="578" w:lineRule="exact"/>
        <w:ind w:left="0" w:right="0"/>
        <w:contextualSpacing/>
        <w:jc w:val="center"/>
        <w:rPr>
          <w:rFonts w:hint="default" w:ascii="Times New Roman" w:hAnsi="Times New Roman" w:eastAsia="方正小标宋简体" w:cs="Times New Roman"/>
          <w:b w:val="0"/>
          <w:bCs/>
          <w:kern w:val="2"/>
          <w:sz w:val="44"/>
          <w:szCs w:val="44"/>
          <w:shd w:val="clear" w:fill="FFFFFF"/>
        </w:rPr>
      </w:pPr>
      <w:r>
        <w:rPr>
          <w:rFonts w:hint="eastAsia" w:ascii="方正小标宋简体" w:hAnsi="方正小标宋简体" w:eastAsia="方正小标宋简体" w:cs="方正小标宋简体"/>
          <w:b/>
          <w:bCs w:val="0"/>
          <w:kern w:val="2"/>
          <w:sz w:val="44"/>
          <w:szCs w:val="44"/>
          <w:shd w:val="clear" w:fill="FFFFFF"/>
          <w:lang w:val="en-US" w:eastAsia="zh-CN" w:bidi="ar"/>
        </w:rPr>
        <w:t>2025年部门整体支出绩效评价报告</w:t>
      </w:r>
    </w:p>
    <w:p w14:paraId="6F9BA25A">
      <w:pPr>
        <w:keepNext w:val="0"/>
        <w:keepLines w:val="0"/>
        <w:widowControl/>
        <w:suppressLineNumbers w:val="0"/>
        <w:autoSpaceDE w:val="0"/>
        <w:autoSpaceDN/>
        <w:adjustRightInd w:val="0"/>
        <w:snapToGrid w:val="0"/>
        <w:spacing w:before="0" w:beforeAutospacing="0" w:after="0" w:afterAutospacing="0" w:line="578" w:lineRule="exact"/>
        <w:ind w:left="0" w:right="0" w:firstLine="480" w:firstLineChars="200"/>
        <w:contextualSpacing/>
        <w:jc w:val="left"/>
        <w:rPr>
          <w:rFonts w:hint="default" w:ascii="Times New Roman" w:hAnsi="Times New Roman" w:eastAsia="黑体" w:cs="Times New Roman"/>
          <w:color w:val="000000"/>
          <w:kern w:val="0"/>
          <w:sz w:val="24"/>
          <w:szCs w:val="24"/>
          <w:shd w:val="clear" w:fill="FFFFFF"/>
        </w:rPr>
      </w:pPr>
      <w:r>
        <w:rPr>
          <w:rFonts w:hint="default" w:ascii="Times New Roman" w:hAnsi="Times New Roman" w:eastAsia="黑体" w:cs="Times New Roman"/>
          <w:color w:val="000000"/>
          <w:kern w:val="0"/>
          <w:sz w:val="24"/>
          <w:szCs w:val="24"/>
          <w:shd w:val="clear" w:fill="FFFFFF"/>
          <w:lang w:val="en-US" w:eastAsia="zh-CN" w:bidi="ar"/>
        </w:rPr>
        <w:t xml:space="preserve"> </w:t>
      </w:r>
    </w:p>
    <w:p w14:paraId="14EF1045">
      <w:pPr>
        <w:keepNext w:val="0"/>
        <w:keepLines w:val="0"/>
        <w:widowControl/>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default" w:ascii="Times New Roman" w:hAnsi="Times New Roman" w:eastAsia="仿宋_GB2312" w:cs="Times New Roman"/>
          <w:kern w:val="2"/>
          <w:sz w:val="32"/>
          <w:szCs w:val="32"/>
        </w:rPr>
      </w:pPr>
      <w:r>
        <w:rPr>
          <w:rFonts w:hint="eastAsia" w:ascii="黑体" w:hAnsi="宋体" w:eastAsia="黑体" w:cs="黑体"/>
          <w:color w:val="000000"/>
          <w:kern w:val="0"/>
          <w:sz w:val="32"/>
          <w:szCs w:val="32"/>
          <w:shd w:val="clear" w:fill="FFFFFF"/>
          <w:lang w:val="en-US" w:eastAsia="zh-CN" w:bidi="ar"/>
        </w:rPr>
        <w:t>一、部门（单位）基本情况</w:t>
      </w:r>
    </w:p>
    <w:p w14:paraId="3B115E6B">
      <w:pPr>
        <w:keepNext w:val="0"/>
        <w:keepLines w:val="0"/>
        <w:widowControl w:val="0"/>
        <w:suppressLineNumbers w:val="0"/>
        <w:autoSpaceDE w:val="0"/>
        <w:autoSpaceDN/>
        <w:adjustRightInd w:val="0"/>
        <w:snapToGrid w:val="0"/>
        <w:spacing w:before="0" w:beforeAutospacing="0" w:after="0" w:afterAutospacing="0" w:line="576" w:lineRule="exact"/>
        <w:ind w:left="0" w:right="0" w:firstLine="643" w:firstLineChars="200"/>
        <w:contextualSpacing/>
        <w:jc w:val="left"/>
        <w:rPr>
          <w:rFonts w:hint="eastAsia" w:ascii="楷体_GB2312" w:eastAsia="楷体_GB2312" w:cs="楷体_GB2312"/>
          <w:b/>
          <w:bCs/>
          <w:color w:val="000000"/>
          <w:kern w:val="0"/>
          <w:sz w:val="32"/>
          <w:szCs w:val="32"/>
          <w:shd w:val="clear" w:fill="FFFFFF"/>
        </w:rPr>
      </w:pPr>
      <w:r>
        <w:rPr>
          <w:rFonts w:hint="eastAsia" w:ascii="楷体_GB2312" w:hAnsi="Times New Roman" w:eastAsia="楷体_GB2312" w:cs="楷体_GB2312"/>
          <w:b/>
          <w:bCs/>
          <w:color w:val="000000"/>
          <w:kern w:val="0"/>
          <w:sz w:val="32"/>
          <w:szCs w:val="32"/>
          <w:shd w:val="clear" w:fill="FFFFFF"/>
          <w:lang w:val="en-US" w:eastAsia="zh-CN" w:bidi="ar"/>
        </w:rPr>
        <w:t>（一）机构组成。</w:t>
      </w:r>
    </w:p>
    <w:p w14:paraId="06B55B6B">
      <w:pPr>
        <w:keepNext w:val="0"/>
        <w:keepLines w:val="0"/>
        <w:widowControl w:val="0"/>
        <w:suppressLineNumbers w:val="0"/>
        <w:autoSpaceDE w:val="0"/>
        <w:autoSpaceDN/>
        <w:adjustRightInd w:val="0"/>
        <w:snapToGrid w:val="0"/>
        <w:spacing w:before="0" w:beforeAutospacing="0" w:after="0" w:afterAutospacing="0" w:line="576" w:lineRule="exact"/>
        <w:ind w:left="0" w:right="0" w:firstLine="640" w:firstLineChars="200"/>
        <w:contextualSpacing/>
        <w:jc w:val="left"/>
        <w:rPr>
          <w:rFonts w:hint="eastAsia" w:ascii="仿宋_GB2312" w:hAnsi="宋体" w:eastAsia="仿宋_GB2312" w:cs="宋体"/>
          <w:color w:val="000000"/>
          <w:kern w:val="0"/>
          <w:sz w:val="32"/>
          <w:szCs w:val="32"/>
          <w:shd w:val="clear" w:fill="FFFFFF"/>
        </w:rPr>
      </w:pPr>
      <w:r>
        <w:rPr>
          <w:rFonts w:hint="eastAsia" w:ascii="仿宋_GB2312" w:hAnsi="宋体" w:eastAsia="仿宋_GB2312" w:cs="宋体"/>
          <w:color w:val="000000"/>
          <w:kern w:val="0"/>
          <w:sz w:val="32"/>
          <w:szCs w:val="32"/>
          <w:shd w:val="clear" w:fill="FFFFFF"/>
          <w:lang w:val="en-US" w:eastAsia="zh-CN" w:bidi="ar"/>
        </w:rPr>
        <w:t xml:space="preserve"> </w:t>
      </w:r>
      <w:r>
        <w:rPr>
          <w:rFonts w:hint="eastAsia" w:ascii="仿宋_GB2312" w:hAnsi="宋体" w:eastAsia="仿宋_GB2312" w:cs="仿宋_GB2312"/>
          <w:color w:val="000000"/>
          <w:kern w:val="0"/>
          <w:sz w:val="32"/>
          <w:szCs w:val="32"/>
          <w:shd w:val="clear" w:fill="FFFFFF"/>
          <w:lang w:val="en-US" w:eastAsia="zh-CN" w:bidi="ar"/>
        </w:rPr>
        <w:t>小金县统计局是县人民政府的组成部门,执行行政单位会计制度。</w:t>
      </w:r>
    </w:p>
    <w:p w14:paraId="7B9A1223">
      <w:pPr>
        <w:keepNext w:val="0"/>
        <w:keepLines w:val="0"/>
        <w:widowControl w:val="0"/>
        <w:suppressLineNumbers w:val="0"/>
        <w:autoSpaceDE w:val="0"/>
        <w:autoSpaceDN/>
        <w:adjustRightInd w:val="0"/>
        <w:snapToGrid w:val="0"/>
        <w:spacing w:before="0" w:beforeAutospacing="0" w:after="0" w:afterAutospacing="0" w:line="576" w:lineRule="exact"/>
        <w:ind w:left="0" w:right="0" w:firstLine="643" w:firstLineChars="200"/>
        <w:contextualSpacing/>
        <w:jc w:val="left"/>
        <w:rPr>
          <w:rFonts w:hint="eastAsia" w:ascii="楷体_GB2312" w:eastAsia="楷体_GB2312" w:cs="楷体_GB2312"/>
          <w:b/>
          <w:bCs/>
          <w:color w:val="000000"/>
          <w:kern w:val="0"/>
          <w:sz w:val="32"/>
          <w:szCs w:val="32"/>
          <w:shd w:val="clear" w:fill="FFFFFF"/>
        </w:rPr>
      </w:pPr>
      <w:r>
        <w:rPr>
          <w:rFonts w:hint="eastAsia" w:ascii="楷体_GB2312" w:hAnsi="Times New Roman" w:eastAsia="楷体_GB2312" w:cs="楷体_GB2312"/>
          <w:b/>
          <w:bCs/>
          <w:color w:val="000000"/>
          <w:kern w:val="0"/>
          <w:sz w:val="32"/>
          <w:szCs w:val="32"/>
          <w:shd w:val="clear" w:fill="FFFFFF"/>
          <w:lang w:val="en-US" w:eastAsia="zh-CN" w:bidi="ar"/>
        </w:rPr>
        <w:t>（二）机构职能。</w:t>
      </w:r>
    </w:p>
    <w:p w14:paraId="619D1DF0">
      <w:pPr>
        <w:keepNext w:val="0"/>
        <w:keepLines w:val="0"/>
        <w:widowControl w:val="0"/>
        <w:suppressLineNumbers w:val="0"/>
        <w:snapToGrid w:val="0"/>
        <w:spacing w:before="0" w:beforeAutospacing="0" w:after="0" w:afterAutospacing="0" w:line="520" w:lineRule="exact"/>
        <w:ind w:left="0" w:right="0" w:firstLine="640" w:firstLineChars="200"/>
        <w:jc w:val="both"/>
        <w:rPr>
          <w:rFonts w:hint="eastAsia" w:ascii="仿宋_GB2312" w:hAnsi="仿宋" w:eastAsia="仿宋_GB2312" w:cs="Times New Roman"/>
          <w:kern w:val="2"/>
          <w:sz w:val="32"/>
          <w:szCs w:val="32"/>
        </w:rPr>
      </w:pPr>
      <w:r>
        <w:rPr>
          <w:rFonts w:hint="eastAsia" w:ascii="仿宋_GB2312" w:hAnsi="仿宋" w:eastAsia="仿宋_GB2312" w:cs="仿宋_GB2312"/>
          <w:kern w:val="2"/>
          <w:sz w:val="32"/>
          <w:szCs w:val="32"/>
          <w:lang w:val="en-US" w:eastAsia="zh-CN" w:bidi="ar"/>
        </w:rPr>
        <w:t>（1）承担组织领导、协调和指导全县统计工作，确保统计数据真实、准确、及时。贯彻执行国家统计法律法规和规划。</w:t>
      </w:r>
    </w:p>
    <w:p w14:paraId="6A3CF542">
      <w:pPr>
        <w:keepNext w:val="0"/>
        <w:keepLines w:val="0"/>
        <w:widowControl w:val="0"/>
        <w:suppressLineNumbers w:val="0"/>
        <w:snapToGrid w:val="0"/>
        <w:spacing w:before="0" w:beforeAutospacing="0" w:after="0" w:afterAutospacing="0" w:line="520" w:lineRule="exact"/>
        <w:ind w:left="0" w:right="0" w:firstLine="640" w:firstLineChars="200"/>
        <w:jc w:val="both"/>
        <w:rPr>
          <w:rFonts w:hint="eastAsia" w:ascii="仿宋_GB2312" w:hAnsi="仿宋" w:eastAsia="仿宋_GB2312" w:cs="Times New Roman"/>
          <w:kern w:val="2"/>
          <w:sz w:val="32"/>
          <w:szCs w:val="32"/>
        </w:rPr>
      </w:pPr>
      <w:r>
        <w:rPr>
          <w:rFonts w:hint="eastAsia" w:ascii="仿宋_GB2312" w:hAnsi="仿宋" w:eastAsia="仿宋_GB2312" w:cs="仿宋_GB2312"/>
          <w:kern w:val="2"/>
          <w:sz w:val="32"/>
          <w:szCs w:val="32"/>
          <w:lang w:val="en-US" w:eastAsia="zh-CN" w:bidi="ar"/>
        </w:rPr>
        <w:t>（2）建立健全国民经济核算体系。组织实施全县国民经济核算制度和投入产出调查，核算全县国内生产总值。</w:t>
      </w:r>
    </w:p>
    <w:p w14:paraId="6926464D">
      <w:pPr>
        <w:keepNext w:val="0"/>
        <w:keepLines w:val="0"/>
        <w:widowControl w:val="0"/>
        <w:suppressLineNumbers w:val="0"/>
        <w:snapToGrid w:val="0"/>
        <w:spacing w:before="0" w:beforeAutospacing="0" w:after="0" w:afterAutospacing="0" w:line="520" w:lineRule="exact"/>
        <w:ind w:left="0" w:right="0" w:firstLine="640" w:firstLineChars="200"/>
        <w:jc w:val="both"/>
        <w:rPr>
          <w:rFonts w:hint="eastAsia" w:ascii="仿宋_GB2312" w:hAnsi="仿宋" w:eastAsia="仿宋_GB2312" w:cs="Times New Roman"/>
          <w:kern w:val="2"/>
          <w:sz w:val="32"/>
          <w:szCs w:val="32"/>
        </w:rPr>
      </w:pPr>
      <w:r>
        <w:rPr>
          <w:rFonts w:hint="eastAsia" w:ascii="仿宋_GB2312" w:hAnsi="仿宋" w:eastAsia="仿宋_GB2312" w:cs="仿宋_GB2312"/>
          <w:kern w:val="2"/>
          <w:sz w:val="32"/>
          <w:szCs w:val="32"/>
          <w:lang w:val="en-US" w:eastAsia="zh-CN" w:bidi="ar"/>
        </w:rPr>
        <w:t>（3）组织开展普查。牵头组织人口、经济和农业等重大国情国力普查和大型调查。汇总、整理和提供县情县力方面的统计数据。</w:t>
      </w:r>
    </w:p>
    <w:p w14:paraId="621D26E4">
      <w:pPr>
        <w:keepNext w:val="0"/>
        <w:keepLines w:val="0"/>
        <w:widowControl w:val="0"/>
        <w:suppressLineNumbers w:val="0"/>
        <w:snapToGrid w:val="0"/>
        <w:spacing w:before="0" w:beforeAutospacing="0" w:after="0" w:afterAutospacing="0" w:line="520" w:lineRule="exact"/>
        <w:ind w:left="0" w:right="0" w:firstLine="640" w:firstLineChars="200"/>
        <w:jc w:val="both"/>
        <w:rPr>
          <w:rFonts w:hint="eastAsia" w:ascii="仿宋_GB2312" w:hAnsi="仿宋" w:eastAsia="仿宋_GB2312" w:cs="Times New Roman"/>
          <w:kern w:val="2"/>
          <w:sz w:val="32"/>
          <w:szCs w:val="32"/>
        </w:rPr>
      </w:pPr>
      <w:r>
        <w:rPr>
          <w:rFonts w:hint="eastAsia" w:ascii="仿宋_GB2312" w:hAnsi="仿宋" w:eastAsia="仿宋_GB2312" w:cs="仿宋_GB2312"/>
          <w:kern w:val="2"/>
          <w:sz w:val="32"/>
          <w:szCs w:val="32"/>
          <w:lang w:val="en-US" w:eastAsia="zh-CN" w:bidi="ar"/>
        </w:rPr>
        <w:t>（4）组织实施统计调查制度。组织实施全县第一、二、三产业以及能源、环境、投资、科技、社会、人口、劳动和就业、消费等统计调查。</w:t>
      </w:r>
    </w:p>
    <w:p w14:paraId="7C39E826">
      <w:pPr>
        <w:keepNext w:val="0"/>
        <w:keepLines w:val="0"/>
        <w:widowControl w:val="0"/>
        <w:suppressLineNumbers w:val="0"/>
        <w:snapToGrid w:val="0"/>
        <w:spacing w:before="0" w:beforeAutospacing="0" w:after="0" w:afterAutospacing="0" w:line="520" w:lineRule="exact"/>
        <w:ind w:left="0" w:right="0" w:firstLine="640" w:firstLineChars="200"/>
        <w:jc w:val="both"/>
        <w:rPr>
          <w:rFonts w:hint="eastAsia" w:ascii="仿宋_GB2312" w:hAnsi="仿宋" w:eastAsia="仿宋_GB2312" w:cs="Times New Roman"/>
          <w:kern w:val="2"/>
          <w:sz w:val="32"/>
          <w:szCs w:val="32"/>
        </w:rPr>
      </w:pPr>
      <w:r>
        <w:rPr>
          <w:rFonts w:hint="eastAsia" w:ascii="仿宋_GB2312" w:hAnsi="仿宋" w:eastAsia="仿宋_GB2312" w:cs="仿宋_GB2312"/>
          <w:kern w:val="2"/>
          <w:sz w:val="32"/>
          <w:szCs w:val="32"/>
          <w:lang w:val="en-US" w:eastAsia="zh-CN" w:bidi="ar"/>
        </w:rPr>
        <w:t>（5）执行国家统计标准。依法审批统计调查项目。指导专业统计基础工作、统计基层业务基础建设。依法监督管理涉外和民间调查活动。</w:t>
      </w:r>
    </w:p>
    <w:p w14:paraId="741FAD97">
      <w:pPr>
        <w:keepNext w:val="0"/>
        <w:keepLines w:val="0"/>
        <w:widowControl w:val="0"/>
        <w:suppressLineNumbers w:val="0"/>
        <w:snapToGrid w:val="0"/>
        <w:spacing w:before="0" w:beforeAutospacing="0" w:after="0" w:afterAutospacing="0" w:line="520" w:lineRule="exact"/>
        <w:ind w:left="0" w:right="0" w:firstLine="640" w:firstLineChars="200"/>
        <w:jc w:val="both"/>
        <w:rPr>
          <w:rFonts w:hint="eastAsia" w:ascii="仿宋_GB2312" w:hAnsi="仿宋" w:eastAsia="仿宋_GB2312" w:cs="Times New Roman"/>
          <w:kern w:val="2"/>
          <w:sz w:val="32"/>
          <w:szCs w:val="32"/>
        </w:rPr>
      </w:pPr>
      <w:r>
        <w:rPr>
          <w:rFonts w:hint="eastAsia" w:ascii="仿宋_GB2312" w:hAnsi="仿宋" w:eastAsia="仿宋_GB2312" w:cs="仿宋_GB2312"/>
          <w:kern w:val="2"/>
          <w:sz w:val="32"/>
          <w:szCs w:val="32"/>
          <w:lang w:val="en-US" w:eastAsia="zh-CN" w:bidi="ar"/>
        </w:rPr>
        <w:t>（6）统一核定、管理、公布全县性基本统计资料，定期发布全县国民经济和社会发展情况的统计信息，组织建立统计信息共享制度和发布制度。</w:t>
      </w:r>
    </w:p>
    <w:p w14:paraId="60034EB7">
      <w:pPr>
        <w:keepNext w:val="0"/>
        <w:keepLines w:val="0"/>
        <w:widowControl w:val="0"/>
        <w:suppressLineNumbers w:val="0"/>
        <w:snapToGrid w:val="0"/>
        <w:spacing w:before="0" w:beforeAutospacing="0" w:after="0" w:afterAutospacing="0" w:line="520" w:lineRule="exact"/>
        <w:ind w:left="0" w:right="0" w:firstLine="640" w:firstLineChars="200"/>
        <w:jc w:val="both"/>
        <w:rPr>
          <w:rFonts w:hint="eastAsia" w:ascii="仿宋_GB2312" w:hAnsi="仿宋" w:eastAsia="仿宋_GB2312" w:cs="Times New Roman"/>
          <w:kern w:val="2"/>
          <w:sz w:val="32"/>
          <w:szCs w:val="32"/>
        </w:rPr>
      </w:pPr>
      <w:r>
        <w:rPr>
          <w:rFonts w:hint="eastAsia" w:ascii="仿宋_GB2312" w:hAnsi="仿宋" w:eastAsia="仿宋_GB2312" w:cs="仿宋_GB2312"/>
          <w:kern w:val="2"/>
          <w:sz w:val="32"/>
          <w:szCs w:val="32"/>
          <w:lang w:val="en-US" w:eastAsia="zh-CN" w:bidi="ar"/>
        </w:rPr>
        <w:t>（7）负责统计监测、统计分析和统计监督。对国民经济、社会发展、科技进步和资源环境等情况进行统计监测、统计分析和统计监督，向县委、县政府及有关部门提供统计信息和咨询建议。开展社会经济发展综合评价和民生民意调查工作。</w:t>
      </w:r>
    </w:p>
    <w:p w14:paraId="1A9AB874">
      <w:pPr>
        <w:keepNext w:val="0"/>
        <w:keepLines w:val="0"/>
        <w:widowControl w:val="0"/>
        <w:suppressLineNumbers w:val="0"/>
        <w:snapToGrid w:val="0"/>
        <w:spacing w:before="0" w:beforeAutospacing="0" w:after="0" w:afterAutospacing="0" w:line="520" w:lineRule="exact"/>
        <w:ind w:left="0" w:right="0" w:firstLine="640" w:firstLineChars="200"/>
        <w:jc w:val="both"/>
        <w:rPr>
          <w:rFonts w:hint="eastAsia" w:ascii="仿宋_GB2312" w:hAnsi="宋体" w:eastAsia="仿宋_GB2312" w:cs="宋体"/>
          <w:color w:val="000000"/>
          <w:kern w:val="0"/>
          <w:sz w:val="32"/>
          <w:szCs w:val="32"/>
          <w:highlight w:val="yellow"/>
          <w:shd w:val="clear" w:fill="FFFFFF"/>
        </w:rPr>
      </w:pPr>
      <w:r>
        <w:rPr>
          <w:rFonts w:hint="eastAsia" w:ascii="仿宋_GB2312" w:hAnsi="仿宋" w:eastAsia="仿宋_GB2312" w:cs="仿宋_GB2312"/>
          <w:kern w:val="2"/>
          <w:sz w:val="32"/>
          <w:szCs w:val="32"/>
          <w:lang w:val="en-US" w:eastAsia="zh-CN" w:bidi="ar"/>
        </w:rPr>
        <w:t>（8）完成县委、县政府交办的其他任务。</w:t>
      </w:r>
    </w:p>
    <w:p w14:paraId="113A34F2">
      <w:pPr>
        <w:keepNext w:val="0"/>
        <w:keepLines w:val="0"/>
        <w:widowControl w:val="0"/>
        <w:suppressLineNumbers w:val="0"/>
        <w:autoSpaceDE w:val="0"/>
        <w:autoSpaceDN/>
        <w:adjustRightInd w:val="0"/>
        <w:snapToGrid w:val="0"/>
        <w:spacing w:before="0" w:beforeAutospacing="0" w:after="0" w:afterAutospacing="0" w:line="576" w:lineRule="exact"/>
        <w:ind w:left="0" w:right="0" w:firstLine="643" w:firstLineChars="200"/>
        <w:contextualSpacing/>
        <w:jc w:val="left"/>
        <w:rPr>
          <w:rFonts w:hint="eastAsia" w:ascii="楷体_GB2312" w:eastAsia="楷体_GB2312" w:cs="楷体_GB2312"/>
          <w:b/>
          <w:bCs/>
          <w:color w:val="000000"/>
          <w:kern w:val="0"/>
          <w:sz w:val="32"/>
          <w:szCs w:val="32"/>
          <w:shd w:val="clear" w:fill="FFFFFF"/>
        </w:rPr>
      </w:pPr>
      <w:r>
        <w:rPr>
          <w:rFonts w:hint="eastAsia" w:ascii="楷体_GB2312" w:hAnsi="Times New Roman" w:eastAsia="楷体_GB2312" w:cs="楷体_GB2312"/>
          <w:b/>
          <w:bCs/>
          <w:color w:val="000000"/>
          <w:kern w:val="0"/>
          <w:sz w:val="32"/>
          <w:szCs w:val="32"/>
          <w:shd w:val="clear" w:fill="FFFFFF"/>
          <w:lang w:val="en-US" w:eastAsia="zh-CN" w:bidi="ar"/>
        </w:rPr>
        <w:t>（三）人员概况。</w:t>
      </w:r>
    </w:p>
    <w:p w14:paraId="6411DF0D">
      <w:pPr>
        <w:keepNext w:val="0"/>
        <w:keepLines w:val="0"/>
        <w:widowControl w:val="0"/>
        <w:suppressLineNumbers w:val="0"/>
        <w:autoSpaceDE w:val="0"/>
        <w:autoSpaceDN/>
        <w:adjustRightInd w:val="0"/>
        <w:snapToGrid w:val="0"/>
        <w:spacing w:before="0" w:beforeAutospacing="0" w:after="0" w:afterAutospacing="0" w:line="576" w:lineRule="exact"/>
        <w:ind w:left="0" w:right="0" w:firstLine="640" w:firstLineChars="200"/>
        <w:contextualSpacing/>
        <w:jc w:val="left"/>
        <w:rPr>
          <w:rFonts w:hint="eastAsia" w:ascii="仿宋_GB2312" w:hAnsi="宋体" w:eastAsia="仿宋_GB2312" w:cs="宋体"/>
          <w:color w:val="000000"/>
          <w:kern w:val="0"/>
          <w:sz w:val="32"/>
          <w:szCs w:val="32"/>
          <w:shd w:val="clear" w:fill="FFFFFF"/>
        </w:rPr>
      </w:pPr>
      <w:r>
        <w:rPr>
          <w:rFonts w:hint="eastAsia" w:ascii="仿宋_GB2312" w:hAnsi="宋体" w:eastAsia="仿宋_GB2312" w:cs="仿宋_GB2312"/>
          <w:color w:val="000000"/>
          <w:kern w:val="0"/>
          <w:sz w:val="32"/>
          <w:szCs w:val="32"/>
          <w:shd w:val="clear" w:fill="FFFFFF"/>
          <w:lang w:val="en-US" w:eastAsia="zh-CN" w:bidi="ar"/>
        </w:rPr>
        <w:t>小金县统计局机关属行政预算单位，核定编制16名，2025年末实有在职工作人员15人，其中公务员6名（行政工勤占1名），参公人员9（参公工勤占1名）。</w:t>
      </w:r>
    </w:p>
    <w:p w14:paraId="1DF5BAF2">
      <w:pPr>
        <w:keepNext w:val="0"/>
        <w:keepLines w:val="0"/>
        <w:widowControl/>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default" w:ascii="Times New Roman" w:hAnsi="Times New Roman" w:eastAsia="黑体" w:cs="Times New Roman"/>
          <w:color w:val="000000"/>
          <w:kern w:val="0"/>
          <w:sz w:val="32"/>
          <w:szCs w:val="32"/>
          <w:shd w:val="clear" w:fill="FFFFFF"/>
        </w:rPr>
      </w:pPr>
      <w:r>
        <w:rPr>
          <w:rFonts w:hint="eastAsia" w:ascii="黑体" w:hAnsi="宋体" w:eastAsia="黑体" w:cs="黑体"/>
          <w:color w:val="000000"/>
          <w:kern w:val="0"/>
          <w:sz w:val="32"/>
          <w:szCs w:val="32"/>
          <w:shd w:val="clear" w:fill="FFFFFF"/>
          <w:lang w:val="en-US" w:eastAsia="zh-CN" w:bidi="ar"/>
        </w:rPr>
        <w:t>二、部门资金收支情况</w:t>
      </w:r>
    </w:p>
    <w:p w14:paraId="2BF8F3AD">
      <w:pPr>
        <w:keepNext w:val="0"/>
        <w:keepLines w:val="0"/>
        <w:widowControl w:val="0"/>
        <w:suppressLineNumbers w:val="0"/>
        <w:autoSpaceDE w:val="0"/>
        <w:autoSpaceDN/>
        <w:adjustRightInd w:val="0"/>
        <w:snapToGrid w:val="0"/>
        <w:spacing w:before="0" w:beforeAutospacing="0" w:after="0" w:afterAutospacing="0" w:line="576" w:lineRule="exact"/>
        <w:ind w:left="0" w:right="0" w:firstLine="643" w:firstLineChars="200"/>
        <w:contextualSpacing/>
        <w:jc w:val="left"/>
        <w:rPr>
          <w:rFonts w:hint="eastAsia" w:ascii="仿宋_GB2312" w:hAnsi="宋体" w:eastAsia="仿宋_GB2312" w:cs="宋体"/>
          <w:color w:val="000000"/>
          <w:kern w:val="0"/>
          <w:sz w:val="32"/>
          <w:szCs w:val="32"/>
          <w:shd w:val="clear" w:fill="FFFFFF"/>
        </w:rPr>
      </w:pPr>
      <w:r>
        <w:rPr>
          <w:rFonts w:hint="eastAsia" w:ascii="楷体_GB2312" w:hAnsi="Times New Roman" w:eastAsia="楷体_GB2312" w:cs="楷体_GB2312"/>
          <w:b/>
          <w:bCs/>
          <w:color w:val="000000"/>
          <w:kern w:val="0"/>
          <w:sz w:val="32"/>
          <w:szCs w:val="32"/>
          <w:shd w:val="clear" w:fill="FFFFFF"/>
          <w:lang w:val="en-US" w:eastAsia="zh-CN" w:bidi="ar"/>
        </w:rPr>
        <w:t>（一）收入情况。</w:t>
      </w:r>
      <w:r>
        <w:rPr>
          <w:rFonts w:hint="eastAsia" w:ascii="仿宋_GB2312" w:hAnsi="宋体" w:eastAsia="仿宋_GB2312" w:cs="仿宋_GB2312"/>
          <w:color w:val="000000"/>
          <w:kern w:val="0"/>
          <w:sz w:val="32"/>
          <w:szCs w:val="32"/>
          <w:shd w:val="clear" w:fill="FFFFFF"/>
          <w:lang w:val="en-US" w:eastAsia="zh-CN" w:bidi="ar"/>
        </w:rPr>
        <w:t>小金县统计局2025年年初预算收入数为259.79万元，收入决算总额为</w:t>
      </w:r>
      <w:r>
        <w:rPr>
          <w:rFonts w:hint="eastAsia" w:ascii="仿宋_GB2312" w:hAnsi="仿宋" w:eastAsia="仿宋_GB2312" w:cs="仿宋_GB2312"/>
          <w:kern w:val="2"/>
          <w:sz w:val="32"/>
          <w:szCs w:val="32"/>
          <w:lang w:val="en-US" w:eastAsia="zh-CN" w:bidi="ar"/>
        </w:rPr>
        <w:t>478.12</w:t>
      </w:r>
      <w:r>
        <w:rPr>
          <w:rFonts w:hint="eastAsia" w:ascii="仿宋_GB2312" w:hAnsi="宋体" w:eastAsia="仿宋_GB2312" w:cs="仿宋_GB2312"/>
          <w:color w:val="000000"/>
          <w:kern w:val="0"/>
          <w:sz w:val="32"/>
          <w:szCs w:val="32"/>
          <w:shd w:val="clear" w:fill="FFFFFF"/>
          <w:lang w:val="en-US" w:eastAsia="zh-CN" w:bidi="ar"/>
        </w:rPr>
        <w:t>万元，其中：当年财政拨款收入</w:t>
      </w:r>
      <w:r>
        <w:rPr>
          <w:rFonts w:hint="eastAsia" w:ascii="仿宋_GB2312" w:hAnsi="仿宋" w:eastAsia="仿宋_GB2312" w:cs="仿宋_GB2312"/>
          <w:kern w:val="2"/>
          <w:sz w:val="32"/>
          <w:szCs w:val="32"/>
          <w:lang w:val="en-US" w:eastAsia="zh-CN" w:bidi="ar"/>
        </w:rPr>
        <w:t>467.07万元</w:t>
      </w:r>
      <w:r>
        <w:rPr>
          <w:rFonts w:hint="eastAsia" w:ascii="仿宋_GB2312" w:hAnsi="宋体" w:eastAsia="仿宋_GB2312" w:cs="仿宋_GB2312"/>
          <w:color w:val="000000"/>
          <w:kern w:val="0"/>
          <w:sz w:val="32"/>
          <w:szCs w:val="32"/>
          <w:shd w:val="clear" w:fill="FFFFFF"/>
          <w:lang w:val="en-US" w:eastAsia="zh-CN" w:bidi="ar"/>
        </w:rPr>
        <w:t>，</w:t>
      </w:r>
      <w:r>
        <w:rPr>
          <w:rFonts w:hint="eastAsia" w:ascii="仿宋_GB2312" w:hAnsi="仿宋" w:eastAsia="仿宋_GB2312" w:cs="仿宋_GB2312"/>
          <w:kern w:val="2"/>
          <w:sz w:val="32"/>
          <w:szCs w:val="32"/>
          <w:lang w:val="en-US" w:eastAsia="zh-CN" w:bidi="ar"/>
        </w:rPr>
        <w:t>其他收入为11万元，</w:t>
      </w:r>
      <w:r>
        <w:rPr>
          <w:rFonts w:hint="eastAsia" w:ascii="仿宋" w:hAnsi="仿宋" w:eastAsia="仿宋"/>
          <w:color w:val="000000"/>
          <w:sz w:val="32"/>
          <w:szCs w:val="32"/>
        </w:rPr>
        <w:t>年初结转和结余</w:t>
      </w:r>
      <w:r>
        <w:rPr>
          <w:rFonts w:hint="eastAsia" w:ascii="仿宋" w:hAnsi="仿宋" w:eastAsia="仿宋"/>
          <w:color w:val="000000"/>
          <w:sz w:val="32"/>
          <w:szCs w:val="32"/>
          <w:lang w:val="en-US" w:eastAsia="zh-CN"/>
        </w:rPr>
        <w:t>0.05</w:t>
      </w:r>
      <w:r>
        <w:rPr>
          <w:rFonts w:hint="eastAsia" w:ascii="仿宋" w:hAnsi="仿宋" w:eastAsia="仿宋"/>
          <w:color w:val="000000"/>
          <w:sz w:val="32"/>
          <w:szCs w:val="32"/>
        </w:rPr>
        <w:t>万元</w:t>
      </w:r>
      <w:r>
        <w:rPr>
          <w:rFonts w:hint="eastAsia" w:ascii="仿宋_GB2312" w:hAnsi="仿宋" w:eastAsia="仿宋_GB2312" w:cs="仿宋_GB2312"/>
          <w:kern w:val="2"/>
          <w:sz w:val="32"/>
          <w:szCs w:val="32"/>
          <w:lang w:val="en-US" w:eastAsia="zh-CN" w:bidi="ar"/>
        </w:rPr>
        <w:t>；</w:t>
      </w:r>
      <w:r>
        <w:rPr>
          <w:rFonts w:hint="eastAsia" w:ascii="仿宋_GB2312" w:hAnsi="宋体" w:eastAsia="仿宋_GB2312" w:cs="仿宋_GB2312"/>
          <w:color w:val="000000"/>
          <w:kern w:val="0"/>
          <w:sz w:val="32"/>
          <w:szCs w:val="32"/>
          <w:shd w:val="clear" w:fill="FFFFFF"/>
          <w:lang w:val="en-US" w:eastAsia="zh-CN" w:bidi="ar"/>
        </w:rPr>
        <w:t>具体财政拨款收入情况如下：</w:t>
      </w:r>
    </w:p>
    <w:p w14:paraId="081111C8">
      <w:pPr>
        <w:keepNext w:val="0"/>
        <w:keepLines w:val="0"/>
        <w:widowControl w:val="0"/>
        <w:suppressLineNumbers w:val="0"/>
        <w:autoSpaceDE w:val="0"/>
        <w:autoSpaceDN/>
        <w:adjustRightInd w:val="0"/>
        <w:snapToGrid w:val="0"/>
        <w:spacing w:before="0" w:beforeAutospacing="0" w:after="0" w:afterAutospacing="0" w:line="576" w:lineRule="exact"/>
        <w:ind w:left="0" w:right="0" w:firstLine="640" w:firstLineChars="200"/>
        <w:contextualSpacing/>
        <w:jc w:val="left"/>
        <w:rPr>
          <w:rFonts w:hint="eastAsia" w:ascii="仿宋_GB2312" w:hAnsi="宋体" w:eastAsia="仿宋_GB2312" w:cs="宋体"/>
          <w:color w:val="000000"/>
          <w:kern w:val="0"/>
          <w:sz w:val="32"/>
          <w:szCs w:val="32"/>
          <w:shd w:val="clear" w:fill="FFFFFF"/>
        </w:rPr>
      </w:pPr>
      <w:r>
        <w:rPr>
          <w:rFonts w:hint="eastAsia" w:ascii="仿宋_GB2312" w:hAnsi="宋体" w:eastAsia="仿宋_GB2312" w:cs="仿宋_GB2312"/>
          <w:color w:val="000000"/>
          <w:kern w:val="0"/>
          <w:sz w:val="32"/>
          <w:szCs w:val="32"/>
          <w:shd w:val="clear" w:fill="FFFFFF"/>
          <w:lang w:val="en-US" w:eastAsia="zh-CN" w:bidi="ar"/>
        </w:rPr>
        <w:t>1、一般公共服务收入：</w:t>
      </w:r>
      <w:r>
        <w:rPr>
          <w:rFonts w:hint="eastAsia" w:ascii="仿宋_GB2312" w:hAnsi="仿宋" w:eastAsia="仿宋_GB2312" w:cs="仿宋_GB2312"/>
          <w:kern w:val="2"/>
          <w:sz w:val="32"/>
          <w:szCs w:val="32"/>
          <w:lang w:val="en-US" w:eastAsia="zh-CN" w:bidi="ar"/>
        </w:rPr>
        <w:t>373.09</w:t>
      </w:r>
      <w:r>
        <w:rPr>
          <w:rFonts w:hint="eastAsia" w:ascii="仿宋_GB2312" w:hAnsi="宋体" w:eastAsia="仿宋_GB2312" w:cs="仿宋_GB2312"/>
          <w:color w:val="000000"/>
          <w:kern w:val="0"/>
          <w:sz w:val="32"/>
          <w:szCs w:val="32"/>
          <w:shd w:val="clear" w:fill="FFFFFF"/>
          <w:lang w:val="en-US" w:eastAsia="zh-CN" w:bidi="ar"/>
        </w:rPr>
        <w:t>万元2、社会保障和就业收入：</w:t>
      </w:r>
      <w:r>
        <w:rPr>
          <w:rFonts w:hint="eastAsia" w:ascii="仿宋_GB2312" w:hAnsi="仿宋" w:eastAsia="仿宋_GB2312" w:cs="仿宋_GB2312"/>
          <w:kern w:val="2"/>
          <w:sz w:val="32"/>
          <w:szCs w:val="32"/>
          <w:lang w:val="en-US" w:eastAsia="zh-CN" w:bidi="ar"/>
        </w:rPr>
        <w:t>47.6</w:t>
      </w:r>
      <w:r>
        <w:rPr>
          <w:rFonts w:hint="eastAsia" w:ascii="仿宋_GB2312" w:hAnsi="宋体" w:eastAsia="仿宋_GB2312" w:cs="仿宋_GB2312"/>
          <w:color w:val="000000"/>
          <w:kern w:val="0"/>
          <w:sz w:val="32"/>
          <w:szCs w:val="32"/>
          <w:shd w:val="clear" w:fill="FFFFFF"/>
          <w:lang w:val="en-US" w:eastAsia="zh-CN" w:bidi="ar"/>
        </w:rPr>
        <w:t>万元；3、卫生健康收入：</w:t>
      </w:r>
      <w:r>
        <w:rPr>
          <w:rFonts w:hint="eastAsia" w:ascii="仿宋_GB2312" w:hAnsi="仿宋" w:eastAsia="仿宋_GB2312" w:cs="仿宋_GB2312"/>
          <w:kern w:val="2"/>
          <w:sz w:val="32"/>
          <w:szCs w:val="32"/>
          <w:lang w:val="en-US" w:eastAsia="zh-CN" w:bidi="ar"/>
        </w:rPr>
        <w:t>19.82</w:t>
      </w:r>
      <w:r>
        <w:rPr>
          <w:rFonts w:hint="eastAsia" w:ascii="仿宋_GB2312" w:hAnsi="宋体" w:eastAsia="仿宋_GB2312" w:cs="仿宋_GB2312"/>
          <w:color w:val="000000"/>
          <w:kern w:val="0"/>
          <w:sz w:val="32"/>
          <w:szCs w:val="32"/>
          <w:shd w:val="clear" w:fill="FFFFFF"/>
          <w:lang w:val="en-US" w:eastAsia="zh-CN" w:bidi="ar"/>
        </w:rPr>
        <w:t>万元4、住房保障收入：</w:t>
      </w:r>
      <w:r>
        <w:rPr>
          <w:rFonts w:hint="eastAsia" w:ascii="仿宋" w:hAnsi="仿宋" w:eastAsia="仿宋"/>
          <w:color w:val="000000"/>
          <w:sz w:val="32"/>
          <w:szCs w:val="32"/>
          <w:lang w:val="en-US" w:eastAsia="zh-CN"/>
        </w:rPr>
        <w:t>26.56</w:t>
      </w:r>
      <w:r>
        <w:rPr>
          <w:rFonts w:hint="eastAsia" w:ascii="仿宋_GB2312" w:hAnsi="宋体" w:eastAsia="仿宋_GB2312" w:cs="仿宋_GB2312"/>
          <w:color w:val="000000"/>
          <w:kern w:val="0"/>
          <w:sz w:val="32"/>
          <w:szCs w:val="32"/>
          <w:shd w:val="clear" w:fill="FFFFFF"/>
          <w:lang w:val="en-US" w:eastAsia="zh-CN" w:bidi="ar"/>
        </w:rPr>
        <w:t>万元。</w:t>
      </w:r>
    </w:p>
    <w:p w14:paraId="672733E5">
      <w:pPr>
        <w:keepNext w:val="0"/>
        <w:keepLines w:val="0"/>
        <w:widowControl w:val="0"/>
        <w:suppressLineNumbers w:val="0"/>
        <w:autoSpaceDE w:val="0"/>
        <w:autoSpaceDN/>
        <w:adjustRightInd w:val="0"/>
        <w:snapToGrid w:val="0"/>
        <w:spacing w:before="0" w:beforeAutospacing="0" w:after="0" w:afterAutospacing="0" w:line="576" w:lineRule="exact"/>
        <w:ind w:left="0" w:right="0" w:firstLine="643" w:firstLineChars="200"/>
        <w:contextualSpacing/>
        <w:jc w:val="left"/>
        <w:rPr>
          <w:rFonts w:hint="eastAsia" w:ascii="仿宋_GB2312" w:hAnsi="宋体" w:eastAsia="仿宋_GB2312" w:cs="宋体"/>
          <w:color w:val="000000"/>
          <w:kern w:val="0"/>
          <w:sz w:val="32"/>
          <w:szCs w:val="32"/>
          <w:shd w:val="clear" w:fill="FFFFFF"/>
        </w:rPr>
      </w:pPr>
      <w:r>
        <w:rPr>
          <w:rFonts w:hint="eastAsia" w:ascii="楷体_GB2312" w:hAnsi="Times New Roman" w:eastAsia="楷体_GB2312" w:cs="楷体_GB2312"/>
          <w:b/>
          <w:bCs/>
          <w:color w:val="000000"/>
          <w:kern w:val="0"/>
          <w:sz w:val="32"/>
          <w:szCs w:val="32"/>
          <w:shd w:val="clear" w:fill="FFFFFF"/>
          <w:lang w:val="en-US" w:eastAsia="zh-CN" w:bidi="ar"/>
        </w:rPr>
        <w:t>（二）支出情况。</w:t>
      </w:r>
      <w:r>
        <w:rPr>
          <w:rFonts w:hint="eastAsia" w:ascii="仿宋_GB2312" w:hAnsi="宋体" w:eastAsia="仿宋_GB2312" w:cs="仿宋_GB2312"/>
          <w:color w:val="000000"/>
          <w:kern w:val="0"/>
          <w:sz w:val="32"/>
          <w:szCs w:val="32"/>
          <w:shd w:val="clear" w:fill="FFFFFF"/>
          <w:lang w:val="en-US" w:eastAsia="zh-CN" w:bidi="ar"/>
        </w:rPr>
        <w:t>小金县统计局2025年年初支出预算数为244.88万元，决算支出数</w:t>
      </w:r>
      <w:r>
        <w:rPr>
          <w:rFonts w:hint="eastAsia" w:ascii="仿宋" w:hAnsi="仿宋" w:eastAsia="仿宋"/>
          <w:color w:val="000000"/>
          <w:sz w:val="32"/>
          <w:szCs w:val="32"/>
          <w:lang w:val="en-US" w:eastAsia="zh-CN"/>
        </w:rPr>
        <w:t>467.07</w:t>
      </w:r>
      <w:r>
        <w:rPr>
          <w:rFonts w:hint="eastAsia" w:ascii="仿宋_GB2312" w:hAnsi="宋体" w:eastAsia="仿宋_GB2312" w:cs="仿宋_GB2312"/>
          <w:color w:val="000000"/>
          <w:kern w:val="0"/>
          <w:sz w:val="32"/>
          <w:szCs w:val="32"/>
          <w:shd w:val="clear" w:fill="FFFFFF"/>
          <w:lang w:val="en-US" w:eastAsia="zh-CN" w:bidi="ar"/>
        </w:rPr>
        <w:t>万元，其中年末结转和结余11.05万元。</w:t>
      </w:r>
    </w:p>
    <w:p w14:paraId="68BCEF52">
      <w:pPr>
        <w:keepNext w:val="0"/>
        <w:keepLines w:val="0"/>
        <w:widowControl w:val="0"/>
        <w:suppressLineNumbers w:val="0"/>
        <w:autoSpaceDE w:val="0"/>
        <w:autoSpaceDN/>
        <w:adjustRightInd w:val="0"/>
        <w:snapToGrid w:val="0"/>
        <w:spacing w:before="0" w:beforeAutospacing="0" w:after="0" w:afterAutospacing="0" w:line="576" w:lineRule="exact"/>
        <w:ind w:left="0" w:right="0" w:firstLine="640" w:firstLineChars="200"/>
        <w:contextualSpacing/>
        <w:jc w:val="left"/>
        <w:rPr>
          <w:rFonts w:hint="eastAsia" w:ascii="仿宋_GB2312" w:hAnsi="宋体" w:eastAsia="仿宋_GB2312" w:cs="宋体"/>
          <w:color w:val="000000"/>
          <w:kern w:val="0"/>
          <w:sz w:val="32"/>
          <w:szCs w:val="32"/>
          <w:shd w:val="clear" w:fill="FFFFFF"/>
        </w:rPr>
      </w:pPr>
      <w:r>
        <w:rPr>
          <w:rFonts w:hint="eastAsia" w:ascii="仿宋_GB2312" w:hAnsi="宋体" w:eastAsia="仿宋_GB2312" w:cs="仿宋_GB2312"/>
          <w:color w:val="000000"/>
          <w:kern w:val="0"/>
          <w:sz w:val="32"/>
          <w:szCs w:val="32"/>
          <w:shd w:val="clear" w:fill="FFFFFF"/>
          <w:lang w:val="en-US" w:eastAsia="zh-CN" w:bidi="ar"/>
        </w:rPr>
        <w:t>1、一般公共服务</w:t>
      </w:r>
      <w:r>
        <w:rPr>
          <w:rFonts w:hint="eastAsia" w:ascii="仿宋" w:hAnsi="仿宋" w:eastAsia="仿宋"/>
          <w:color w:val="000000"/>
          <w:sz w:val="32"/>
          <w:szCs w:val="32"/>
          <w:lang w:val="en-US" w:eastAsia="zh-CN"/>
        </w:rPr>
        <w:t>373.09</w:t>
      </w:r>
      <w:r>
        <w:rPr>
          <w:rFonts w:hint="eastAsia" w:ascii="仿宋_GB2312" w:hAnsi="宋体" w:eastAsia="仿宋_GB2312" w:cs="仿宋_GB2312"/>
          <w:color w:val="000000"/>
          <w:kern w:val="0"/>
          <w:sz w:val="32"/>
          <w:szCs w:val="32"/>
          <w:shd w:val="clear" w:fill="FFFFFF"/>
          <w:lang w:val="en-US" w:eastAsia="zh-CN" w:bidi="ar"/>
        </w:rPr>
        <w:t>万元，占总支出的</w:t>
      </w:r>
      <w:r>
        <w:rPr>
          <w:rFonts w:hint="eastAsia" w:ascii="仿宋" w:hAnsi="仿宋" w:eastAsia="仿宋"/>
          <w:color w:val="000000"/>
          <w:sz w:val="32"/>
          <w:szCs w:val="32"/>
          <w:lang w:val="en-US" w:eastAsia="zh-CN"/>
        </w:rPr>
        <w:t>79.88</w:t>
      </w:r>
      <w:r>
        <w:rPr>
          <w:rFonts w:hint="eastAsia" w:ascii="仿宋_GB2312" w:hAnsi="宋体" w:eastAsia="仿宋_GB2312" w:cs="仿宋_GB2312"/>
          <w:color w:val="000000"/>
          <w:kern w:val="0"/>
          <w:sz w:val="32"/>
          <w:szCs w:val="32"/>
          <w:shd w:val="clear" w:fill="FFFFFF"/>
          <w:lang w:val="en-US" w:eastAsia="zh-CN" w:bidi="ar"/>
        </w:rPr>
        <w:t>%；</w:t>
      </w:r>
    </w:p>
    <w:p w14:paraId="5F1898C3">
      <w:pPr>
        <w:keepNext w:val="0"/>
        <w:keepLines w:val="0"/>
        <w:widowControl w:val="0"/>
        <w:suppressLineNumbers w:val="0"/>
        <w:autoSpaceDE w:val="0"/>
        <w:autoSpaceDN/>
        <w:adjustRightInd w:val="0"/>
        <w:snapToGrid w:val="0"/>
        <w:spacing w:before="0" w:beforeAutospacing="0" w:after="0" w:afterAutospacing="0" w:line="576" w:lineRule="exact"/>
        <w:ind w:left="0" w:right="0" w:firstLine="640" w:firstLineChars="200"/>
        <w:contextualSpacing/>
        <w:jc w:val="left"/>
        <w:rPr>
          <w:rFonts w:hint="eastAsia" w:ascii="仿宋_GB2312" w:hAnsi="宋体" w:eastAsia="仿宋_GB2312" w:cs="宋体"/>
          <w:color w:val="000000"/>
          <w:kern w:val="0"/>
          <w:sz w:val="32"/>
          <w:szCs w:val="32"/>
          <w:shd w:val="clear" w:fill="FFFFFF"/>
        </w:rPr>
      </w:pPr>
      <w:r>
        <w:rPr>
          <w:rFonts w:hint="eastAsia" w:ascii="仿宋_GB2312" w:hAnsi="宋体" w:eastAsia="仿宋_GB2312" w:cs="仿宋_GB2312"/>
          <w:color w:val="000000"/>
          <w:kern w:val="0"/>
          <w:sz w:val="32"/>
          <w:szCs w:val="32"/>
          <w:shd w:val="clear" w:fill="FFFFFF"/>
          <w:lang w:val="en-US" w:eastAsia="zh-CN" w:bidi="ar"/>
        </w:rPr>
        <w:t>2、社会保障和就业支出</w:t>
      </w:r>
      <w:r>
        <w:rPr>
          <w:rFonts w:hint="eastAsia" w:ascii="仿宋" w:hAnsi="仿宋" w:eastAsia="仿宋"/>
          <w:color w:val="000000"/>
          <w:sz w:val="32"/>
          <w:szCs w:val="32"/>
          <w:lang w:val="en-US" w:eastAsia="zh-CN"/>
        </w:rPr>
        <w:t>47.6</w:t>
      </w:r>
      <w:r>
        <w:rPr>
          <w:rFonts w:hint="eastAsia" w:ascii="仿宋_GB2312" w:hAnsi="宋体" w:eastAsia="仿宋_GB2312" w:cs="仿宋_GB2312"/>
          <w:color w:val="000000"/>
          <w:kern w:val="0"/>
          <w:sz w:val="32"/>
          <w:szCs w:val="32"/>
          <w:shd w:val="clear" w:fill="FFFFFF"/>
          <w:lang w:val="en-US" w:eastAsia="zh-CN" w:bidi="ar"/>
        </w:rPr>
        <w:t>万元。占总支出的</w:t>
      </w:r>
      <w:r>
        <w:rPr>
          <w:rFonts w:hint="eastAsia" w:ascii="仿宋" w:hAnsi="仿宋" w:eastAsia="仿宋"/>
          <w:color w:val="000000"/>
          <w:sz w:val="32"/>
          <w:szCs w:val="32"/>
          <w:lang w:val="en-US" w:eastAsia="zh-CN"/>
        </w:rPr>
        <w:t>10.19</w:t>
      </w:r>
      <w:r>
        <w:rPr>
          <w:rFonts w:hint="eastAsia" w:ascii="仿宋_GB2312" w:hAnsi="宋体" w:eastAsia="仿宋_GB2312" w:cs="仿宋_GB2312"/>
          <w:color w:val="000000"/>
          <w:kern w:val="0"/>
          <w:sz w:val="32"/>
          <w:szCs w:val="32"/>
          <w:shd w:val="clear" w:fill="FFFFFF"/>
          <w:lang w:val="en-US" w:eastAsia="zh-CN" w:bidi="ar"/>
        </w:rPr>
        <w:t>%。</w:t>
      </w:r>
    </w:p>
    <w:p w14:paraId="41720C38">
      <w:pPr>
        <w:keepNext w:val="0"/>
        <w:keepLines w:val="0"/>
        <w:widowControl w:val="0"/>
        <w:suppressLineNumbers w:val="0"/>
        <w:autoSpaceDE w:val="0"/>
        <w:autoSpaceDN/>
        <w:adjustRightInd w:val="0"/>
        <w:snapToGrid w:val="0"/>
        <w:spacing w:before="0" w:beforeAutospacing="0" w:after="0" w:afterAutospacing="0" w:line="576" w:lineRule="exact"/>
        <w:ind w:left="0" w:right="0" w:firstLine="640" w:firstLineChars="200"/>
        <w:contextualSpacing/>
        <w:jc w:val="left"/>
        <w:rPr>
          <w:rFonts w:hint="eastAsia" w:ascii="仿宋_GB2312" w:hAnsi="宋体" w:eastAsia="仿宋_GB2312" w:cs="宋体"/>
          <w:color w:val="000000"/>
          <w:kern w:val="0"/>
          <w:sz w:val="32"/>
          <w:szCs w:val="32"/>
          <w:shd w:val="clear" w:fill="FFFFFF"/>
        </w:rPr>
      </w:pPr>
      <w:r>
        <w:rPr>
          <w:rFonts w:hint="eastAsia" w:ascii="仿宋_GB2312" w:hAnsi="宋体" w:eastAsia="仿宋_GB2312" w:cs="仿宋_GB2312"/>
          <w:color w:val="000000"/>
          <w:kern w:val="0"/>
          <w:sz w:val="32"/>
          <w:szCs w:val="32"/>
          <w:shd w:val="clear" w:fill="FFFFFF"/>
          <w:lang w:val="en-US" w:eastAsia="zh-CN" w:bidi="ar"/>
        </w:rPr>
        <w:t>3、卫生健康支出决算数</w:t>
      </w:r>
      <w:r>
        <w:rPr>
          <w:rFonts w:hint="eastAsia" w:ascii="仿宋" w:hAnsi="仿宋" w:eastAsia="仿宋"/>
          <w:color w:val="000000"/>
          <w:sz w:val="32"/>
          <w:szCs w:val="32"/>
          <w:lang w:val="en-US" w:eastAsia="zh-CN"/>
        </w:rPr>
        <w:t>19.82</w:t>
      </w:r>
      <w:r>
        <w:rPr>
          <w:rFonts w:hint="eastAsia" w:ascii="仿宋_GB2312" w:hAnsi="宋体" w:eastAsia="仿宋_GB2312" w:cs="仿宋_GB2312"/>
          <w:color w:val="000000"/>
          <w:kern w:val="0"/>
          <w:sz w:val="32"/>
          <w:szCs w:val="32"/>
          <w:shd w:val="clear" w:fill="FFFFFF"/>
          <w:lang w:val="en-US" w:eastAsia="zh-CN" w:bidi="ar"/>
        </w:rPr>
        <w:t>万元。占总支出的</w:t>
      </w:r>
      <w:r>
        <w:rPr>
          <w:rFonts w:hint="eastAsia" w:ascii="仿宋" w:hAnsi="仿宋" w:eastAsia="仿宋"/>
          <w:color w:val="000000"/>
          <w:sz w:val="32"/>
          <w:szCs w:val="32"/>
          <w:lang w:val="en-US" w:eastAsia="zh-CN"/>
        </w:rPr>
        <w:t>4.24%</w:t>
      </w:r>
      <w:r>
        <w:rPr>
          <w:rFonts w:hint="eastAsia" w:ascii="仿宋_GB2312" w:hAnsi="宋体" w:eastAsia="仿宋_GB2312" w:cs="仿宋_GB2312"/>
          <w:color w:val="000000"/>
          <w:kern w:val="0"/>
          <w:sz w:val="32"/>
          <w:szCs w:val="32"/>
          <w:shd w:val="clear" w:fill="FFFFFF"/>
          <w:lang w:val="en-US" w:eastAsia="zh-CN" w:bidi="ar"/>
        </w:rPr>
        <w:t>。</w:t>
      </w:r>
    </w:p>
    <w:p w14:paraId="6F771660">
      <w:pPr>
        <w:keepNext w:val="0"/>
        <w:keepLines w:val="0"/>
        <w:widowControl w:val="0"/>
        <w:suppressLineNumbers w:val="0"/>
        <w:autoSpaceDE w:val="0"/>
        <w:autoSpaceDN/>
        <w:adjustRightInd w:val="0"/>
        <w:snapToGrid w:val="0"/>
        <w:spacing w:before="0" w:beforeAutospacing="0" w:after="0" w:afterAutospacing="0" w:line="576" w:lineRule="exact"/>
        <w:ind w:left="0" w:right="0" w:firstLine="640" w:firstLineChars="200"/>
        <w:contextualSpacing/>
        <w:jc w:val="left"/>
        <w:rPr>
          <w:rFonts w:hint="eastAsia"/>
        </w:rPr>
      </w:pPr>
      <w:r>
        <w:rPr>
          <w:rFonts w:hint="eastAsia" w:ascii="仿宋_GB2312" w:hAnsi="宋体" w:eastAsia="仿宋_GB2312" w:cs="仿宋_GB2312"/>
          <w:color w:val="000000"/>
          <w:kern w:val="0"/>
          <w:sz w:val="32"/>
          <w:szCs w:val="32"/>
          <w:shd w:val="clear" w:fill="FFFFFF"/>
          <w:lang w:val="en-US" w:eastAsia="zh-CN" w:bidi="ar"/>
        </w:rPr>
        <w:t>4、住房保障支出决算数</w:t>
      </w:r>
      <w:r>
        <w:rPr>
          <w:rFonts w:hint="eastAsia" w:ascii="仿宋" w:hAnsi="仿宋" w:eastAsia="仿宋"/>
          <w:color w:val="000000"/>
          <w:sz w:val="32"/>
          <w:szCs w:val="32"/>
          <w:lang w:val="en-US" w:eastAsia="zh-CN"/>
        </w:rPr>
        <w:t>26.56</w:t>
      </w:r>
      <w:r>
        <w:rPr>
          <w:rFonts w:hint="eastAsia" w:ascii="仿宋_GB2312" w:hAnsi="宋体" w:eastAsia="仿宋_GB2312" w:cs="仿宋_GB2312"/>
          <w:color w:val="000000"/>
          <w:kern w:val="0"/>
          <w:sz w:val="32"/>
          <w:szCs w:val="32"/>
          <w:shd w:val="clear" w:fill="FFFFFF"/>
          <w:lang w:val="en-US" w:eastAsia="zh-CN" w:bidi="ar"/>
        </w:rPr>
        <w:t>万元，占总支出的</w:t>
      </w:r>
      <w:r>
        <w:rPr>
          <w:rFonts w:hint="eastAsia" w:ascii="仿宋" w:hAnsi="仿宋" w:eastAsia="仿宋"/>
          <w:color w:val="000000"/>
          <w:sz w:val="32"/>
          <w:szCs w:val="32"/>
          <w:lang w:val="en-US" w:eastAsia="zh-CN"/>
        </w:rPr>
        <w:t>5.69</w:t>
      </w:r>
      <w:r>
        <w:rPr>
          <w:rFonts w:hint="eastAsia" w:ascii="仿宋_GB2312" w:hAnsi="宋体" w:eastAsia="仿宋_GB2312" w:cs="仿宋_GB2312"/>
          <w:color w:val="000000"/>
          <w:kern w:val="0"/>
          <w:sz w:val="32"/>
          <w:szCs w:val="32"/>
          <w:shd w:val="clear" w:fill="FFFFFF"/>
          <w:lang w:val="en-US" w:eastAsia="zh-CN" w:bidi="ar"/>
        </w:rPr>
        <w:t>%。</w:t>
      </w:r>
    </w:p>
    <w:p w14:paraId="6A741757">
      <w:pPr>
        <w:keepNext w:val="0"/>
        <w:keepLines w:val="0"/>
        <w:widowControl/>
        <w:suppressLineNumbers w:val="0"/>
        <w:autoSpaceDE w:val="0"/>
        <w:autoSpaceDN/>
        <w:adjustRightInd w:val="0"/>
        <w:snapToGrid w:val="0"/>
        <w:spacing w:before="0" w:beforeAutospacing="0" w:after="0" w:afterAutospacing="0" w:line="578" w:lineRule="exact"/>
        <w:ind w:left="0" w:right="0" w:firstLine="643" w:firstLineChars="200"/>
        <w:contextualSpacing/>
        <w:jc w:val="left"/>
        <w:rPr>
          <w:rFonts w:hint="default" w:ascii="Times New Roman" w:hAnsi="Times New Roman" w:eastAsia="仿宋_GB2312" w:cs="Times New Roman"/>
          <w:b w:val="0"/>
          <w:bCs w:val="0"/>
          <w:color w:val="000000"/>
          <w:kern w:val="0"/>
          <w:sz w:val="32"/>
          <w:szCs w:val="32"/>
          <w:shd w:val="clear" w:fill="FFFFFF"/>
        </w:rPr>
      </w:pPr>
      <w:r>
        <w:rPr>
          <w:rFonts w:hint="eastAsia" w:ascii="楷体_GB2312" w:hAnsi="Times New Roman" w:eastAsia="楷体_GB2312" w:cs="楷体_GB2312"/>
          <w:b/>
          <w:bCs/>
          <w:color w:val="000000"/>
          <w:kern w:val="0"/>
          <w:sz w:val="32"/>
          <w:szCs w:val="32"/>
          <w:shd w:val="clear" w:fill="FFFFFF"/>
          <w:lang w:val="en-US" w:eastAsia="zh-CN" w:bidi="ar"/>
        </w:rPr>
        <w:t>（三）</w:t>
      </w:r>
      <w:r>
        <w:rPr>
          <w:rFonts w:hint="eastAsia" w:ascii="楷体_GB2312" w:hAnsi="Times New Roman" w:eastAsia="楷体_GB2312" w:cs="楷体_GB2312"/>
          <w:b/>
          <w:bCs w:val="0"/>
          <w:kern w:val="2"/>
          <w:sz w:val="32"/>
          <w:szCs w:val="32"/>
          <w:lang w:val="en-US" w:eastAsia="zh-CN" w:bidi="ar"/>
        </w:rPr>
        <w:t>结余分配和结转结余情况。</w:t>
      </w:r>
      <w:r>
        <w:rPr>
          <w:rFonts w:hint="default" w:ascii="Times New Roman" w:hAnsi="Times New Roman" w:eastAsia="仿宋_GB2312" w:cs="Times New Roman"/>
          <w:kern w:val="2"/>
          <w:sz w:val="32"/>
          <w:szCs w:val="32"/>
          <w:lang w:val="en-US" w:eastAsia="zh-CN" w:bidi="ar"/>
        </w:rPr>
        <w:t>2025</w:t>
      </w:r>
      <w:r>
        <w:rPr>
          <w:rFonts w:hint="eastAsia" w:ascii="仿宋_GB2312" w:hAnsi="Times New Roman" w:eastAsia="仿宋_GB2312" w:cs="仿宋_GB2312"/>
          <w:kern w:val="2"/>
          <w:sz w:val="32"/>
          <w:szCs w:val="32"/>
          <w:lang w:val="en-US" w:eastAsia="zh-CN" w:bidi="ar"/>
        </w:rPr>
        <w:t>年代管资金结余</w:t>
      </w:r>
      <w:r>
        <w:rPr>
          <w:rFonts w:hint="eastAsia" w:ascii="仿宋_GB2312" w:hAnsi="宋体" w:eastAsia="仿宋_GB2312" w:cs="仿宋_GB2312"/>
          <w:color w:val="000000"/>
          <w:kern w:val="0"/>
          <w:sz w:val="32"/>
          <w:szCs w:val="32"/>
          <w:shd w:val="clear" w:fill="FFFFFF"/>
          <w:lang w:val="en-US" w:eastAsia="zh-CN" w:bidi="ar"/>
        </w:rPr>
        <w:t>11.05万元，结转至明年使用</w:t>
      </w:r>
      <w:r>
        <w:rPr>
          <w:rFonts w:hint="eastAsia" w:ascii="仿宋_GB2312" w:hAnsi="Times New Roman" w:eastAsia="仿宋_GB2312" w:cs="仿宋_GB2312"/>
          <w:b w:val="0"/>
          <w:bCs w:val="0"/>
          <w:color w:val="000000"/>
          <w:kern w:val="0"/>
          <w:sz w:val="32"/>
          <w:szCs w:val="32"/>
          <w:shd w:val="clear" w:fill="FFFFFF"/>
          <w:lang w:val="en-US" w:eastAsia="zh-CN" w:bidi="ar"/>
        </w:rPr>
        <w:t>。</w:t>
      </w:r>
    </w:p>
    <w:p w14:paraId="5643BF4E">
      <w:pPr>
        <w:keepNext w:val="0"/>
        <w:keepLines w:val="0"/>
        <w:widowControl/>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default" w:ascii="Times New Roman" w:hAnsi="Times New Roman" w:eastAsia="黑体" w:cs="Times New Roman"/>
          <w:color w:val="000000"/>
          <w:kern w:val="0"/>
          <w:sz w:val="32"/>
          <w:szCs w:val="32"/>
          <w:shd w:val="clear" w:fill="FFFFFF"/>
        </w:rPr>
      </w:pPr>
      <w:r>
        <w:rPr>
          <w:rFonts w:hint="eastAsia" w:ascii="黑体" w:hAnsi="宋体" w:eastAsia="黑体" w:cs="黑体"/>
          <w:color w:val="000000"/>
          <w:kern w:val="0"/>
          <w:sz w:val="32"/>
          <w:szCs w:val="32"/>
          <w:shd w:val="clear" w:fill="FFFFFF"/>
          <w:lang w:val="en-US" w:eastAsia="zh-CN" w:bidi="ar"/>
        </w:rPr>
        <w:t>三、部门预算绩效分析</w:t>
      </w:r>
    </w:p>
    <w:p w14:paraId="5E930EB5">
      <w:pPr>
        <w:keepNext w:val="0"/>
        <w:keepLines w:val="0"/>
        <w:widowControl/>
        <w:suppressLineNumbers w:val="0"/>
        <w:autoSpaceDE w:val="0"/>
        <w:autoSpaceDN/>
        <w:adjustRightInd w:val="0"/>
        <w:snapToGrid w:val="0"/>
        <w:spacing w:before="0" w:beforeAutospacing="0" w:after="0" w:afterAutospacing="0" w:line="576" w:lineRule="exact"/>
        <w:ind w:left="0" w:right="0" w:firstLine="643" w:firstLineChars="200"/>
        <w:contextualSpacing/>
        <w:jc w:val="left"/>
        <w:rPr>
          <w:rFonts w:hint="default" w:ascii="Times New Roman" w:hAnsi="Times New Roman" w:eastAsia="楷体_GB2312" w:cs="Times New Roman"/>
          <w:b/>
          <w:bCs/>
          <w:color w:val="000000"/>
          <w:kern w:val="0"/>
          <w:sz w:val="32"/>
          <w:szCs w:val="32"/>
          <w:shd w:val="clear" w:fill="FFFFFF"/>
        </w:rPr>
      </w:pPr>
      <w:r>
        <w:rPr>
          <w:rFonts w:hint="eastAsia" w:ascii="楷体_GB2312" w:hAnsi="Times New Roman" w:eastAsia="楷体_GB2312" w:cs="楷体_GB2312"/>
          <w:b/>
          <w:bCs/>
          <w:color w:val="000000"/>
          <w:kern w:val="0"/>
          <w:sz w:val="32"/>
          <w:szCs w:val="32"/>
          <w:shd w:val="clear" w:fill="FFFFFF"/>
          <w:lang w:val="en-US" w:eastAsia="zh-CN" w:bidi="ar"/>
        </w:rPr>
        <w:t>（一）部门预算总体绩效分析。</w:t>
      </w:r>
    </w:p>
    <w:p w14:paraId="08360C94">
      <w:pPr>
        <w:keepNext w:val="0"/>
        <w:keepLines w:val="0"/>
        <w:widowControl/>
        <w:suppressLineNumbers w:val="0"/>
        <w:autoSpaceDE w:val="0"/>
        <w:autoSpaceDN/>
        <w:adjustRightInd w:val="0"/>
        <w:snapToGrid w:val="0"/>
        <w:spacing w:before="0" w:beforeAutospacing="0" w:after="0" w:afterAutospacing="0" w:line="576" w:lineRule="exact"/>
        <w:ind w:left="0" w:right="0" w:firstLine="643" w:firstLineChars="200"/>
        <w:contextualSpacing/>
        <w:jc w:val="left"/>
        <w:rPr>
          <w:rFonts w:hint="eastAsia" w:ascii="仿宋_GB2312" w:hAnsi="宋体" w:eastAsia="仿宋_GB2312" w:cs="宋体"/>
          <w:color w:val="000000"/>
          <w:kern w:val="0"/>
          <w:sz w:val="32"/>
          <w:szCs w:val="32"/>
          <w:shd w:val="clear" w:fill="FFFFFF"/>
        </w:rPr>
      </w:pPr>
      <w:r>
        <w:rPr>
          <w:rFonts w:hint="eastAsia" w:ascii="仿宋_GB2312" w:hAnsi="宋体" w:eastAsia="仿宋_GB2312" w:cs="仿宋_GB2312"/>
          <w:b/>
          <w:bCs/>
          <w:color w:val="000000"/>
          <w:kern w:val="0"/>
          <w:sz w:val="32"/>
          <w:szCs w:val="32"/>
          <w:shd w:val="clear" w:fill="FFFFFF"/>
          <w:lang w:val="en-US" w:eastAsia="zh-CN" w:bidi="ar"/>
        </w:rPr>
        <w:t>（1）履职效能。</w:t>
      </w:r>
      <w:r>
        <w:rPr>
          <w:rFonts w:hint="eastAsia" w:ascii="仿宋_GB2312" w:hAnsi="宋体" w:eastAsia="仿宋_GB2312" w:cs="仿宋_GB2312"/>
          <w:color w:val="000000"/>
          <w:kern w:val="0"/>
          <w:sz w:val="32"/>
          <w:szCs w:val="32"/>
          <w:shd w:val="clear" w:fill="FFFFFF"/>
          <w:lang w:val="en-US" w:eastAsia="zh-CN" w:bidi="ar"/>
        </w:rPr>
        <w:t>本年度，我局通过优化统计流程和强化数据分析，核心职能履行情况良好；针对“五经普”后续工作，高效完成了普查数据深度开发工作；建立数据质量核查机制，全年实地下乡入户核查企业、项目、单位、乡镇等调查单位。</w:t>
      </w:r>
    </w:p>
    <w:p w14:paraId="1E312E35">
      <w:pPr>
        <w:keepNext w:val="0"/>
        <w:keepLines w:val="0"/>
        <w:widowControl/>
        <w:suppressLineNumbers w:val="0"/>
        <w:autoSpaceDE w:val="0"/>
        <w:autoSpaceDN/>
        <w:adjustRightInd w:val="0"/>
        <w:snapToGrid w:val="0"/>
        <w:spacing w:before="0" w:beforeAutospacing="0" w:after="0" w:afterAutospacing="0" w:line="576" w:lineRule="exact"/>
        <w:ind w:left="0" w:right="0" w:firstLine="643" w:firstLineChars="200"/>
        <w:contextualSpacing/>
        <w:jc w:val="left"/>
        <w:rPr>
          <w:rFonts w:hint="eastAsia" w:ascii="仿宋_GB2312" w:hAnsi="宋体" w:eastAsia="仿宋_GB2312" w:cs="宋体"/>
          <w:color w:val="000000"/>
          <w:kern w:val="0"/>
          <w:sz w:val="32"/>
          <w:szCs w:val="32"/>
          <w:shd w:val="clear" w:fill="FFFFFF"/>
        </w:rPr>
      </w:pPr>
      <w:r>
        <w:rPr>
          <w:rFonts w:hint="eastAsia" w:ascii="仿宋_GB2312" w:hAnsi="宋体" w:eastAsia="仿宋_GB2312" w:cs="仿宋_GB2312"/>
          <w:b/>
          <w:bCs/>
          <w:color w:val="000000"/>
          <w:kern w:val="0"/>
          <w:sz w:val="32"/>
          <w:szCs w:val="32"/>
          <w:shd w:val="clear" w:fill="FFFFFF"/>
          <w:lang w:val="en-US" w:eastAsia="zh-CN" w:bidi="ar"/>
        </w:rPr>
        <w:t>（2）预算管理。</w:t>
      </w:r>
      <w:r>
        <w:rPr>
          <w:rFonts w:hint="eastAsia" w:ascii="仿宋_GB2312" w:hAnsi="宋体" w:eastAsia="仿宋_GB2312" w:cs="仿宋_GB2312"/>
          <w:color w:val="000000"/>
          <w:kern w:val="0"/>
          <w:sz w:val="32"/>
          <w:szCs w:val="32"/>
          <w:shd w:val="clear" w:fill="FFFFFF"/>
          <w:lang w:val="en-US" w:eastAsia="zh-CN" w:bidi="ar"/>
        </w:rPr>
        <w:t>小金县统计局预算编制按照《预算法》有关规定，预算由预算收入和预算支出组成，单位的全部收入和支出都纳入预算。我单位部门预算安排支出主要用于保障我局机构正常运转、完成日常工作任务及高效完成第五次全国经济普查后续工作。</w:t>
      </w:r>
    </w:p>
    <w:p w14:paraId="42FC6BBF">
      <w:pPr>
        <w:keepNext w:val="0"/>
        <w:keepLines w:val="0"/>
        <w:widowControl w:val="0"/>
        <w:suppressLineNumbers w:val="0"/>
        <w:autoSpaceDE w:val="0"/>
        <w:autoSpaceDN/>
        <w:adjustRightInd w:val="0"/>
        <w:snapToGrid w:val="0"/>
        <w:spacing w:before="0" w:beforeAutospacing="0" w:after="0" w:afterAutospacing="0" w:line="576" w:lineRule="exact"/>
        <w:ind w:left="0" w:right="0" w:firstLine="643" w:firstLineChars="200"/>
        <w:contextualSpacing/>
        <w:jc w:val="left"/>
        <w:rPr>
          <w:rFonts w:hint="eastAsia" w:ascii="仿宋_GB2312" w:hAnsi="宋体" w:eastAsia="仿宋_GB2312" w:cs="宋体"/>
          <w:color w:val="000000"/>
          <w:kern w:val="0"/>
          <w:sz w:val="32"/>
          <w:szCs w:val="32"/>
          <w:shd w:val="clear" w:fill="FFFFFF"/>
        </w:rPr>
      </w:pPr>
      <w:r>
        <w:rPr>
          <w:rFonts w:hint="eastAsia" w:ascii="仿宋_GB2312" w:hAnsi="宋体" w:eastAsia="仿宋_GB2312" w:cs="仿宋_GB2312"/>
          <w:b/>
          <w:bCs/>
          <w:color w:val="000000"/>
          <w:kern w:val="0"/>
          <w:sz w:val="32"/>
          <w:szCs w:val="32"/>
          <w:shd w:val="clear" w:fill="FFFFFF"/>
          <w:lang w:val="en-US" w:eastAsia="zh-CN" w:bidi="ar"/>
        </w:rPr>
        <w:t>（3）财务管理。</w:t>
      </w:r>
      <w:r>
        <w:rPr>
          <w:rFonts w:hint="eastAsia" w:ascii="仿宋_GB2312" w:hAnsi="宋体" w:eastAsia="仿宋_GB2312" w:cs="仿宋_GB2312"/>
          <w:color w:val="000000"/>
          <w:kern w:val="0"/>
          <w:sz w:val="32"/>
          <w:szCs w:val="32"/>
          <w:shd w:val="clear" w:fill="FFFFFF"/>
          <w:lang w:val="en-US" w:eastAsia="zh-CN" w:bidi="ar"/>
        </w:rPr>
        <w:t>全年部门整体支出预算执行率为97.17%。其中，基本支出执行率96.95%,项目支出执行率100%。我单位人员类、运转类、特定目标类项目均按时支付、及时处置，确保部门机构正常运转、按时完成日常工作任务,无违规记录。我局严格执行国库集中支付制度。所有“两员”（普查员/指导员）补贴发放均按时发放，留存了完整的签到表和工作量记录。全年“三公”经费支出2.48万元，严格执行公车使用登记制度，无违规接待。</w:t>
      </w:r>
    </w:p>
    <w:p w14:paraId="005407C5">
      <w:pPr>
        <w:keepNext w:val="0"/>
        <w:keepLines w:val="0"/>
        <w:widowControl w:val="0"/>
        <w:suppressLineNumbers w:val="0"/>
        <w:autoSpaceDE w:val="0"/>
        <w:autoSpaceDN/>
        <w:adjustRightInd w:val="0"/>
        <w:snapToGrid w:val="0"/>
        <w:spacing w:before="0" w:beforeAutospacing="0" w:after="0" w:afterAutospacing="0" w:line="576" w:lineRule="exact"/>
        <w:ind w:left="0" w:right="0" w:firstLine="643" w:firstLineChars="200"/>
        <w:contextualSpacing/>
        <w:jc w:val="left"/>
        <w:rPr>
          <w:rFonts w:hint="eastAsia" w:ascii="仿宋_GB2312" w:hAnsi="宋体" w:eastAsia="仿宋_GB2312" w:cs="宋体"/>
          <w:color w:val="000000"/>
          <w:kern w:val="0"/>
          <w:sz w:val="32"/>
          <w:szCs w:val="32"/>
          <w:shd w:val="clear" w:fill="FFFFFF"/>
        </w:rPr>
      </w:pPr>
      <w:r>
        <w:rPr>
          <w:rFonts w:hint="eastAsia" w:ascii="仿宋_GB2312" w:hAnsi="宋体" w:eastAsia="仿宋_GB2312" w:cs="仿宋_GB2312"/>
          <w:b/>
          <w:bCs/>
          <w:color w:val="000000"/>
          <w:kern w:val="0"/>
          <w:sz w:val="32"/>
          <w:szCs w:val="32"/>
          <w:shd w:val="clear" w:fill="FFFFFF"/>
          <w:lang w:val="en-US" w:eastAsia="zh-CN" w:bidi="ar"/>
        </w:rPr>
        <w:t>（4）资产管理。</w:t>
      </w:r>
      <w:r>
        <w:rPr>
          <w:rFonts w:hint="eastAsia" w:ascii="仿宋_GB2312" w:hAnsi="宋体" w:eastAsia="仿宋_GB2312" w:cs="仿宋_GB2312"/>
          <w:color w:val="000000"/>
          <w:kern w:val="0"/>
          <w:sz w:val="32"/>
          <w:szCs w:val="32"/>
          <w:shd w:val="clear" w:fill="FFFFFF"/>
          <w:lang w:val="en-US" w:eastAsia="zh-CN" w:bidi="ar"/>
        </w:rPr>
        <w:t>我单位的资产主要为电子设备（PDA、电脑）和家具。本年度未新增、处置资产。</w:t>
      </w:r>
    </w:p>
    <w:p w14:paraId="4047BAD7">
      <w:pPr>
        <w:keepNext w:val="0"/>
        <w:keepLines w:val="0"/>
        <w:widowControl w:val="0"/>
        <w:suppressLineNumbers w:val="0"/>
        <w:autoSpaceDE w:val="0"/>
        <w:autoSpaceDN/>
        <w:adjustRightInd w:val="0"/>
        <w:snapToGrid w:val="0"/>
        <w:spacing w:before="0" w:beforeAutospacing="0" w:after="0" w:afterAutospacing="0" w:line="576" w:lineRule="exact"/>
        <w:ind w:left="0" w:right="0" w:firstLine="643" w:firstLineChars="200"/>
        <w:contextualSpacing/>
        <w:jc w:val="left"/>
        <w:rPr>
          <w:rFonts w:hint="eastAsia" w:ascii="仿宋_GB2312" w:hAnsi="宋体" w:eastAsia="仿宋_GB2312" w:cs="宋体"/>
          <w:b/>
          <w:bCs/>
          <w:color w:val="000000"/>
          <w:kern w:val="0"/>
          <w:sz w:val="32"/>
          <w:szCs w:val="32"/>
          <w:shd w:val="clear" w:fill="FFFFFF"/>
        </w:rPr>
      </w:pPr>
      <w:r>
        <w:rPr>
          <w:rFonts w:hint="eastAsia" w:ascii="仿宋_GB2312" w:hAnsi="宋体" w:eastAsia="仿宋_GB2312" w:cs="仿宋_GB2312"/>
          <w:b/>
          <w:bCs/>
          <w:color w:val="000000"/>
          <w:kern w:val="0"/>
          <w:sz w:val="32"/>
          <w:szCs w:val="32"/>
          <w:shd w:val="clear" w:fill="FFFFFF"/>
          <w:lang w:val="en-US" w:eastAsia="zh-CN" w:bidi="ar"/>
        </w:rPr>
        <w:t>（5）采购管理。</w:t>
      </w:r>
      <w:r>
        <w:rPr>
          <w:rFonts w:hint="eastAsia" w:ascii="仿宋_GB2312" w:hAnsi="宋体" w:eastAsia="仿宋_GB2312" w:cs="仿宋_GB2312"/>
          <w:b w:val="0"/>
          <w:bCs w:val="0"/>
          <w:color w:val="000000"/>
          <w:kern w:val="0"/>
          <w:sz w:val="32"/>
          <w:szCs w:val="32"/>
          <w:shd w:val="clear" w:fill="FFFFFF"/>
          <w:lang w:val="en-US" w:eastAsia="zh-CN" w:bidi="ar"/>
        </w:rPr>
        <w:t>本年度无采购业务。</w:t>
      </w:r>
    </w:p>
    <w:p w14:paraId="7439A1DF">
      <w:pPr>
        <w:keepNext w:val="0"/>
        <w:keepLines w:val="0"/>
        <w:widowControl/>
        <w:suppressLineNumbers w:val="0"/>
        <w:autoSpaceDE w:val="0"/>
        <w:autoSpaceDN/>
        <w:adjustRightInd w:val="0"/>
        <w:snapToGrid w:val="0"/>
        <w:spacing w:before="0" w:beforeAutospacing="0" w:after="0" w:afterAutospacing="0" w:line="578" w:lineRule="exact"/>
        <w:ind w:left="0" w:right="0" w:firstLine="643" w:firstLineChars="200"/>
        <w:contextualSpacing/>
        <w:jc w:val="left"/>
        <w:rPr>
          <w:rFonts w:hint="default" w:ascii="Times New Roman" w:hAnsi="Times New Roman" w:eastAsia="仿宋_GB2312" w:cs="Times New Roman"/>
          <w:color w:val="000000"/>
          <w:kern w:val="0"/>
          <w:sz w:val="32"/>
          <w:szCs w:val="32"/>
          <w:shd w:val="clear" w:fill="FFFFFF"/>
        </w:rPr>
      </w:pPr>
      <w:r>
        <w:rPr>
          <w:rFonts w:hint="eastAsia" w:ascii="楷体_GB2312" w:hAnsi="Times New Roman" w:eastAsia="楷体_GB2312" w:cs="楷体_GB2312"/>
          <w:b/>
          <w:bCs/>
          <w:color w:val="000000"/>
          <w:kern w:val="0"/>
          <w:sz w:val="32"/>
          <w:szCs w:val="32"/>
          <w:shd w:val="clear" w:fill="FFFFFF"/>
          <w:lang w:val="en-US" w:eastAsia="zh-CN" w:bidi="ar"/>
        </w:rPr>
        <w:t>（二）部门预算项目绩效分析。</w:t>
      </w:r>
    </w:p>
    <w:p w14:paraId="6319A129">
      <w:pPr>
        <w:keepNext w:val="0"/>
        <w:keepLines w:val="0"/>
        <w:widowControl w:val="0"/>
        <w:suppressLineNumbers w:val="0"/>
        <w:autoSpaceDE w:val="0"/>
        <w:autoSpaceDN/>
        <w:adjustRightInd w:val="0"/>
        <w:snapToGrid w:val="0"/>
        <w:spacing w:before="0" w:beforeAutospacing="0" w:after="0" w:afterAutospacing="0" w:line="578" w:lineRule="exact"/>
        <w:ind w:left="0" w:right="0" w:firstLine="643" w:firstLineChars="200"/>
        <w:contextualSpacing/>
        <w:jc w:val="left"/>
        <w:rPr>
          <w:rFonts w:hint="default"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b/>
          <w:bCs/>
          <w:color w:val="000000"/>
          <w:kern w:val="0"/>
          <w:sz w:val="32"/>
          <w:szCs w:val="32"/>
          <w:shd w:val="clear" w:fill="FFFFFF"/>
          <w:lang w:val="en-US" w:eastAsia="zh-CN" w:bidi="ar"/>
        </w:rPr>
        <w:t>常年项目绩效分析。</w:t>
      </w:r>
      <w:r>
        <w:rPr>
          <w:rFonts w:hint="eastAsia" w:ascii="仿宋_GB2312" w:hAnsi="Times New Roman" w:eastAsia="仿宋_GB2312" w:cs="仿宋_GB2312"/>
          <w:color w:val="000000"/>
          <w:kern w:val="0"/>
          <w:sz w:val="32"/>
          <w:szCs w:val="32"/>
          <w:shd w:val="clear" w:fill="FFFFFF"/>
          <w:lang w:val="en-US" w:eastAsia="zh-CN" w:bidi="ar"/>
        </w:rPr>
        <w:t>该类项目总数</w:t>
      </w:r>
      <w:r>
        <w:rPr>
          <w:rFonts w:hint="default" w:ascii="Times New Roman" w:hAnsi="Times New Roman" w:eastAsia="仿宋_GB2312" w:cs="Times New Roman"/>
          <w:color w:val="000000"/>
          <w:kern w:val="0"/>
          <w:sz w:val="32"/>
          <w:szCs w:val="32"/>
          <w:shd w:val="clear" w:fill="FFFFFF"/>
          <w:lang w:val="en-US" w:eastAsia="zh-CN" w:bidi="ar"/>
        </w:rPr>
        <w:t>2</w:t>
      </w:r>
      <w:r>
        <w:rPr>
          <w:rFonts w:hint="eastAsia" w:ascii="仿宋_GB2312" w:hAnsi="Times New Roman" w:eastAsia="仿宋_GB2312" w:cs="仿宋_GB2312"/>
          <w:color w:val="000000"/>
          <w:kern w:val="0"/>
          <w:sz w:val="32"/>
          <w:szCs w:val="32"/>
          <w:shd w:val="clear" w:fill="FFFFFF"/>
          <w:lang w:val="en-US" w:eastAsia="zh-CN" w:bidi="ar"/>
        </w:rPr>
        <w:t>个，涉及预算总金额</w:t>
      </w:r>
      <w:r>
        <w:rPr>
          <w:rFonts w:hint="default" w:ascii="Times New Roman" w:hAnsi="Times New Roman" w:eastAsia="仿宋_GB2312" w:cs="Times New Roman"/>
          <w:color w:val="000000"/>
          <w:kern w:val="0"/>
          <w:sz w:val="32"/>
          <w:szCs w:val="32"/>
          <w:shd w:val="clear" w:fill="FFFFFF"/>
          <w:lang w:val="en-US" w:eastAsia="zh-CN" w:bidi="ar"/>
        </w:rPr>
        <w:t xml:space="preserve">   </w:t>
      </w:r>
      <w:r>
        <w:rPr>
          <w:rFonts w:hint="eastAsia" w:ascii="仿宋_GB2312" w:hAnsi="Times New Roman" w:eastAsia="仿宋_GB2312" w:cs="仿宋_GB2312"/>
          <w:color w:val="000000"/>
          <w:kern w:val="0"/>
          <w:sz w:val="32"/>
          <w:szCs w:val="32"/>
          <w:shd w:val="clear" w:fill="FFFFFF"/>
          <w:lang w:val="en-US" w:eastAsia="zh-CN" w:bidi="ar"/>
        </w:rPr>
        <w:t>113.33万元，1—12月预算执行总体进度为100%，其中：预算结余率大于10%的项目共计0个。所有项目均为</w:t>
      </w:r>
      <w:r>
        <w:rPr>
          <w:rFonts w:hint="eastAsia" w:ascii="仿宋_GB2312" w:hAnsi="宋体" w:eastAsia="仿宋_GB2312" w:cs="仿宋_GB2312"/>
          <w:color w:val="000000"/>
          <w:kern w:val="0"/>
          <w:sz w:val="32"/>
          <w:szCs w:val="32"/>
          <w:shd w:val="clear" w:fill="FFFFFF"/>
          <w:lang w:val="en-US" w:eastAsia="zh-CN" w:bidi="ar"/>
        </w:rPr>
        <w:t>全县统计和国民经济核算工作相关，按时完成相关工作。</w:t>
      </w:r>
    </w:p>
    <w:p w14:paraId="35829056">
      <w:pPr>
        <w:keepNext w:val="0"/>
        <w:keepLines w:val="0"/>
        <w:widowControl w:val="0"/>
        <w:suppressLineNumbers w:val="0"/>
        <w:autoSpaceDE w:val="0"/>
        <w:autoSpaceDN/>
        <w:adjustRightInd w:val="0"/>
        <w:snapToGrid w:val="0"/>
        <w:spacing w:before="0" w:beforeAutospacing="0" w:after="0" w:afterAutospacing="0" w:line="578" w:lineRule="exact"/>
        <w:ind w:left="0" w:right="0" w:firstLine="643" w:firstLineChars="200"/>
        <w:contextualSpacing/>
        <w:jc w:val="left"/>
        <w:rPr>
          <w:rFonts w:hint="default"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b/>
          <w:bCs/>
          <w:color w:val="000000"/>
          <w:kern w:val="0"/>
          <w:sz w:val="32"/>
          <w:szCs w:val="32"/>
          <w:shd w:val="clear" w:fill="FFFFFF"/>
          <w:lang w:val="en-US" w:eastAsia="zh-CN" w:bidi="ar"/>
        </w:rPr>
        <w:t>阶段（一次性）项目绩效分析</w:t>
      </w:r>
      <w:r>
        <w:rPr>
          <w:rFonts w:hint="eastAsia" w:ascii="仿宋_GB2312" w:hAnsi="Times New Roman" w:eastAsia="仿宋_GB2312" w:cs="仿宋_GB2312"/>
          <w:color w:val="000000"/>
          <w:kern w:val="0"/>
          <w:sz w:val="32"/>
          <w:szCs w:val="32"/>
          <w:shd w:val="clear" w:fill="FFFFFF"/>
          <w:lang w:val="en-US" w:eastAsia="zh-CN" w:bidi="ar"/>
        </w:rPr>
        <w:t>。该类项目总数1个，涉及预算总金额13.73万元，1—12月预算执行总体进度为100%，其中：预算结余率大于10%的项目共计0个。</w:t>
      </w:r>
    </w:p>
    <w:p w14:paraId="44C129C3">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default" w:ascii="Times New Roman" w:hAnsi="Times New Roman" w:eastAsia="仿宋_GB2312" w:cs="Times New Roman"/>
          <w:color w:val="000000"/>
          <w:kern w:val="0"/>
          <w:sz w:val="32"/>
          <w:szCs w:val="32"/>
          <w:shd w:val="clear" w:fill="FFFFFF"/>
        </w:rPr>
      </w:pPr>
      <w:r>
        <w:rPr>
          <w:rFonts w:hint="eastAsia" w:ascii="楷体_GB2312" w:hAnsi="Times New Roman" w:eastAsia="楷体_GB2312" w:cs="楷体_GB2312"/>
          <w:color w:val="000000"/>
          <w:kern w:val="0"/>
          <w:sz w:val="32"/>
          <w:szCs w:val="32"/>
          <w:shd w:val="clear" w:fill="FFFFFF"/>
          <w:lang w:val="en-US" w:eastAsia="zh-CN" w:bidi="ar"/>
        </w:rPr>
        <w:t>1.项目决策。</w:t>
      </w:r>
      <w:r>
        <w:rPr>
          <w:rFonts w:hint="eastAsia" w:ascii="仿宋_GB2312" w:hAnsi="Times New Roman" w:eastAsia="仿宋_GB2312" w:cs="仿宋_GB2312"/>
          <w:color w:val="000000"/>
          <w:kern w:val="0"/>
          <w:sz w:val="32"/>
          <w:szCs w:val="32"/>
          <w:shd w:val="clear" w:fill="FFFFFF"/>
          <w:lang w:val="en-US" w:eastAsia="zh-CN" w:bidi="ar"/>
        </w:rPr>
        <w:t>预计在2023-2025年三年内全面完成小金县第五次全国经济普查。2025年“五经普”后续工作</w:t>
      </w:r>
      <w:r>
        <w:rPr>
          <w:rFonts w:hint="eastAsia" w:ascii="仿宋_GB2312" w:hAnsi="Times New Roman" w:eastAsia="仿宋_GB2312" w:cs="仿宋_GB2312"/>
          <w:kern w:val="2"/>
          <w:sz w:val="32"/>
          <w:szCs w:val="32"/>
          <w:lang w:val="en-US" w:eastAsia="zh-CN" w:bidi="ar"/>
        </w:rPr>
        <w:t>有序进行</w:t>
      </w:r>
      <w:r>
        <w:rPr>
          <w:rFonts w:hint="eastAsia" w:ascii="仿宋_GB2312" w:hAnsi="Times New Roman" w:eastAsia="仿宋_GB2312" w:cs="仿宋_GB2312"/>
          <w:color w:val="000000"/>
          <w:kern w:val="0"/>
          <w:sz w:val="32"/>
          <w:szCs w:val="32"/>
          <w:shd w:val="clear" w:fill="FFFFFF"/>
          <w:lang w:val="en-US" w:eastAsia="zh-CN" w:bidi="ar"/>
        </w:rPr>
        <w:t>，高效完成了普查数据深度开发工作</w:t>
      </w:r>
      <w:r>
        <w:rPr>
          <w:rFonts w:hint="eastAsia" w:ascii="仿宋_GB2312" w:hAnsi="Times New Roman" w:eastAsia="仿宋_GB2312" w:cs="仿宋_GB2312"/>
          <w:kern w:val="2"/>
          <w:sz w:val="32"/>
          <w:szCs w:val="32"/>
          <w:lang w:val="en-US" w:eastAsia="zh-CN" w:bidi="ar"/>
        </w:rPr>
        <w:t>。</w:t>
      </w:r>
    </w:p>
    <w:p w14:paraId="1105023D">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楷体_GB2312" w:eastAsia="楷体_GB2312" w:cs="楷体_GB2312"/>
          <w:color w:val="000000"/>
          <w:kern w:val="0"/>
          <w:sz w:val="32"/>
          <w:szCs w:val="32"/>
          <w:shd w:val="clear" w:fill="FFFFFF"/>
        </w:rPr>
      </w:pPr>
      <w:r>
        <w:rPr>
          <w:rFonts w:hint="eastAsia" w:ascii="楷体_GB2312" w:hAnsi="Times New Roman" w:eastAsia="楷体_GB2312" w:cs="楷体_GB2312"/>
          <w:color w:val="000000"/>
          <w:kern w:val="0"/>
          <w:sz w:val="32"/>
          <w:szCs w:val="32"/>
          <w:shd w:val="clear" w:fill="FFFFFF"/>
          <w:lang w:val="en-US" w:eastAsia="zh-CN" w:bidi="ar"/>
        </w:rPr>
        <w:t>2.项目执行。</w:t>
      </w:r>
      <w:r>
        <w:rPr>
          <w:rFonts w:hint="eastAsia" w:ascii="仿宋_GB2312" w:hAnsi="Times New Roman" w:eastAsia="仿宋_GB2312" w:cs="仿宋_GB2312"/>
          <w:color w:val="000000"/>
          <w:kern w:val="0"/>
          <w:sz w:val="32"/>
          <w:szCs w:val="32"/>
          <w:shd w:val="clear" w:fill="FFFFFF"/>
          <w:lang w:val="en-US" w:eastAsia="zh-CN" w:bidi="ar"/>
        </w:rPr>
        <w:t>因2025年是最后的结尾工作，所有费用按要求在本年度统一支付完成。</w:t>
      </w:r>
    </w:p>
    <w:p w14:paraId="4C98D9AC">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default" w:ascii="Times New Roman" w:hAnsi="Times New Roman" w:eastAsia="楷体_GB2312" w:cs="Times New Roman"/>
          <w:b/>
          <w:bCs/>
          <w:color w:val="000000"/>
          <w:kern w:val="0"/>
          <w:sz w:val="32"/>
          <w:szCs w:val="32"/>
          <w:highlight w:val="yellow"/>
          <w:shd w:val="clear" w:fill="FFFFFF"/>
        </w:rPr>
      </w:pPr>
      <w:r>
        <w:rPr>
          <w:rFonts w:hint="eastAsia" w:ascii="楷体_GB2312" w:hAnsi="Times New Roman" w:eastAsia="楷体_GB2312" w:cs="楷体_GB2312"/>
          <w:color w:val="000000"/>
          <w:kern w:val="0"/>
          <w:sz w:val="32"/>
          <w:szCs w:val="32"/>
          <w:shd w:val="clear" w:fill="FFFFFF"/>
          <w:lang w:val="en-US" w:eastAsia="zh-CN" w:bidi="ar"/>
        </w:rPr>
        <w:t>3.目标实现。</w:t>
      </w:r>
      <w:r>
        <w:rPr>
          <w:rFonts w:hint="eastAsia" w:ascii="仿宋_GB2312" w:hAnsi="Times New Roman" w:eastAsia="仿宋_GB2312" w:cs="仿宋_GB2312"/>
          <w:color w:val="000000"/>
          <w:kern w:val="0"/>
          <w:sz w:val="32"/>
          <w:szCs w:val="32"/>
          <w:shd w:val="clear" w:fill="FFFFFF"/>
          <w:lang w:val="en-US" w:eastAsia="zh-CN" w:bidi="ar"/>
        </w:rPr>
        <w:t>全县18乡镇有序配合，节约正本，已完成第五次全国经济普查2025年相关工作。</w:t>
      </w:r>
    </w:p>
    <w:p w14:paraId="35247144">
      <w:pPr>
        <w:keepNext w:val="0"/>
        <w:keepLines w:val="0"/>
        <w:widowControl w:val="0"/>
        <w:suppressLineNumbers w:val="0"/>
        <w:autoSpaceDE w:val="0"/>
        <w:autoSpaceDN/>
        <w:snapToGrid w:val="0"/>
        <w:spacing w:before="0" w:beforeAutospacing="0" w:after="0" w:afterAutospacing="0" w:line="600" w:lineRule="exact"/>
        <w:ind w:left="0" w:right="0" w:firstLine="643" w:firstLineChars="200"/>
        <w:jc w:val="both"/>
        <w:rPr>
          <w:rFonts w:hint="eastAsia" w:ascii="Times New Roman" w:hAnsi="Times New Roman" w:eastAsia="楷体_GB2312" w:cs="Times New Roman"/>
          <w:b/>
          <w:bCs/>
          <w:kern w:val="2"/>
          <w:sz w:val="32"/>
          <w:szCs w:val="32"/>
          <w:highlight w:val="yellow"/>
        </w:rPr>
      </w:pPr>
      <w:r>
        <w:rPr>
          <w:rFonts w:hint="eastAsia" w:ascii="楷体_GB2312" w:hAnsi="Times New Roman" w:eastAsia="楷体_GB2312" w:cs="楷体_GB2312"/>
          <w:b/>
          <w:bCs/>
          <w:color w:val="000000"/>
          <w:kern w:val="0"/>
          <w:sz w:val="32"/>
          <w:szCs w:val="32"/>
          <w:shd w:val="clear" w:fill="FFFFFF"/>
          <w:lang w:val="en-US" w:eastAsia="zh-CN" w:bidi="ar"/>
        </w:rPr>
        <w:t>（三）</w:t>
      </w:r>
      <w:r>
        <w:rPr>
          <w:rFonts w:hint="eastAsia" w:ascii="楷体_GB2312" w:hAnsi="Times New Roman" w:eastAsia="楷体_GB2312" w:cs="楷体_GB2312"/>
          <w:b/>
          <w:bCs/>
          <w:kern w:val="2"/>
          <w:sz w:val="32"/>
          <w:szCs w:val="32"/>
          <w:lang w:val="en-US" w:eastAsia="zh-CN" w:bidi="ar"/>
        </w:rPr>
        <w:t>绩效结果应用情况。</w:t>
      </w:r>
    </w:p>
    <w:p w14:paraId="464D0069">
      <w:pPr>
        <w:keepNext w:val="0"/>
        <w:keepLines w:val="0"/>
        <w:widowControl w:val="0"/>
        <w:suppressLineNumbers w:val="0"/>
        <w:autoSpaceDE w:val="0"/>
        <w:autoSpaceDN/>
        <w:snapToGrid w:val="0"/>
        <w:spacing w:before="0" w:beforeAutospacing="0" w:after="0" w:afterAutospacing="0" w:line="600" w:lineRule="exact"/>
        <w:ind w:left="0" w:right="0" w:firstLine="640" w:firstLineChars="200"/>
        <w:jc w:val="both"/>
        <w:rPr>
          <w:rFonts w:hint="default" w:ascii="Times New Roman" w:hAnsi="Times New Roman" w:eastAsia="仿宋_GB2312" w:cs="Times New Roman"/>
          <w:color w:val="000000"/>
          <w:kern w:val="0"/>
          <w:sz w:val="32"/>
          <w:szCs w:val="32"/>
          <w:highlight w:val="yellow"/>
          <w:shd w:val="clear" w:fill="FFFFFF"/>
        </w:rPr>
      </w:pPr>
      <w:r>
        <w:rPr>
          <w:rFonts w:hint="eastAsia" w:ascii="仿宋_GB2312" w:hAnsi="Times New Roman" w:eastAsia="仿宋_GB2312" w:cs="仿宋_GB2312"/>
          <w:color w:val="000000"/>
          <w:kern w:val="0"/>
          <w:sz w:val="32"/>
          <w:szCs w:val="32"/>
          <w:shd w:val="clear" w:fill="FFFFFF"/>
          <w:lang w:val="en-US" w:eastAsia="zh-CN" w:bidi="ar"/>
        </w:rPr>
        <w:t>因财政困难2024年常年项目资金拨付进度滞后，于2025年拨付并支付完成。</w:t>
      </w:r>
    </w:p>
    <w:p w14:paraId="32593403">
      <w:pPr>
        <w:keepNext w:val="0"/>
        <w:keepLines w:val="0"/>
        <w:widowControl/>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default" w:ascii="Times New Roman" w:hAnsi="Times New Roman" w:eastAsia="黑体" w:cs="Times New Roman"/>
          <w:color w:val="000000"/>
          <w:kern w:val="0"/>
          <w:sz w:val="32"/>
          <w:szCs w:val="32"/>
          <w:shd w:val="clear" w:fill="FFFFFF"/>
        </w:rPr>
      </w:pPr>
      <w:r>
        <w:rPr>
          <w:rFonts w:hint="eastAsia" w:ascii="黑体" w:hAnsi="宋体" w:eastAsia="黑体" w:cs="黑体"/>
          <w:color w:val="000000"/>
          <w:kern w:val="0"/>
          <w:sz w:val="32"/>
          <w:szCs w:val="32"/>
          <w:shd w:val="clear" w:fill="FFFFFF"/>
          <w:lang w:val="en-US" w:eastAsia="zh-CN" w:bidi="ar"/>
        </w:rPr>
        <w:t>四、评价结论及建议</w:t>
      </w:r>
    </w:p>
    <w:p w14:paraId="0FB0F781">
      <w:pPr>
        <w:keepNext w:val="0"/>
        <w:keepLines w:val="0"/>
        <w:widowControl/>
        <w:suppressLineNumbers w:val="0"/>
        <w:autoSpaceDE w:val="0"/>
        <w:autoSpaceDN/>
        <w:adjustRightInd w:val="0"/>
        <w:snapToGrid w:val="0"/>
        <w:spacing w:before="0" w:beforeAutospacing="0" w:after="0" w:afterAutospacing="0" w:line="576" w:lineRule="exact"/>
        <w:ind w:left="0" w:right="0" w:firstLine="643" w:firstLineChars="200"/>
        <w:contextualSpacing/>
        <w:jc w:val="left"/>
        <w:rPr>
          <w:rFonts w:hint="eastAsia" w:ascii="楷体_GB2312" w:eastAsia="楷体_GB2312" w:cs="楷体_GB2312"/>
          <w:b/>
          <w:bCs/>
          <w:color w:val="000000"/>
          <w:kern w:val="0"/>
          <w:sz w:val="32"/>
          <w:szCs w:val="32"/>
          <w:shd w:val="clear" w:fill="FFFFFF"/>
        </w:rPr>
      </w:pPr>
      <w:r>
        <w:rPr>
          <w:rFonts w:hint="eastAsia" w:ascii="楷体_GB2312" w:hAnsi="Times New Roman" w:eastAsia="楷体_GB2312" w:cs="楷体_GB2312"/>
          <w:b/>
          <w:bCs/>
          <w:color w:val="000000"/>
          <w:kern w:val="0"/>
          <w:sz w:val="32"/>
          <w:szCs w:val="32"/>
          <w:shd w:val="clear" w:fill="FFFFFF"/>
          <w:lang w:val="en-US" w:eastAsia="zh-CN" w:bidi="ar"/>
        </w:rPr>
        <w:t>（一）评价结论。</w:t>
      </w:r>
    </w:p>
    <w:p w14:paraId="498EE974">
      <w:pPr>
        <w:keepNext w:val="0"/>
        <w:keepLines w:val="0"/>
        <w:widowControl/>
        <w:suppressLineNumbers w:val="0"/>
        <w:autoSpaceDE w:val="0"/>
        <w:autoSpaceDN/>
        <w:adjustRightInd w:val="0"/>
        <w:snapToGrid w:val="0"/>
        <w:spacing w:before="0" w:beforeAutospacing="0" w:after="0" w:afterAutospacing="0" w:line="576" w:lineRule="exact"/>
        <w:ind w:left="0" w:right="0" w:firstLine="640" w:firstLineChars="200"/>
        <w:contextualSpacing/>
        <w:jc w:val="left"/>
        <w:rPr>
          <w:rFonts w:hint="eastAsia" w:ascii="仿宋_GB2312" w:hAnsi="宋体" w:eastAsia="仿宋_GB2312" w:cs="宋体"/>
          <w:color w:val="000000"/>
          <w:kern w:val="0"/>
          <w:sz w:val="32"/>
          <w:szCs w:val="32"/>
          <w:shd w:val="clear" w:fill="FFFFFF"/>
        </w:rPr>
      </w:pPr>
      <w:r>
        <w:rPr>
          <w:rFonts w:hint="eastAsia" w:ascii="仿宋_GB2312" w:hAnsi="宋体" w:eastAsia="仿宋_GB2312" w:cs="仿宋_GB2312"/>
          <w:color w:val="000000"/>
          <w:kern w:val="0"/>
          <w:sz w:val="32"/>
          <w:szCs w:val="32"/>
          <w:shd w:val="clear" w:fill="FFFFFF"/>
          <w:lang w:val="en-US" w:eastAsia="zh-CN" w:bidi="ar"/>
        </w:rPr>
        <w:t>经过认真开展对2025年我局部门预算支出绩效的评估，经自评，我局严格执行了《预算法》，认真按照财政规定编制完成了年度部门预算、决算工作</w:t>
      </w:r>
      <w:r>
        <w:rPr>
          <w:rFonts w:hint="eastAsia" w:ascii="仿宋_GB2312" w:hAnsi="宋体" w:eastAsia="仿宋_GB2312" w:cs="宋体"/>
          <w:color w:val="000000"/>
          <w:kern w:val="0"/>
          <w:sz w:val="32"/>
          <w:szCs w:val="32"/>
          <w:shd w:val="clear" w:fill="FFFFFF"/>
          <w:lang w:val="en-US" w:eastAsia="zh-CN" w:bidi="ar"/>
        </w:rPr>
        <w:t>,完成了对</w:t>
      </w:r>
      <w:r>
        <w:rPr>
          <w:rFonts w:hint="eastAsia" w:ascii="仿宋_GB2312" w:hAnsi="宋体" w:eastAsia="仿宋_GB2312" w:cs="仿宋_GB2312"/>
          <w:color w:val="000000"/>
          <w:kern w:val="0"/>
          <w:sz w:val="32"/>
          <w:szCs w:val="32"/>
          <w:shd w:val="clear" w:fill="FFFFFF"/>
          <w:lang w:val="en-US" w:eastAsia="zh-CN" w:bidi="ar"/>
        </w:rPr>
        <w:t>2025年部门预算支出绩效自评工作，我局部门支出绩效评价指标体系，自评打分为92分。</w:t>
      </w:r>
    </w:p>
    <w:p w14:paraId="25F33767">
      <w:pPr>
        <w:keepNext w:val="0"/>
        <w:keepLines w:val="0"/>
        <w:widowControl/>
        <w:suppressLineNumbers w:val="0"/>
        <w:autoSpaceDE w:val="0"/>
        <w:autoSpaceDN/>
        <w:adjustRightInd w:val="0"/>
        <w:snapToGrid w:val="0"/>
        <w:spacing w:before="0" w:beforeAutospacing="0" w:after="0" w:afterAutospacing="0" w:line="576" w:lineRule="exact"/>
        <w:ind w:left="0" w:right="0" w:firstLine="643" w:firstLineChars="200"/>
        <w:contextualSpacing/>
        <w:jc w:val="left"/>
        <w:rPr>
          <w:rFonts w:hint="eastAsia" w:ascii="仿宋_GB2312" w:hAnsi="宋体" w:eastAsia="仿宋_GB2312" w:cs="宋体"/>
          <w:color w:val="000000"/>
          <w:kern w:val="0"/>
          <w:sz w:val="32"/>
          <w:szCs w:val="32"/>
          <w:shd w:val="clear" w:fill="FFFFFF"/>
        </w:rPr>
      </w:pPr>
      <w:r>
        <w:rPr>
          <w:rFonts w:hint="eastAsia" w:ascii="楷体_GB2312" w:hAnsi="Times New Roman" w:eastAsia="楷体_GB2312" w:cs="楷体_GB2312"/>
          <w:b/>
          <w:bCs/>
          <w:color w:val="000000"/>
          <w:kern w:val="0"/>
          <w:sz w:val="32"/>
          <w:szCs w:val="32"/>
          <w:shd w:val="clear" w:fill="FFFFFF"/>
          <w:lang w:val="en-US" w:eastAsia="zh-CN" w:bidi="ar"/>
        </w:rPr>
        <w:t>（二）存在问题。</w:t>
      </w:r>
    </w:p>
    <w:p w14:paraId="553EC531">
      <w:pPr>
        <w:keepNext w:val="0"/>
        <w:keepLines w:val="0"/>
        <w:widowControl/>
        <w:suppressLineNumbers w:val="0"/>
        <w:autoSpaceDE w:val="0"/>
        <w:autoSpaceDN/>
        <w:adjustRightInd w:val="0"/>
        <w:snapToGrid w:val="0"/>
        <w:spacing w:before="0" w:beforeAutospacing="0" w:after="0" w:afterAutospacing="0" w:line="576" w:lineRule="exact"/>
        <w:ind w:left="0" w:right="0" w:firstLine="640" w:firstLineChars="200"/>
        <w:contextualSpacing/>
        <w:jc w:val="left"/>
        <w:rPr>
          <w:rFonts w:hint="eastAsia" w:ascii="仿宋_GB2312" w:hAnsi="宋体" w:eastAsia="仿宋_GB2312" w:cs="宋体"/>
          <w:color w:val="000000"/>
          <w:kern w:val="0"/>
          <w:sz w:val="32"/>
          <w:szCs w:val="32"/>
          <w:shd w:val="clear" w:fill="FFFFFF"/>
        </w:rPr>
      </w:pPr>
      <w:r>
        <w:rPr>
          <w:rFonts w:hint="eastAsia" w:ascii="仿宋_GB2312" w:hAnsi="宋体" w:eastAsia="仿宋_GB2312" w:cs="仿宋_GB2312"/>
          <w:color w:val="000000"/>
          <w:kern w:val="0"/>
          <w:sz w:val="32"/>
          <w:szCs w:val="32"/>
          <w:shd w:val="clear" w:fill="FFFFFF"/>
          <w:lang w:val="en-US" w:eastAsia="zh-CN" w:bidi="ar"/>
        </w:rPr>
        <w:t>预算编制的合理性及准确性有待提高。</w:t>
      </w:r>
    </w:p>
    <w:p w14:paraId="41815981">
      <w:pPr>
        <w:keepNext w:val="0"/>
        <w:keepLines w:val="0"/>
        <w:widowControl/>
        <w:suppressLineNumbers w:val="0"/>
        <w:autoSpaceDE w:val="0"/>
        <w:autoSpaceDN/>
        <w:adjustRightInd w:val="0"/>
        <w:snapToGrid w:val="0"/>
        <w:spacing w:before="0" w:beforeAutospacing="0" w:after="0" w:afterAutospacing="0" w:line="576" w:lineRule="exact"/>
        <w:ind w:left="0" w:right="0" w:firstLine="643" w:firstLineChars="200"/>
        <w:contextualSpacing/>
        <w:jc w:val="left"/>
        <w:rPr>
          <w:rFonts w:hint="eastAsia" w:ascii="楷体_GB2312" w:eastAsia="楷体_GB2312" w:cs="楷体_GB2312"/>
          <w:b/>
          <w:bCs/>
          <w:color w:val="000000"/>
          <w:kern w:val="0"/>
          <w:sz w:val="32"/>
          <w:szCs w:val="32"/>
          <w:shd w:val="clear" w:fill="FFFFFF"/>
        </w:rPr>
      </w:pPr>
      <w:r>
        <w:rPr>
          <w:rFonts w:hint="eastAsia" w:ascii="楷体_GB2312" w:hAnsi="Times New Roman" w:eastAsia="楷体_GB2312" w:cs="楷体_GB2312"/>
          <w:b/>
          <w:bCs/>
          <w:color w:val="000000"/>
          <w:kern w:val="0"/>
          <w:sz w:val="32"/>
          <w:szCs w:val="32"/>
          <w:shd w:val="clear" w:fill="FFFFFF"/>
          <w:lang w:val="en-US" w:eastAsia="zh-CN" w:bidi="ar"/>
        </w:rPr>
        <w:t>（三）改进建议。</w:t>
      </w:r>
    </w:p>
    <w:p w14:paraId="46A57DEE">
      <w:pPr>
        <w:keepNext w:val="0"/>
        <w:keepLines w:val="0"/>
        <w:widowControl/>
        <w:suppressLineNumbers w:val="0"/>
        <w:autoSpaceDE w:val="0"/>
        <w:autoSpaceDN/>
        <w:adjustRightInd w:val="0"/>
        <w:snapToGrid w:val="0"/>
        <w:spacing w:before="0" w:beforeAutospacing="0" w:after="0" w:afterAutospacing="0" w:line="576" w:lineRule="exact"/>
        <w:ind w:left="0" w:right="0" w:firstLine="643" w:firstLineChars="200"/>
        <w:contextualSpacing/>
        <w:jc w:val="left"/>
        <w:rPr>
          <w:rFonts w:hint="eastAsia" w:ascii="仿宋_GB2312" w:hAnsi="宋体" w:eastAsia="仿宋_GB2312" w:cs="宋体"/>
          <w:color w:val="000000"/>
          <w:kern w:val="0"/>
          <w:sz w:val="32"/>
          <w:szCs w:val="32"/>
          <w:shd w:val="clear" w:fill="FFFFFF"/>
        </w:rPr>
      </w:pPr>
      <w:r>
        <w:rPr>
          <w:rFonts w:hint="eastAsia" w:ascii="仿宋_GB2312" w:hAnsi="宋体" w:eastAsia="仿宋_GB2312" w:cs="宋体"/>
          <w:b/>
          <w:bCs/>
          <w:color w:val="000000"/>
          <w:kern w:val="0"/>
          <w:sz w:val="32"/>
          <w:szCs w:val="32"/>
          <w:shd w:val="clear" w:fill="FFFFFF"/>
          <w:lang w:val="en-US" w:eastAsia="zh-CN" w:bidi="ar"/>
        </w:rPr>
        <w:t>1、</w:t>
      </w:r>
      <w:r>
        <w:rPr>
          <w:rFonts w:hint="eastAsia" w:ascii="仿宋_GB2312" w:hAnsi="宋体" w:eastAsia="仿宋_GB2312" w:cs="仿宋_GB2312"/>
          <w:color w:val="000000"/>
          <w:kern w:val="0"/>
          <w:sz w:val="32"/>
          <w:szCs w:val="32"/>
          <w:shd w:val="clear" w:fill="FFFFFF"/>
          <w:lang w:val="en-US" w:eastAsia="zh-CN" w:bidi="ar"/>
        </w:rPr>
        <w:t>细化预算编制工作，认真做好预算的编制。严格按照预算编制的相关制度和要求进行预算编制</w:t>
      </w:r>
      <w:r>
        <w:rPr>
          <w:rFonts w:hint="eastAsia" w:ascii="仿宋_GB2312" w:hAnsi="宋体" w:eastAsia="仿宋_GB2312" w:cs="宋体"/>
          <w:color w:val="000000"/>
          <w:kern w:val="0"/>
          <w:sz w:val="32"/>
          <w:szCs w:val="32"/>
          <w:shd w:val="clear" w:fill="FFFFFF"/>
          <w:lang w:val="en-US" w:eastAsia="zh-CN" w:bidi="ar"/>
        </w:rPr>
        <w:t>,优先保障固定性的、相对刚性的费用支出项目，尽量压缩变动性的、有控制空间的费用项目，进一步提高预算编制的科学性、严谨性和可控性。加强内部预算编制的审核和预算控制指标的下达。</w:t>
      </w:r>
    </w:p>
    <w:p w14:paraId="09AF64D3">
      <w:pPr>
        <w:keepNext w:val="0"/>
        <w:keepLines w:val="0"/>
        <w:widowControl/>
        <w:suppressLineNumbers w:val="0"/>
        <w:autoSpaceDE w:val="0"/>
        <w:autoSpaceDN/>
        <w:adjustRightInd w:val="0"/>
        <w:snapToGrid w:val="0"/>
        <w:spacing w:before="0" w:beforeAutospacing="0" w:after="0" w:afterAutospacing="0" w:line="576" w:lineRule="exact"/>
        <w:ind w:left="0" w:right="0" w:firstLine="643" w:firstLineChars="200"/>
        <w:contextualSpacing/>
        <w:jc w:val="left"/>
        <w:rPr>
          <w:rFonts w:hint="eastAsia" w:ascii="仿宋_GB2312" w:hAnsi="宋体" w:eastAsia="仿宋_GB2312" w:cs="宋体"/>
          <w:color w:val="000000"/>
          <w:kern w:val="0"/>
          <w:sz w:val="32"/>
          <w:szCs w:val="32"/>
          <w:shd w:val="clear" w:fill="FFFFFF"/>
        </w:rPr>
      </w:pPr>
      <w:r>
        <w:rPr>
          <w:rFonts w:hint="eastAsia" w:ascii="仿宋_GB2312" w:hAnsi="宋体" w:eastAsia="仿宋_GB2312" w:cs="宋体"/>
          <w:b/>
          <w:bCs/>
          <w:color w:val="000000"/>
          <w:kern w:val="0"/>
          <w:sz w:val="32"/>
          <w:szCs w:val="32"/>
          <w:shd w:val="clear" w:fill="FFFFFF"/>
          <w:lang w:val="en-US" w:eastAsia="zh-CN" w:bidi="ar"/>
        </w:rPr>
        <w:t>2、</w:t>
      </w:r>
      <w:r>
        <w:rPr>
          <w:rFonts w:hint="eastAsia" w:ascii="仿宋_GB2312" w:hAnsi="宋体" w:eastAsia="仿宋_GB2312" w:cs="仿宋_GB2312"/>
          <w:color w:val="000000"/>
          <w:kern w:val="0"/>
          <w:sz w:val="32"/>
          <w:szCs w:val="32"/>
          <w:shd w:val="clear" w:fill="FFFFFF"/>
          <w:lang w:val="en-US" w:eastAsia="zh-CN" w:bidi="ar"/>
        </w:rPr>
        <w:t>加强财务管理，严格财务审核。在费用报账支付时，按照预算规定的费用项目和用途进行资金使用审核、列报支付、财务核算，杜绝超支现象的发生。</w:t>
      </w:r>
    </w:p>
    <w:p w14:paraId="1E391C1F">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color w:val="000000"/>
          <w:kern w:val="0"/>
          <w:sz w:val="32"/>
          <w:szCs w:val="32"/>
          <w:shd w:val="clear" w:fill="FFFFFF"/>
          <w:lang w:val="en-US" w:eastAsia="zh-CN" w:bidi="ar"/>
        </w:rPr>
        <w:t>附表：</w:t>
      </w:r>
      <w:r>
        <w:rPr>
          <w:rFonts w:hint="default" w:ascii="Times New Roman" w:hAnsi="Times New Roman" w:eastAsia="仿宋_GB2312" w:cs="Times New Roman"/>
          <w:color w:val="000000"/>
          <w:kern w:val="0"/>
          <w:sz w:val="32"/>
          <w:szCs w:val="32"/>
          <w:shd w:val="clear" w:fill="FFFFFF"/>
          <w:lang w:val="en-US" w:eastAsia="zh-CN" w:bidi="ar"/>
        </w:rPr>
        <w:t>1.</w:t>
      </w:r>
      <w:r>
        <w:rPr>
          <w:rFonts w:hint="eastAsia" w:ascii="仿宋_GB2312" w:hAnsi="Times New Roman" w:eastAsia="仿宋_GB2312" w:cs="仿宋_GB2312"/>
          <w:kern w:val="2"/>
          <w:sz w:val="32"/>
          <w:szCs w:val="32"/>
          <w:lang w:val="en-US" w:eastAsia="zh-CN" w:bidi="ar"/>
        </w:rPr>
        <w:t>部门预算绩效自评打分表</w:t>
      </w:r>
    </w:p>
    <w:p w14:paraId="270160B9">
      <w:pPr>
        <w:keepNext w:val="0"/>
        <w:keepLines w:val="0"/>
        <w:widowControl w:val="0"/>
        <w:suppressLineNumbers w:val="0"/>
        <w:autoSpaceDE w:val="0"/>
        <w:autoSpaceDN/>
        <w:spacing w:before="0" w:beforeAutospacing="0" w:after="0" w:afterAutospacing="0" w:line="578" w:lineRule="exact"/>
        <w:ind w:left="0" w:right="0" w:firstLine="1600" w:firstLineChars="500"/>
        <w:jc w:val="both"/>
        <w:rPr>
          <w:rFonts w:hint="eastAsia" w:ascii="黑体" w:hAnsi="宋体" w:eastAsia="黑体" w:cs="黑体"/>
          <w:kern w:val="2"/>
          <w:sz w:val="32"/>
          <w:szCs w:val="32"/>
          <w:lang w:val="en-US" w:eastAsia="zh-CN" w:bidi="ar"/>
        </w:rPr>
      </w:pPr>
      <w:r>
        <w:rPr>
          <w:rFonts w:hint="default" w:ascii="Times New Roman" w:hAnsi="Times New Roman" w:eastAsia="仿宋_GB2312" w:cs="Times New Roman"/>
          <w:kern w:val="2"/>
          <w:sz w:val="32"/>
          <w:szCs w:val="32"/>
          <w:lang w:val="en-US" w:eastAsia="zh-CN" w:bidi="ar"/>
        </w:rPr>
        <w:t>2.</w:t>
      </w:r>
      <w:r>
        <w:rPr>
          <w:rFonts w:hint="eastAsia" w:ascii="仿宋_GB2312" w:hAnsi="Times New Roman" w:eastAsia="仿宋_GB2312" w:cs="仿宋_GB2312"/>
          <w:color w:val="000000"/>
          <w:kern w:val="0"/>
          <w:sz w:val="32"/>
          <w:szCs w:val="32"/>
          <w:shd w:val="clear" w:fill="FFFFFF"/>
          <w:lang w:val="en-US" w:eastAsia="zh-CN" w:bidi="ar"/>
        </w:rPr>
        <w:t>部门整体绩效目标完成情况自评表</w:t>
      </w:r>
    </w:p>
    <w:p w14:paraId="4A08A5E3">
      <w:pPr>
        <w:keepNext w:val="0"/>
        <w:keepLines w:val="0"/>
        <w:widowControl w:val="0"/>
        <w:suppressLineNumbers w:val="0"/>
        <w:autoSpaceDE w:val="0"/>
        <w:autoSpaceDN/>
        <w:spacing w:before="0" w:beforeAutospacing="0" w:after="0" w:afterAutospacing="0" w:line="578" w:lineRule="exact"/>
        <w:ind w:left="0" w:right="0"/>
        <w:jc w:val="left"/>
        <w:rPr>
          <w:rFonts w:hint="eastAsia" w:ascii="Times New Roman" w:hAnsi="Times New Roman" w:eastAsia="黑体" w:cs="Times New Roman"/>
          <w:kern w:val="2"/>
          <w:sz w:val="32"/>
          <w:szCs w:val="32"/>
        </w:rPr>
      </w:pPr>
      <w:r>
        <w:rPr>
          <w:rFonts w:hint="eastAsia" w:ascii="黑体" w:hAnsi="宋体" w:eastAsia="黑体" w:cs="黑体"/>
          <w:kern w:val="2"/>
          <w:sz w:val="32"/>
          <w:szCs w:val="32"/>
          <w:lang w:val="en-US" w:eastAsia="zh-CN" w:bidi="ar"/>
        </w:rPr>
        <w:t>附表</w:t>
      </w:r>
      <w:r>
        <w:rPr>
          <w:rFonts w:hint="default" w:ascii="Times New Roman" w:hAnsi="Times New Roman" w:eastAsia="黑体" w:cs="Times New Roman"/>
          <w:kern w:val="2"/>
          <w:sz w:val="32"/>
          <w:szCs w:val="32"/>
          <w:lang w:val="en-US" w:eastAsia="zh-CN" w:bidi="ar"/>
        </w:rPr>
        <w:t>1</w:t>
      </w:r>
    </w:p>
    <w:p w14:paraId="4E4782D8">
      <w:pPr>
        <w:keepNext w:val="0"/>
        <w:keepLines w:val="0"/>
        <w:widowControl/>
        <w:suppressLineNumbers w:val="0"/>
        <w:autoSpaceDE w:val="0"/>
        <w:autoSpaceDN/>
        <w:spacing w:before="0" w:beforeAutospacing="0" w:after="0" w:afterAutospacing="0" w:line="600" w:lineRule="exact"/>
        <w:ind w:left="0" w:right="0"/>
        <w:jc w:val="center"/>
        <w:textAlignment w:val="center"/>
        <w:rPr>
          <w:rFonts w:hint="eastAsia" w:ascii="Times New Roman" w:hAnsi="Times New Roman" w:eastAsia="方正小标宋简体" w:cs="Times New Roman"/>
          <w:i w:val="0"/>
          <w:color w:val="000000"/>
          <w:kern w:val="0"/>
          <w:sz w:val="44"/>
          <w:szCs w:val="44"/>
        </w:rPr>
      </w:pPr>
      <w:r>
        <w:rPr>
          <w:rFonts w:hint="eastAsia" w:ascii="方正小标宋简体" w:hAnsi="方正小标宋简体" w:eastAsia="方正小标宋简体" w:cs="方正小标宋简体"/>
          <w:i w:val="0"/>
          <w:color w:val="000000"/>
          <w:kern w:val="0"/>
          <w:sz w:val="44"/>
          <w:szCs w:val="44"/>
          <w:lang w:val="en-US" w:eastAsia="zh-CN" w:bidi="ar"/>
        </w:rPr>
        <w:t>部门预算绩效自评打分表</w:t>
      </w:r>
    </w:p>
    <w:tbl>
      <w:tblPr>
        <w:tblStyle w:val="16"/>
        <w:tblW w:w="108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04"/>
        <w:gridCol w:w="1462"/>
        <w:gridCol w:w="1665"/>
        <w:gridCol w:w="720"/>
        <w:gridCol w:w="4734"/>
        <w:gridCol w:w="756"/>
        <w:gridCol w:w="478"/>
      </w:tblGrid>
      <w:tr w14:paraId="49036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48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EEC357B">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黑体" w:hAnsi="宋体" w:eastAsia="黑体" w:cs="黑体"/>
                <w:i w:val="0"/>
                <w:color w:val="000000"/>
                <w:kern w:val="2"/>
                <w:sz w:val="24"/>
                <w:szCs w:val="24"/>
              </w:rPr>
            </w:pPr>
            <w:r>
              <w:rPr>
                <w:rFonts w:hint="eastAsia" w:ascii="黑体" w:hAnsi="宋体" w:eastAsia="黑体" w:cs="黑体"/>
                <w:i w:val="0"/>
                <w:color w:val="000000"/>
                <w:kern w:val="0"/>
                <w:sz w:val="24"/>
                <w:szCs w:val="24"/>
                <w:lang w:val="en-US" w:eastAsia="zh-CN" w:bidi="ar"/>
              </w:rPr>
              <w:t>绩效评价指标指标分值</w:t>
            </w:r>
          </w:p>
        </w:tc>
        <w:tc>
          <w:tcPr>
            <w:tcW w:w="4734" w:type="dxa"/>
            <w:vMerge w:val="restart"/>
            <w:tcBorders>
              <w:top w:val="single" w:color="000000" w:sz="4" w:space="0"/>
              <w:left w:val="nil"/>
              <w:bottom w:val="single" w:color="000000" w:sz="4" w:space="0"/>
              <w:right w:val="single" w:color="000000" w:sz="4" w:space="0"/>
            </w:tcBorders>
            <w:shd w:val="clear" w:color="auto" w:fill="auto"/>
            <w:vAlign w:val="center"/>
          </w:tcPr>
          <w:p w14:paraId="30911BFD">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黑体" w:hAnsi="宋体" w:eastAsia="黑体" w:cs="黑体"/>
                <w:i w:val="0"/>
                <w:color w:val="000000"/>
                <w:kern w:val="2"/>
                <w:sz w:val="24"/>
                <w:szCs w:val="24"/>
              </w:rPr>
            </w:pPr>
            <w:r>
              <w:rPr>
                <w:rFonts w:hint="eastAsia" w:ascii="黑体" w:hAnsi="宋体" w:eastAsia="黑体" w:cs="黑体"/>
                <w:i w:val="0"/>
                <w:color w:val="000000"/>
                <w:kern w:val="0"/>
                <w:sz w:val="24"/>
                <w:szCs w:val="24"/>
                <w:lang w:val="en-US" w:eastAsia="zh-CN" w:bidi="ar"/>
              </w:rPr>
              <w:t>指标解释</w:t>
            </w:r>
          </w:p>
        </w:tc>
        <w:tc>
          <w:tcPr>
            <w:tcW w:w="756" w:type="dxa"/>
            <w:vMerge w:val="restart"/>
            <w:tcBorders>
              <w:top w:val="single" w:color="000000" w:sz="4" w:space="0"/>
              <w:left w:val="nil"/>
              <w:bottom w:val="nil"/>
              <w:right w:val="single" w:color="000000" w:sz="4" w:space="0"/>
            </w:tcBorders>
            <w:shd w:val="clear" w:color="auto" w:fill="auto"/>
            <w:vAlign w:val="center"/>
          </w:tcPr>
          <w:p w14:paraId="0382E62C">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黑体" w:hAnsi="宋体" w:eastAsia="黑体" w:cs="黑体"/>
                <w:i w:val="0"/>
                <w:color w:val="000000"/>
                <w:kern w:val="0"/>
                <w:sz w:val="24"/>
                <w:szCs w:val="24"/>
              </w:rPr>
            </w:pPr>
            <w:r>
              <w:rPr>
                <w:rFonts w:hint="eastAsia" w:ascii="黑体" w:hAnsi="宋体" w:eastAsia="黑体" w:cs="黑体"/>
                <w:i w:val="0"/>
                <w:color w:val="000000"/>
                <w:kern w:val="0"/>
                <w:sz w:val="24"/>
                <w:szCs w:val="24"/>
                <w:lang w:val="en-US" w:eastAsia="zh-CN" w:bidi="ar"/>
              </w:rPr>
              <w:t>自评得分</w:t>
            </w:r>
          </w:p>
        </w:tc>
        <w:tc>
          <w:tcPr>
            <w:tcW w:w="478" w:type="dxa"/>
            <w:vMerge w:val="restart"/>
            <w:tcBorders>
              <w:top w:val="single" w:color="000000" w:sz="4" w:space="0"/>
              <w:left w:val="nil"/>
              <w:bottom w:val="nil"/>
              <w:right w:val="single" w:color="000000" w:sz="4" w:space="0"/>
            </w:tcBorders>
            <w:shd w:val="clear" w:color="auto" w:fill="auto"/>
            <w:vAlign w:val="center"/>
          </w:tcPr>
          <w:p w14:paraId="103F75F3">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黑体" w:hAnsi="宋体" w:eastAsia="黑体" w:cs="黑体"/>
                <w:i w:val="0"/>
                <w:color w:val="000000"/>
                <w:kern w:val="0"/>
                <w:sz w:val="24"/>
                <w:szCs w:val="24"/>
              </w:rPr>
            </w:pPr>
            <w:r>
              <w:rPr>
                <w:rFonts w:hint="eastAsia" w:ascii="黑体" w:hAnsi="宋体" w:eastAsia="黑体" w:cs="黑体"/>
                <w:i w:val="0"/>
                <w:color w:val="000000"/>
                <w:kern w:val="0"/>
                <w:sz w:val="24"/>
                <w:szCs w:val="24"/>
                <w:lang w:val="en-US" w:eastAsia="zh-CN" w:bidi="ar"/>
              </w:rPr>
              <w:t>备注</w:t>
            </w:r>
          </w:p>
        </w:tc>
      </w:tr>
      <w:tr w14:paraId="1F4C7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nil"/>
            </w:tcBorders>
            <w:shd w:val="clear" w:color="auto" w:fill="auto"/>
            <w:vAlign w:val="center"/>
          </w:tcPr>
          <w:p w14:paraId="462B19E9">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黑体" w:hAnsi="宋体" w:eastAsia="黑体" w:cs="黑体"/>
                <w:i w:val="0"/>
                <w:color w:val="000000"/>
                <w:kern w:val="2"/>
                <w:sz w:val="24"/>
                <w:szCs w:val="24"/>
              </w:rPr>
            </w:pPr>
            <w:r>
              <w:rPr>
                <w:rFonts w:hint="eastAsia" w:ascii="黑体" w:hAnsi="宋体" w:eastAsia="黑体" w:cs="黑体"/>
                <w:i w:val="0"/>
                <w:color w:val="000000"/>
                <w:kern w:val="0"/>
                <w:sz w:val="24"/>
                <w:szCs w:val="24"/>
                <w:lang w:val="en-US" w:eastAsia="zh-CN" w:bidi="ar"/>
              </w:rPr>
              <w:t>一级指标</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3550E">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黑体" w:hAnsi="宋体" w:eastAsia="黑体" w:cs="黑体"/>
                <w:i w:val="0"/>
                <w:color w:val="000000"/>
                <w:kern w:val="2"/>
                <w:sz w:val="24"/>
                <w:szCs w:val="24"/>
              </w:rPr>
            </w:pPr>
            <w:r>
              <w:rPr>
                <w:rFonts w:hint="eastAsia" w:ascii="黑体" w:hAnsi="宋体" w:eastAsia="黑体" w:cs="黑体"/>
                <w:i w:val="0"/>
                <w:color w:val="000000"/>
                <w:kern w:val="0"/>
                <w:sz w:val="24"/>
                <w:szCs w:val="24"/>
                <w:lang w:val="en-US" w:eastAsia="zh-CN" w:bidi="ar"/>
              </w:rPr>
              <w:t>二级指标</w:t>
            </w:r>
          </w:p>
        </w:tc>
        <w:tc>
          <w:tcPr>
            <w:tcW w:w="1665" w:type="dxa"/>
            <w:tcBorders>
              <w:top w:val="single" w:color="000000" w:sz="4" w:space="0"/>
              <w:left w:val="nil"/>
              <w:bottom w:val="single" w:color="000000" w:sz="4" w:space="0"/>
              <w:right w:val="single" w:color="000000" w:sz="4" w:space="0"/>
            </w:tcBorders>
            <w:shd w:val="clear" w:color="auto" w:fill="auto"/>
            <w:vAlign w:val="center"/>
          </w:tcPr>
          <w:p w14:paraId="76129C5B">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黑体" w:hAnsi="宋体" w:eastAsia="黑体" w:cs="黑体"/>
                <w:i w:val="0"/>
                <w:color w:val="000000"/>
                <w:kern w:val="2"/>
                <w:sz w:val="24"/>
                <w:szCs w:val="24"/>
              </w:rPr>
            </w:pPr>
            <w:r>
              <w:rPr>
                <w:rFonts w:hint="eastAsia" w:ascii="黑体" w:hAnsi="宋体" w:eastAsia="黑体" w:cs="黑体"/>
                <w:i w:val="0"/>
                <w:color w:val="000000"/>
                <w:kern w:val="0"/>
                <w:sz w:val="24"/>
                <w:szCs w:val="24"/>
                <w:lang w:val="en-US" w:eastAsia="zh-CN" w:bidi="ar"/>
              </w:rPr>
              <w:t>三级指标</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1A050C47">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黑体" w:hAnsi="宋体" w:eastAsia="黑体" w:cs="黑体"/>
                <w:i w:val="0"/>
                <w:color w:val="000000"/>
                <w:kern w:val="2"/>
                <w:sz w:val="24"/>
                <w:szCs w:val="24"/>
              </w:rPr>
            </w:pPr>
            <w:r>
              <w:rPr>
                <w:rFonts w:hint="eastAsia" w:ascii="黑体" w:hAnsi="宋体" w:eastAsia="黑体" w:cs="黑体"/>
                <w:i w:val="0"/>
                <w:color w:val="000000"/>
                <w:kern w:val="0"/>
                <w:sz w:val="24"/>
                <w:szCs w:val="24"/>
                <w:lang w:val="en-US" w:eastAsia="zh-CN" w:bidi="ar"/>
              </w:rPr>
              <w:t>指标</w:t>
            </w:r>
            <w:r>
              <w:rPr>
                <w:rFonts w:hint="eastAsia" w:ascii="黑体" w:hAnsi="宋体" w:eastAsia="黑体" w:cs="黑体"/>
                <w:i w:val="0"/>
                <w:color w:val="000000"/>
                <w:kern w:val="0"/>
                <w:sz w:val="24"/>
                <w:szCs w:val="24"/>
                <w:lang w:val="en-US" w:eastAsia="zh-CN" w:bidi="ar"/>
              </w:rPr>
              <w:br w:type="textWrapping"/>
            </w:r>
            <w:r>
              <w:rPr>
                <w:rFonts w:hint="eastAsia" w:ascii="黑体" w:hAnsi="宋体" w:eastAsia="黑体" w:cs="黑体"/>
                <w:i w:val="0"/>
                <w:color w:val="000000"/>
                <w:kern w:val="0"/>
                <w:sz w:val="24"/>
                <w:szCs w:val="24"/>
                <w:lang w:val="en-US" w:eastAsia="zh-CN" w:bidi="ar"/>
              </w:rPr>
              <w:t>分值</w:t>
            </w:r>
          </w:p>
        </w:tc>
        <w:tc>
          <w:tcPr>
            <w:tcW w:w="4734" w:type="dxa"/>
            <w:vMerge w:val="continue"/>
            <w:tcBorders>
              <w:top w:val="single" w:color="000000" w:sz="4" w:space="0"/>
              <w:left w:val="nil"/>
              <w:bottom w:val="single" w:color="000000" w:sz="4" w:space="0"/>
              <w:right w:val="single" w:color="000000" w:sz="4" w:space="0"/>
            </w:tcBorders>
            <w:shd w:val="clear" w:color="auto" w:fill="auto"/>
            <w:vAlign w:val="center"/>
          </w:tcPr>
          <w:p w14:paraId="4199789B">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56" w:type="dxa"/>
            <w:vMerge w:val="continue"/>
            <w:tcBorders>
              <w:top w:val="single" w:color="000000" w:sz="4" w:space="0"/>
              <w:left w:val="nil"/>
              <w:bottom w:val="nil"/>
              <w:right w:val="single" w:color="000000" w:sz="4" w:space="0"/>
            </w:tcBorders>
            <w:shd w:val="clear" w:color="auto" w:fill="auto"/>
            <w:vAlign w:val="center"/>
          </w:tcPr>
          <w:p w14:paraId="5871F755">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78" w:type="dxa"/>
            <w:vMerge w:val="continue"/>
            <w:tcBorders>
              <w:top w:val="single" w:color="000000" w:sz="4" w:space="0"/>
              <w:left w:val="nil"/>
              <w:bottom w:val="nil"/>
              <w:right w:val="single" w:color="000000" w:sz="4" w:space="0"/>
            </w:tcBorders>
            <w:shd w:val="clear" w:color="auto" w:fill="auto"/>
            <w:vAlign w:val="center"/>
          </w:tcPr>
          <w:p w14:paraId="5CB0A52E">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14:paraId="02357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restart"/>
            <w:tcBorders>
              <w:top w:val="nil"/>
              <w:left w:val="single" w:color="000000" w:sz="4" w:space="0"/>
              <w:bottom w:val="single" w:color="000000" w:sz="4" w:space="0"/>
              <w:right w:val="single" w:color="000000" w:sz="4" w:space="0"/>
            </w:tcBorders>
            <w:shd w:val="clear" w:color="auto" w:fill="auto"/>
            <w:vAlign w:val="center"/>
          </w:tcPr>
          <w:p w14:paraId="5A3B5ADD">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b/>
                <w:bCs w:val="0"/>
                <w:i w:val="0"/>
                <w:color w:val="000000"/>
                <w:kern w:val="2"/>
                <w:sz w:val="24"/>
                <w:szCs w:val="24"/>
              </w:rPr>
            </w:pPr>
            <w:r>
              <w:rPr>
                <w:rFonts w:hint="eastAsia" w:ascii="宋体" w:hAnsi="宋体" w:eastAsia="宋体" w:cs="宋体"/>
                <w:b/>
                <w:bCs w:val="0"/>
                <w:i w:val="0"/>
                <w:color w:val="000000"/>
                <w:kern w:val="0"/>
                <w:sz w:val="24"/>
                <w:szCs w:val="24"/>
                <w:lang w:val="en-US" w:eastAsia="zh-CN" w:bidi="ar"/>
              </w:rPr>
              <w:t>总体绩效</w:t>
            </w:r>
            <w:r>
              <w:rPr>
                <w:rFonts w:hint="eastAsia" w:ascii="宋体" w:hAnsi="宋体" w:eastAsia="宋体" w:cs="宋体"/>
                <w:b/>
                <w:bCs w:val="0"/>
                <w:i w:val="0"/>
                <w:color w:val="000000"/>
                <w:kern w:val="0"/>
                <w:sz w:val="24"/>
                <w:szCs w:val="24"/>
                <w:lang w:val="en-US" w:eastAsia="zh-CN" w:bidi="ar"/>
              </w:rPr>
              <w:br w:type="textWrapping"/>
            </w:r>
            <w:r>
              <w:rPr>
                <w:rFonts w:hint="eastAsia" w:ascii="宋体" w:hAnsi="宋体" w:eastAsia="宋体" w:cs="宋体"/>
                <w:b/>
                <w:bCs w:val="0"/>
                <w:i w:val="0"/>
                <w:color w:val="000000"/>
                <w:kern w:val="0"/>
                <w:sz w:val="24"/>
                <w:szCs w:val="24"/>
                <w:lang w:val="en-US" w:eastAsia="zh-CN" w:bidi="ar"/>
              </w:rPr>
              <w:t>（65分）</w:t>
            </w:r>
          </w:p>
        </w:tc>
        <w:tc>
          <w:tcPr>
            <w:tcW w:w="1462" w:type="dxa"/>
            <w:tcBorders>
              <w:top w:val="single" w:color="000000" w:sz="4" w:space="0"/>
              <w:left w:val="nil"/>
              <w:bottom w:val="single" w:color="000000" w:sz="4" w:space="0"/>
              <w:right w:val="single" w:color="000000" w:sz="4" w:space="0"/>
            </w:tcBorders>
            <w:shd w:val="clear" w:color="auto" w:fill="auto"/>
            <w:vAlign w:val="center"/>
          </w:tcPr>
          <w:p w14:paraId="64BA0021">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b/>
                <w:bCs w:val="0"/>
                <w:i w:val="0"/>
                <w:color w:val="000000"/>
                <w:kern w:val="2"/>
                <w:sz w:val="24"/>
                <w:szCs w:val="24"/>
              </w:rPr>
            </w:pPr>
            <w:r>
              <w:rPr>
                <w:rFonts w:hint="eastAsia" w:ascii="宋体" w:hAnsi="宋体" w:eastAsia="宋体" w:cs="宋体"/>
                <w:b/>
                <w:bCs w:val="0"/>
                <w:i w:val="0"/>
                <w:color w:val="000000"/>
                <w:kern w:val="0"/>
                <w:sz w:val="24"/>
                <w:szCs w:val="24"/>
                <w:lang w:val="en-US" w:eastAsia="zh-CN" w:bidi="ar"/>
              </w:rPr>
              <w:t>履职效能</w:t>
            </w:r>
            <w:r>
              <w:rPr>
                <w:rFonts w:hint="eastAsia" w:ascii="宋体" w:hAnsi="宋体" w:eastAsia="宋体" w:cs="宋体"/>
                <w:b/>
                <w:bCs w:val="0"/>
                <w:i w:val="0"/>
                <w:color w:val="000000"/>
                <w:kern w:val="0"/>
                <w:sz w:val="24"/>
                <w:szCs w:val="24"/>
                <w:lang w:val="en-US" w:eastAsia="zh-CN" w:bidi="ar"/>
              </w:rPr>
              <w:br w:type="textWrapping"/>
            </w:r>
            <w:r>
              <w:rPr>
                <w:rFonts w:hint="eastAsia" w:ascii="宋体" w:hAnsi="宋体" w:eastAsia="宋体" w:cs="宋体"/>
                <w:b/>
                <w:bCs w:val="0"/>
                <w:i w:val="0"/>
                <w:color w:val="000000"/>
                <w:kern w:val="0"/>
                <w:sz w:val="24"/>
                <w:szCs w:val="24"/>
                <w:lang w:val="en-US" w:eastAsia="zh-CN" w:bidi="ar"/>
              </w:rPr>
              <w:t>（15分）</w:t>
            </w:r>
          </w:p>
        </w:tc>
        <w:tc>
          <w:tcPr>
            <w:tcW w:w="1665" w:type="dxa"/>
            <w:tcBorders>
              <w:top w:val="single" w:color="000000" w:sz="4" w:space="0"/>
              <w:left w:val="nil"/>
              <w:bottom w:val="single" w:color="000000" w:sz="4" w:space="0"/>
              <w:right w:val="single" w:color="000000" w:sz="4" w:space="0"/>
            </w:tcBorders>
            <w:shd w:val="clear" w:color="auto" w:fill="auto"/>
            <w:vAlign w:val="center"/>
          </w:tcPr>
          <w:p w14:paraId="419E75E2">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履职效果</w:t>
            </w:r>
          </w:p>
        </w:tc>
        <w:tc>
          <w:tcPr>
            <w:tcW w:w="720" w:type="dxa"/>
            <w:tcBorders>
              <w:top w:val="nil"/>
              <w:left w:val="nil"/>
              <w:bottom w:val="single" w:color="000000" w:sz="4" w:space="0"/>
              <w:right w:val="single" w:color="000000" w:sz="4" w:space="0"/>
            </w:tcBorders>
            <w:shd w:val="clear" w:color="auto" w:fill="auto"/>
            <w:vAlign w:val="center"/>
          </w:tcPr>
          <w:p w14:paraId="531B17AE">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15</w:t>
            </w:r>
          </w:p>
        </w:tc>
        <w:tc>
          <w:tcPr>
            <w:tcW w:w="4734" w:type="dxa"/>
            <w:tcBorders>
              <w:top w:val="single" w:color="000000" w:sz="4" w:space="0"/>
              <w:left w:val="nil"/>
              <w:bottom w:val="single" w:color="000000" w:sz="4" w:space="0"/>
              <w:right w:val="single" w:color="000000" w:sz="4" w:space="0"/>
            </w:tcBorders>
            <w:shd w:val="clear" w:color="auto" w:fill="auto"/>
            <w:vAlign w:val="center"/>
          </w:tcPr>
          <w:p w14:paraId="3D01D103">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部门整体绩效目标中选定3-5个核心职能目标，反映该项职能目标完成效果情况</w:t>
            </w:r>
          </w:p>
        </w:tc>
        <w:tc>
          <w:tcPr>
            <w:tcW w:w="756" w:type="dxa"/>
            <w:tcBorders>
              <w:top w:val="single" w:color="000000" w:sz="4" w:space="0"/>
              <w:left w:val="nil"/>
              <w:bottom w:val="single" w:color="000000" w:sz="4" w:space="0"/>
              <w:right w:val="single" w:color="000000" w:sz="4" w:space="0"/>
            </w:tcBorders>
            <w:shd w:val="clear" w:color="auto" w:fill="auto"/>
            <w:vAlign w:val="center"/>
          </w:tcPr>
          <w:p w14:paraId="57A9B56C">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0"/>
                <w:sz w:val="24"/>
                <w:szCs w:val="24"/>
              </w:rPr>
            </w:pPr>
            <w:r>
              <w:rPr>
                <w:rFonts w:hint="eastAsia" w:ascii="宋体" w:hAnsi="宋体" w:eastAsia="宋体" w:cs="宋体"/>
                <w:i w:val="0"/>
                <w:color w:val="000000"/>
                <w:kern w:val="0"/>
                <w:sz w:val="24"/>
                <w:szCs w:val="24"/>
                <w:lang w:val="en-US" w:eastAsia="zh-CN" w:bidi="ar"/>
              </w:rPr>
              <w:t>13</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4B238E7D">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0"/>
                <w:sz w:val="24"/>
                <w:szCs w:val="24"/>
              </w:rPr>
            </w:pPr>
          </w:p>
        </w:tc>
      </w:tr>
      <w:tr w14:paraId="6CA51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nil"/>
              <w:left w:val="single" w:color="000000" w:sz="4" w:space="0"/>
              <w:bottom w:val="single" w:color="000000" w:sz="4" w:space="0"/>
              <w:right w:val="single" w:color="000000" w:sz="4" w:space="0"/>
            </w:tcBorders>
            <w:shd w:val="clear" w:color="auto" w:fill="auto"/>
            <w:vAlign w:val="center"/>
          </w:tcPr>
          <w:p w14:paraId="541BBAA1">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462" w:type="dxa"/>
            <w:vMerge w:val="restart"/>
            <w:tcBorders>
              <w:top w:val="nil"/>
              <w:left w:val="nil"/>
              <w:bottom w:val="single" w:color="000000" w:sz="4" w:space="0"/>
              <w:right w:val="single" w:color="000000" w:sz="4" w:space="0"/>
            </w:tcBorders>
            <w:shd w:val="clear" w:color="auto" w:fill="auto"/>
            <w:vAlign w:val="center"/>
          </w:tcPr>
          <w:p w14:paraId="7ABF327A">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b/>
                <w:bCs w:val="0"/>
                <w:i w:val="0"/>
                <w:color w:val="000000"/>
                <w:kern w:val="2"/>
                <w:sz w:val="24"/>
                <w:szCs w:val="24"/>
              </w:rPr>
            </w:pPr>
            <w:r>
              <w:rPr>
                <w:rFonts w:hint="eastAsia" w:ascii="宋体" w:hAnsi="宋体" w:eastAsia="宋体" w:cs="宋体"/>
                <w:b/>
                <w:bCs w:val="0"/>
                <w:i w:val="0"/>
                <w:color w:val="000000"/>
                <w:kern w:val="0"/>
                <w:sz w:val="24"/>
                <w:szCs w:val="24"/>
                <w:lang w:val="en-US" w:eastAsia="zh-CN" w:bidi="ar"/>
              </w:rPr>
              <w:t>预算管理</w:t>
            </w:r>
            <w:r>
              <w:rPr>
                <w:rFonts w:hint="eastAsia" w:ascii="宋体" w:hAnsi="宋体" w:eastAsia="宋体" w:cs="宋体"/>
                <w:b/>
                <w:bCs w:val="0"/>
                <w:i w:val="0"/>
                <w:color w:val="000000"/>
                <w:kern w:val="0"/>
                <w:sz w:val="24"/>
                <w:szCs w:val="24"/>
                <w:lang w:val="en-US" w:eastAsia="zh-CN" w:bidi="ar"/>
              </w:rPr>
              <w:br w:type="textWrapping"/>
            </w:r>
            <w:r>
              <w:rPr>
                <w:rFonts w:hint="eastAsia" w:ascii="宋体" w:hAnsi="宋体" w:eastAsia="宋体" w:cs="宋体"/>
                <w:b/>
                <w:bCs w:val="0"/>
                <w:i w:val="0"/>
                <w:color w:val="000000"/>
                <w:kern w:val="0"/>
                <w:sz w:val="24"/>
                <w:szCs w:val="24"/>
                <w:lang w:val="en-US" w:eastAsia="zh-CN" w:bidi="ar"/>
              </w:rPr>
              <w:t>（25分）</w:t>
            </w:r>
          </w:p>
        </w:tc>
        <w:tc>
          <w:tcPr>
            <w:tcW w:w="1665" w:type="dxa"/>
            <w:tcBorders>
              <w:top w:val="single" w:color="000000" w:sz="4" w:space="0"/>
              <w:left w:val="nil"/>
              <w:bottom w:val="single" w:color="000000" w:sz="4" w:space="0"/>
              <w:right w:val="single" w:color="000000" w:sz="4" w:space="0"/>
            </w:tcBorders>
            <w:shd w:val="clear" w:color="auto" w:fill="auto"/>
            <w:vAlign w:val="center"/>
          </w:tcPr>
          <w:p w14:paraId="6FA4D791">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预算编制质量</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05F55DBB">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8</w:t>
            </w:r>
          </w:p>
        </w:tc>
        <w:tc>
          <w:tcPr>
            <w:tcW w:w="4734" w:type="dxa"/>
            <w:tcBorders>
              <w:top w:val="single" w:color="000000" w:sz="4" w:space="0"/>
              <w:left w:val="nil"/>
              <w:bottom w:val="single" w:color="000000" w:sz="4" w:space="0"/>
              <w:right w:val="single" w:color="000000" w:sz="4" w:space="0"/>
            </w:tcBorders>
            <w:shd w:val="clear" w:color="auto" w:fill="auto"/>
            <w:vAlign w:val="center"/>
          </w:tcPr>
          <w:p w14:paraId="282CA8D7">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部门是否严格按要求编制年初部门预算，年初预算编制的科学性和准确性</w:t>
            </w:r>
          </w:p>
        </w:tc>
        <w:tc>
          <w:tcPr>
            <w:tcW w:w="756" w:type="dxa"/>
            <w:tcBorders>
              <w:top w:val="single" w:color="000000" w:sz="4" w:space="0"/>
              <w:left w:val="nil"/>
              <w:bottom w:val="single" w:color="000000" w:sz="4" w:space="0"/>
              <w:right w:val="single" w:color="000000" w:sz="4" w:space="0"/>
            </w:tcBorders>
            <w:shd w:val="clear" w:color="auto" w:fill="auto"/>
            <w:vAlign w:val="center"/>
          </w:tcPr>
          <w:p w14:paraId="1C06A66F">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0"/>
                <w:sz w:val="24"/>
                <w:szCs w:val="24"/>
              </w:rPr>
            </w:pPr>
            <w:r>
              <w:rPr>
                <w:rFonts w:hint="eastAsia" w:ascii="宋体" w:hAnsi="宋体" w:eastAsia="宋体" w:cs="宋体"/>
                <w:i w:val="0"/>
                <w:color w:val="000000"/>
                <w:kern w:val="0"/>
                <w:sz w:val="24"/>
                <w:szCs w:val="24"/>
                <w:lang w:val="en-US" w:eastAsia="zh-CN" w:bidi="ar"/>
              </w:rPr>
              <w:t>7</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3BEC6319">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0"/>
                <w:sz w:val="24"/>
                <w:szCs w:val="24"/>
              </w:rPr>
            </w:pPr>
          </w:p>
        </w:tc>
      </w:tr>
      <w:tr w14:paraId="6A5A8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nil"/>
              <w:left w:val="single" w:color="000000" w:sz="4" w:space="0"/>
              <w:bottom w:val="single" w:color="000000" w:sz="4" w:space="0"/>
              <w:right w:val="single" w:color="000000" w:sz="4" w:space="0"/>
            </w:tcBorders>
            <w:shd w:val="clear" w:color="auto" w:fill="auto"/>
            <w:vAlign w:val="center"/>
          </w:tcPr>
          <w:p w14:paraId="2F0C8E67">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462" w:type="dxa"/>
            <w:vMerge w:val="continue"/>
            <w:tcBorders>
              <w:top w:val="nil"/>
              <w:left w:val="nil"/>
              <w:bottom w:val="single" w:color="000000" w:sz="4" w:space="0"/>
              <w:right w:val="single" w:color="000000" w:sz="4" w:space="0"/>
            </w:tcBorders>
            <w:shd w:val="clear" w:color="auto" w:fill="auto"/>
            <w:vAlign w:val="center"/>
          </w:tcPr>
          <w:p w14:paraId="03868DA5">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65" w:type="dxa"/>
            <w:tcBorders>
              <w:top w:val="single" w:color="000000" w:sz="4" w:space="0"/>
              <w:left w:val="nil"/>
              <w:bottom w:val="single" w:color="000000" w:sz="4" w:space="0"/>
              <w:right w:val="single" w:color="000000" w:sz="4" w:space="0"/>
            </w:tcBorders>
            <w:shd w:val="clear" w:color="auto" w:fill="auto"/>
            <w:vAlign w:val="center"/>
          </w:tcPr>
          <w:p w14:paraId="69E5D207">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单位收入统筹</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7EC6B61C">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4</w:t>
            </w:r>
          </w:p>
        </w:tc>
        <w:tc>
          <w:tcPr>
            <w:tcW w:w="4734" w:type="dxa"/>
            <w:tcBorders>
              <w:top w:val="single" w:color="000000" w:sz="4" w:space="0"/>
              <w:left w:val="nil"/>
              <w:bottom w:val="single" w:color="000000" w:sz="4" w:space="0"/>
              <w:right w:val="single" w:color="000000" w:sz="4" w:space="0"/>
            </w:tcBorders>
            <w:shd w:val="clear" w:color="auto" w:fill="auto"/>
            <w:vAlign w:val="center"/>
          </w:tcPr>
          <w:p w14:paraId="522274EC">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部门统筹自有收入程度</w:t>
            </w:r>
          </w:p>
        </w:tc>
        <w:tc>
          <w:tcPr>
            <w:tcW w:w="756" w:type="dxa"/>
            <w:tcBorders>
              <w:top w:val="single" w:color="000000" w:sz="4" w:space="0"/>
              <w:left w:val="nil"/>
              <w:bottom w:val="single" w:color="000000" w:sz="4" w:space="0"/>
              <w:right w:val="single" w:color="000000" w:sz="4" w:space="0"/>
            </w:tcBorders>
            <w:shd w:val="clear" w:color="auto" w:fill="auto"/>
            <w:vAlign w:val="center"/>
          </w:tcPr>
          <w:p w14:paraId="690F2E23">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0"/>
                <w:sz w:val="24"/>
                <w:szCs w:val="24"/>
              </w:rPr>
            </w:pPr>
            <w:r>
              <w:rPr>
                <w:rFonts w:hint="eastAsia" w:ascii="宋体" w:hAnsi="宋体" w:eastAsia="宋体" w:cs="宋体"/>
                <w:i w:val="0"/>
                <w:color w:val="000000"/>
                <w:kern w:val="0"/>
                <w:sz w:val="24"/>
                <w:szCs w:val="24"/>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04786A7F">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0"/>
                <w:sz w:val="24"/>
                <w:szCs w:val="24"/>
              </w:rPr>
            </w:pPr>
          </w:p>
        </w:tc>
      </w:tr>
      <w:tr w14:paraId="13892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nil"/>
              <w:left w:val="single" w:color="000000" w:sz="4" w:space="0"/>
              <w:bottom w:val="single" w:color="000000" w:sz="4" w:space="0"/>
              <w:right w:val="single" w:color="000000" w:sz="4" w:space="0"/>
            </w:tcBorders>
            <w:shd w:val="clear" w:color="auto" w:fill="auto"/>
            <w:vAlign w:val="center"/>
          </w:tcPr>
          <w:p w14:paraId="00DD50E8">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462" w:type="dxa"/>
            <w:vMerge w:val="continue"/>
            <w:tcBorders>
              <w:top w:val="nil"/>
              <w:left w:val="nil"/>
              <w:bottom w:val="single" w:color="000000" w:sz="4" w:space="0"/>
              <w:right w:val="single" w:color="000000" w:sz="4" w:space="0"/>
            </w:tcBorders>
            <w:shd w:val="clear" w:color="auto" w:fill="auto"/>
            <w:vAlign w:val="center"/>
          </w:tcPr>
          <w:p w14:paraId="5B7D4E37">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65" w:type="dxa"/>
            <w:tcBorders>
              <w:top w:val="single" w:color="000000" w:sz="4" w:space="0"/>
              <w:left w:val="nil"/>
              <w:bottom w:val="single" w:color="000000" w:sz="4" w:space="0"/>
              <w:right w:val="single" w:color="000000" w:sz="4" w:space="0"/>
            </w:tcBorders>
            <w:shd w:val="clear" w:color="auto" w:fill="auto"/>
            <w:vAlign w:val="center"/>
          </w:tcPr>
          <w:p w14:paraId="68C2F2F5">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支出执行进度</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2639E64E">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6</w:t>
            </w:r>
          </w:p>
        </w:tc>
        <w:tc>
          <w:tcPr>
            <w:tcW w:w="4734" w:type="dxa"/>
            <w:tcBorders>
              <w:top w:val="single" w:color="000000" w:sz="4" w:space="0"/>
              <w:left w:val="nil"/>
              <w:bottom w:val="single" w:color="000000" w:sz="4" w:space="0"/>
              <w:right w:val="single" w:color="000000" w:sz="4" w:space="0"/>
            </w:tcBorders>
            <w:shd w:val="clear" w:color="auto" w:fill="auto"/>
            <w:vAlign w:val="center"/>
          </w:tcPr>
          <w:p w14:paraId="3A7DB7B9">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部门1至6月、1至10月预算执行情况</w:t>
            </w:r>
          </w:p>
        </w:tc>
        <w:tc>
          <w:tcPr>
            <w:tcW w:w="756" w:type="dxa"/>
            <w:tcBorders>
              <w:top w:val="single" w:color="000000" w:sz="4" w:space="0"/>
              <w:left w:val="nil"/>
              <w:bottom w:val="single" w:color="000000" w:sz="4" w:space="0"/>
              <w:right w:val="single" w:color="000000" w:sz="4" w:space="0"/>
            </w:tcBorders>
            <w:shd w:val="clear" w:color="auto" w:fill="auto"/>
            <w:vAlign w:val="center"/>
          </w:tcPr>
          <w:p w14:paraId="069948B1">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0"/>
                <w:sz w:val="24"/>
                <w:szCs w:val="24"/>
              </w:rPr>
            </w:pPr>
            <w:r>
              <w:rPr>
                <w:rFonts w:hint="eastAsia" w:ascii="宋体" w:hAnsi="宋体" w:eastAsia="宋体" w:cs="宋体"/>
                <w:i w:val="0"/>
                <w:color w:val="000000"/>
                <w:kern w:val="0"/>
                <w:sz w:val="24"/>
                <w:szCs w:val="24"/>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60D210AC">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0"/>
                <w:sz w:val="24"/>
                <w:szCs w:val="24"/>
              </w:rPr>
            </w:pPr>
          </w:p>
        </w:tc>
      </w:tr>
      <w:tr w14:paraId="12976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nil"/>
              <w:left w:val="single" w:color="000000" w:sz="4" w:space="0"/>
              <w:bottom w:val="single" w:color="000000" w:sz="4" w:space="0"/>
              <w:right w:val="single" w:color="000000" w:sz="4" w:space="0"/>
            </w:tcBorders>
            <w:shd w:val="clear" w:color="auto" w:fill="auto"/>
            <w:vAlign w:val="center"/>
          </w:tcPr>
          <w:p w14:paraId="2FA52374">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462" w:type="dxa"/>
            <w:vMerge w:val="continue"/>
            <w:tcBorders>
              <w:top w:val="nil"/>
              <w:left w:val="nil"/>
              <w:bottom w:val="single" w:color="000000" w:sz="4" w:space="0"/>
              <w:right w:val="single" w:color="000000" w:sz="4" w:space="0"/>
            </w:tcBorders>
            <w:shd w:val="clear" w:color="auto" w:fill="auto"/>
            <w:vAlign w:val="center"/>
          </w:tcPr>
          <w:p w14:paraId="6F2EE72D">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65" w:type="dxa"/>
            <w:tcBorders>
              <w:top w:val="single" w:color="000000" w:sz="4" w:space="0"/>
              <w:left w:val="nil"/>
              <w:bottom w:val="single" w:color="000000" w:sz="4" w:space="0"/>
              <w:right w:val="single" w:color="000000" w:sz="4" w:space="0"/>
            </w:tcBorders>
            <w:shd w:val="clear" w:color="auto" w:fill="auto"/>
            <w:vAlign w:val="center"/>
          </w:tcPr>
          <w:p w14:paraId="089D7C24">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预算年终结余</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545174BD">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2</w:t>
            </w:r>
          </w:p>
        </w:tc>
        <w:tc>
          <w:tcPr>
            <w:tcW w:w="4734" w:type="dxa"/>
            <w:tcBorders>
              <w:top w:val="single" w:color="000000" w:sz="4" w:space="0"/>
              <w:left w:val="nil"/>
              <w:bottom w:val="single" w:color="000000" w:sz="4" w:space="0"/>
              <w:right w:val="single" w:color="000000" w:sz="4" w:space="0"/>
            </w:tcBorders>
            <w:shd w:val="clear" w:color="auto" w:fill="auto"/>
            <w:vAlign w:val="center"/>
          </w:tcPr>
          <w:p w14:paraId="112994BE">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部门整体年终预算结余情况</w:t>
            </w:r>
          </w:p>
        </w:tc>
        <w:tc>
          <w:tcPr>
            <w:tcW w:w="756" w:type="dxa"/>
            <w:tcBorders>
              <w:top w:val="single" w:color="000000" w:sz="4" w:space="0"/>
              <w:left w:val="nil"/>
              <w:bottom w:val="single" w:color="000000" w:sz="4" w:space="0"/>
              <w:right w:val="single" w:color="000000" w:sz="4" w:space="0"/>
            </w:tcBorders>
            <w:shd w:val="clear" w:color="auto" w:fill="auto"/>
            <w:vAlign w:val="center"/>
          </w:tcPr>
          <w:p w14:paraId="45737A8E">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0"/>
                <w:sz w:val="24"/>
                <w:szCs w:val="24"/>
              </w:rPr>
            </w:pPr>
            <w:r>
              <w:rPr>
                <w:rFonts w:hint="eastAsia" w:ascii="宋体" w:hAnsi="宋体" w:eastAsia="宋体" w:cs="宋体"/>
                <w:i w:val="0"/>
                <w:color w:val="000000"/>
                <w:kern w:val="0"/>
                <w:sz w:val="24"/>
                <w:szCs w:val="24"/>
                <w:lang w:val="en-US" w:eastAsia="zh-CN" w:bidi="ar"/>
              </w:rPr>
              <w:t>2</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772F9636">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0"/>
                <w:sz w:val="24"/>
                <w:szCs w:val="24"/>
              </w:rPr>
            </w:pPr>
          </w:p>
        </w:tc>
      </w:tr>
      <w:tr w14:paraId="54289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nil"/>
              <w:left w:val="single" w:color="000000" w:sz="4" w:space="0"/>
              <w:bottom w:val="single" w:color="000000" w:sz="4" w:space="0"/>
              <w:right w:val="single" w:color="000000" w:sz="4" w:space="0"/>
            </w:tcBorders>
            <w:shd w:val="clear" w:color="auto" w:fill="auto"/>
            <w:vAlign w:val="center"/>
          </w:tcPr>
          <w:p w14:paraId="16EA5A14">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462" w:type="dxa"/>
            <w:vMerge w:val="continue"/>
            <w:tcBorders>
              <w:top w:val="nil"/>
              <w:left w:val="nil"/>
              <w:bottom w:val="single" w:color="000000" w:sz="4" w:space="0"/>
              <w:right w:val="single" w:color="000000" w:sz="4" w:space="0"/>
            </w:tcBorders>
            <w:shd w:val="clear" w:color="auto" w:fill="auto"/>
            <w:vAlign w:val="center"/>
          </w:tcPr>
          <w:p w14:paraId="63BC7FAD">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65" w:type="dxa"/>
            <w:tcBorders>
              <w:top w:val="single" w:color="000000" w:sz="4" w:space="0"/>
              <w:left w:val="nil"/>
              <w:bottom w:val="single" w:color="000000" w:sz="4" w:space="0"/>
              <w:right w:val="single" w:color="000000" w:sz="4" w:space="0"/>
            </w:tcBorders>
            <w:shd w:val="clear" w:color="auto" w:fill="auto"/>
            <w:vAlign w:val="center"/>
          </w:tcPr>
          <w:p w14:paraId="79C35588">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严控一般性支出</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377C214B">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5</w:t>
            </w:r>
          </w:p>
        </w:tc>
        <w:tc>
          <w:tcPr>
            <w:tcW w:w="4734" w:type="dxa"/>
            <w:tcBorders>
              <w:top w:val="single" w:color="000000" w:sz="4" w:space="0"/>
              <w:left w:val="nil"/>
              <w:bottom w:val="single" w:color="000000" w:sz="4" w:space="0"/>
              <w:right w:val="single" w:color="000000" w:sz="4" w:space="0"/>
            </w:tcBorders>
            <w:shd w:val="clear" w:color="auto" w:fill="auto"/>
            <w:vAlign w:val="center"/>
          </w:tcPr>
          <w:p w14:paraId="6E50C107">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部门严控“三公”经费、会议、培训、差旅、办节办展、办公设备购置、信息网络及软件购置更新、课题经费等8项一般性支出情况</w:t>
            </w:r>
          </w:p>
        </w:tc>
        <w:tc>
          <w:tcPr>
            <w:tcW w:w="756" w:type="dxa"/>
            <w:tcBorders>
              <w:top w:val="single" w:color="000000" w:sz="4" w:space="0"/>
              <w:left w:val="nil"/>
              <w:bottom w:val="single" w:color="000000" w:sz="4" w:space="0"/>
              <w:right w:val="single" w:color="000000" w:sz="4" w:space="0"/>
            </w:tcBorders>
            <w:shd w:val="clear" w:color="auto" w:fill="auto"/>
            <w:vAlign w:val="center"/>
          </w:tcPr>
          <w:p w14:paraId="0701FEA5">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0"/>
                <w:sz w:val="24"/>
                <w:szCs w:val="24"/>
              </w:rPr>
            </w:pPr>
            <w:r>
              <w:rPr>
                <w:rFonts w:hint="eastAsia" w:ascii="宋体" w:hAnsi="宋体" w:eastAsia="宋体" w:cs="宋体"/>
                <w:i w:val="0"/>
                <w:color w:val="000000"/>
                <w:kern w:val="0"/>
                <w:sz w:val="24"/>
                <w:szCs w:val="24"/>
                <w:lang w:val="en-US" w:eastAsia="zh-CN" w:bidi="ar"/>
              </w:rPr>
              <w:t>5</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4A1C4FA1">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0"/>
                <w:sz w:val="24"/>
                <w:szCs w:val="24"/>
              </w:rPr>
            </w:pPr>
          </w:p>
        </w:tc>
      </w:tr>
      <w:tr w14:paraId="23B3F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nil"/>
              <w:left w:val="single" w:color="000000" w:sz="4" w:space="0"/>
              <w:bottom w:val="single" w:color="000000" w:sz="4" w:space="0"/>
              <w:right w:val="single" w:color="000000" w:sz="4" w:space="0"/>
            </w:tcBorders>
            <w:shd w:val="clear" w:color="auto" w:fill="auto"/>
            <w:vAlign w:val="center"/>
          </w:tcPr>
          <w:p w14:paraId="45F0170C">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462" w:type="dxa"/>
            <w:vMerge w:val="restart"/>
            <w:tcBorders>
              <w:top w:val="nil"/>
              <w:left w:val="nil"/>
              <w:bottom w:val="single" w:color="000000" w:sz="4" w:space="0"/>
              <w:right w:val="single" w:color="000000" w:sz="4" w:space="0"/>
            </w:tcBorders>
            <w:shd w:val="clear" w:color="auto" w:fill="auto"/>
            <w:vAlign w:val="center"/>
          </w:tcPr>
          <w:p w14:paraId="26E2AE62">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b/>
                <w:bCs w:val="0"/>
                <w:i w:val="0"/>
                <w:color w:val="000000"/>
                <w:kern w:val="2"/>
                <w:sz w:val="24"/>
                <w:szCs w:val="24"/>
              </w:rPr>
            </w:pPr>
            <w:r>
              <w:rPr>
                <w:rFonts w:hint="eastAsia" w:ascii="宋体" w:hAnsi="宋体" w:eastAsia="宋体" w:cs="宋体"/>
                <w:b/>
                <w:bCs w:val="0"/>
                <w:i w:val="0"/>
                <w:color w:val="000000"/>
                <w:kern w:val="0"/>
                <w:sz w:val="24"/>
                <w:szCs w:val="24"/>
                <w:lang w:val="en-US" w:eastAsia="zh-CN" w:bidi="ar"/>
              </w:rPr>
              <w:t>财务管理</w:t>
            </w:r>
            <w:r>
              <w:rPr>
                <w:rFonts w:hint="eastAsia" w:ascii="宋体" w:hAnsi="宋体" w:eastAsia="宋体" w:cs="宋体"/>
                <w:b/>
                <w:bCs w:val="0"/>
                <w:i w:val="0"/>
                <w:color w:val="000000"/>
                <w:kern w:val="0"/>
                <w:sz w:val="24"/>
                <w:szCs w:val="24"/>
                <w:lang w:val="en-US" w:eastAsia="zh-CN" w:bidi="ar"/>
              </w:rPr>
              <w:br w:type="textWrapping"/>
            </w:r>
            <w:r>
              <w:rPr>
                <w:rFonts w:hint="eastAsia" w:ascii="宋体" w:hAnsi="宋体" w:eastAsia="宋体" w:cs="宋体"/>
                <w:b/>
                <w:bCs w:val="0"/>
                <w:i w:val="0"/>
                <w:color w:val="000000"/>
                <w:kern w:val="0"/>
                <w:sz w:val="24"/>
                <w:szCs w:val="24"/>
                <w:lang w:val="en-US" w:eastAsia="zh-CN" w:bidi="ar"/>
              </w:rPr>
              <w:t>（10分）</w:t>
            </w:r>
          </w:p>
        </w:tc>
        <w:tc>
          <w:tcPr>
            <w:tcW w:w="1665" w:type="dxa"/>
            <w:tcBorders>
              <w:top w:val="single" w:color="000000" w:sz="4" w:space="0"/>
              <w:left w:val="nil"/>
              <w:bottom w:val="single" w:color="000000" w:sz="4" w:space="0"/>
              <w:right w:val="single" w:color="000000" w:sz="4" w:space="0"/>
            </w:tcBorders>
            <w:shd w:val="clear" w:color="auto" w:fill="auto"/>
            <w:vAlign w:val="center"/>
          </w:tcPr>
          <w:p w14:paraId="1C516131">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财务管理制度</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32BC455F">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4</w:t>
            </w:r>
          </w:p>
        </w:tc>
        <w:tc>
          <w:tcPr>
            <w:tcW w:w="4734" w:type="dxa"/>
            <w:tcBorders>
              <w:top w:val="single" w:color="000000" w:sz="4" w:space="0"/>
              <w:left w:val="nil"/>
              <w:bottom w:val="single" w:color="000000" w:sz="4" w:space="0"/>
              <w:right w:val="single" w:color="000000" w:sz="4" w:space="0"/>
            </w:tcBorders>
            <w:shd w:val="clear" w:color="auto" w:fill="auto"/>
            <w:vAlign w:val="center"/>
          </w:tcPr>
          <w:p w14:paraId="33149BA8">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部门财务管理制度建立情况</w:t>
            </w:r>
          </w:p>
        </w:tc>
        <w:tc>
          <w:tcPr>
            <w:tcW w:w="756" w:type="dxa"/>
            <w:tcBorders>
              <w:top w:val="single" w:color="000000" w:sz="4" w:space="0"/>
              <w:left w:val="nil"/>
              <w:bottom w:val="single" w:color="000000" w:sz="4" w:space="0"/>
              <w:right w:val="single" w:color="000000" w:sz="4" w:space="0"/>
            </w:tcBorders>
            <w:shd w:val="clear" w:color="auto" w:fill="auto"/>
            <w:vAlign w:val="center"/>
          </w:tcPr>
          <w:p w14:paraId="4CDD1A0D">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0"/>
                <w:sz w:val="24"/>
                <w:szCs w:val="24"/>
              </w:rPr>
            </w:pPr>
            <w:r>
              <w:rPr>
                <w:rFonts w:hint="eastAsia" w:ascii="宋体" w:hAnsi="宋体" w:eastAsia="宋体" w:cs="宋体"/>
                <w:i w:val="0"/>
                <w:color w:val="000000"/>
                <w:kern w:val="0"/>
                <w:sz w:val="24"/>
                <w:szCs w:val="24"/>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3804E401">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0"/>
                <w:sz w:val="24"/>
                <w:szCs w:val="24"/>
              </w:rPr>
            </w:pPr>
          </w:p>
        </w:tc>
      </w:tr>
      <w:tr w14:paraId="037E2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nil"/>
              <w:left w:val="single" w:color="000000" w:sz="4" w:space="0"/>
              <w:bottom w:val="single" w:color="000000" w:sz="4" w:space="0"/>
              <w:right w:val="single" w:color="000000" w:sz="4" w:space="0"/>
            </w:tcBorders>
            <w:shd w:val="clear" w:color="auto" w:fill="auto"/>
            <w:vAlign w:val="center"/>
          </w:tcPr>
          <w:p w14:paraId="0113FAFE">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462" w:type="dxa"/>
            <w:vMerge w:val="continue"/>
            <w:tcBorders>
              <w:top w:val="nil"/>
              <w:left w:val="nil"/>
              <w:bottom w:val="single" w:color="000000" w:sz="4" w:space="0"/>
              <w:right w:val="single" w:color="000000" w:sz="4" w:space="0"/>
            </w:tcBorders>
            <w:shd w:val="clear" w:color="auto" w:fill="auto"/>
            <w:vAlign w:val="center"/>
          </w:tcPr>
          <w:p w14:paraId="629B2880">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65" w:type="dxa"/>
            <w:tcBorders>
              <w:top w:val="single" w:color="000000" w:sz="4" w:space="0"/>
              <w:left w:val="nil"/>
              <w:bottom w:val="single" w:color="000000" w:sz="4" w:space="0"/>
              <w:right w:val="single" w:color="000000" w:sz="4" w:space="0"/>
            </w:tcBorders>
            <w:shd w:val="clear" w:color="auto" w:fill="auto"/>
            <w:vAlign w:val="center"/>
          </w:tcPr>
          <w:p w14:paraId="7A4DE1E6">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财务岗位设置</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23561154">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2</w:t>
            </w:r>
          </w:p>
        </w:tc>
        <w:tc>
          <w:tcPr>
            <w:tcW w:w="4734" w:type="dxa"/>
            <w:tcBorders>
              <w:top w:val="single" w:color="000000" w:sz="4" w:space="0"/>
              <w:left w:val="nil"/>
              <w:bottom w:val="single" w:color="000000" w:sz="4" w:space="0"/>
              <w:right w:val="single" w:color="000000" w:sz="4" w:space="0"/>
            </w:tcBorders>
            <w:shd w:val="clear" w:color="auto" w:fill="auto"/>
            <w:vAlign w:val="center"/>
          </w:tcPr>
          <w:p w14:paraId="6E839D77">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部门财务岗位设置是否符合相关财务管理制度要求</w:t>
            </w:r>
          </w:p>
        </w:tc>
        <w:tc>
          <w:tcPr>
            <w:tcW w:w="756" w:type="dxa"/>
            <w:tcBorders>
              <w:top w:val="single" w:color="000000" w:sz="4" w:space="0"/>
              <w:left w:val="nil"/>
              <w:bottom w:val="single" w:color="000000" w:sz="4" w:space="0"/>
              <w:right w:val="single" w:color="000000" w:sz="4" w:space="0"/>
            </w:tcBorders>
            <w:shd w:val="clear" w:color="auto" w:fill="auto"/>
            <w:vAlign w:val="center"/>
          </w:tcPr>
          <w:p w14:paraId="3F4F2F60">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0"/>
                <w:sz w:val="24"/>
                <w:szCs w:val="24"/>
              </w:rPr>
            </w:pPr>
            <w:r>
              <w:rPr>
                <w:rFonts w:hint="eastAsia" w:ascii="宋体" w:hAnsi="宋体" w:eastAsia="宋体" w:cs="宋体"/>
                <w:i w:val="0"/>
                <w:color w:val="000000"/>
                <w:kern w:val="0"/>
                <w:sz w:val="24"/>
                <w:szCs w:val="24"/>
                <w:lang w:val="en-US" w:eastAsia="zh-CN" w:bidi="ar"/>
              </w:rPr>
              <w:t>2</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51B276C1">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0"/>
                <w:sz w:val="24"/>
                <w:szCs w:val="24"/>
              </w:rPr>
            </w:pPr>
          </w:p>
        </w:tc>
      </w:tr>
      <w:tr w14:paraId="5C6C5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nil"/>
              <w:left w:val="single" w:color="000000" w:sz="4" w:space="0"/>
              <w:bottom w:val="single" w:color="000000" w:sz="4" w:space="0"/>
              <w:right w:val="single" w:color="000000" w:sz="4" w:space="0"/>
            </w:tcBorders>
            <w:shd w:val="clear" w:color="auto" w:fill="auto"/>
            <w:vAlign w:val="center"/>
          </w:tcPr>
          <w:p w14:paraId="585C2712">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462" w:type="dxa"/>
            <w:vMerge w:val="continue"/>
            <w:tcBorders>
              <w:top w:val="nil"/>
              <w:left w:val="nil"/>
              <w:bottom w:val="single" w:color="000000" w:sz="4" w:space="0"/>
              <w:right w:val="single" w:color="000000" w:sz="4" w:space="0"/>
            </w:tcBorders>
            <w:shd w:val="clear" w:color="auto" w:fill="auto"/>
            <w:vAlign w:val="center"/>
          </w:tcPr>
          <w:p w14:paraId="7CA02E25">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65" w:type="dxa"/>
            <w:tcBorders>
              <w:top w:val="single" w:color="000000" w:sz="4" w:space="0"/>
              <w:left w:val="nil"/>
              <w:bottom w:val="single" w:color="000000" w:sz="4" w:space="0"/>
              <w:right w:val="single" w:color="000000" w:sz="4" w:space="0"/>
            </w:tcBorders>
            <w:shd w:val="clear" w:color="auto" w:fill="auto"/>
            <w:vAlign w:val="center"/>
          </w:tcPr>
          <w:p w14:paraId="6EDC13A8">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资金使用规范</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405545E6">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4</w:t>
            </w:r>
          </w:p>
        </w:tc>
        <w:tc>
          <w:tcPr>
            <w:tcW w:w="4734" w:type="dxa"/>
            <w:tcBorders>
              <w:top w:val="single" w:color="000000" w:sz="4" w:space="0"/>
              <w:left w:val="nil"/>
              <w:bottom w:val="single" w:color="000000" w:sz="4" w:space="0"/>
              <w:right w:val="single" w:color="000000" w:sz="4" w:space="0"/>
            </w:tcBorders>
            <w:shd w:val="clear" w:color="auto" w:fill="auto"/>
            <w:vAlign w:val="center"/>
          </w:tcPr>
          <w:p w14:paraId="0187196A">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部门资金使用是否符合相关财务管理制度规定</w:t>
            </w:r>
          </w:p>
        </w:tc>
        <w:tc>
          <w:tcPr>
            <w:tcW w:w="756" w:type="dxa"/>
            <w:tcBorders>
              <w:top w:val="single" w:color="000000" w:sz="4" w:space="0"/>
              <w:left w:val="nil"/>
              <w:bottom w:val="single" w:color="000000" w:sz="4" w:space="0"/>
              <w:right w:val="single" w:color="000000" w:sz="4" w:space="0"/>
            </w:tcBorders>
            <w:shd w:val="clear" w:color="auto" w:fill="auto"/>
            <w:vAlign w:val="center"/>
          </w:tcPr>
          <w:p w14:paraId="2B10D9FC">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0"/>
                <w:sz w:val="24"/>
                <w:szCs w:val="24"/>
              </w:rPr>
            </w:pPr>
            <w:r>
              <w:rPr>
                <w:rFonts w:hint="eastAsia" w:ascii="宋体" w:hAnsi="宋体" w:eastAsia="宋体" w:cs="宋体"/>
                <w:i w:val="0"/>
                <w:color w:val="000000"/>
                <w:kern w:val="0"/>
                <w:sz w:val="24"/>
                <w:szCs w:val="24"/>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47F8BC55">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0"/>
                <w:sz w:val="24"/>
                <w:szCs w:val="24"/>
              </w:rPr>
            </w:pPr>
          </w:p>
        </w:tc>
      </w:tr>
      <w:tr w14:paraId="61DE0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nil"/>
              <w:left w:val="single" w:color="000000" w:sz="4" w:space="0"/>
              <w:bottom w:val="single" w:color="000000" w:sz="4" w:space="0"/>
              <w:right w:val="single" w:color="000000" w:sz="4" w:space="0"/>
            </w:tcBorders>
            <w:shd w:val="clear" w:color="auto" w:fill="auto"/>
            <w:vAlign w:val="center"/>
          </w:tcPr>
          <w:p w14:paraId="39CC2ECB">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462" w:type="dxa"/>
            <w:vMerge w:val="restart"/>
            <w:tcBorders>
              <w:top w:val="nil"/>
              <w:left w:val="nil"/>
              <w:bottom w:val="single" w:color="000000" w:sz="4" w:space="0"/>
              <w:right w:val="single" w:color="000000" w:sz="4" w:space="0"/>
            </w:tcBorders>
            <w:shd w:val="clear" w:color="auto" w:fill="auto"/>
            <w:vAlign w:val="center"/>
          </w:tcPr>
          <w:p w14:paraId="2C48740F">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b/>
                <w:bCs w:val="0"/>
                <w:i w:val="0"/>
                <w:color w:val="000000"/>
                <w:kern w:val="2"/>
                <w:sz w:val="24"/>
                <w:szCs w:val="24"/>
              </w:rPr>
            </w:pPr>
            <w:r>
              <w:rPr>
                <w:rFonts w:hint="eastAsia" w:ascii="宋体" w:hAnsi="宋体" w:eastAsia="宋体" w:cs="宋体"/>
                <w:b/>
                <w:bCs w:val="0"/>
                <w:i w:val="0"/>
                <w:color w:val="000000"/>
                <w:kern w:val="0"/>
                <w:sz w:val="24"/>
                <w:szCs w:val="24"/>
                <w:lang w:val="en-US" w:eastAsia="zh-CN" w:bidi="ar"/>
              </w:rPr>
              <w:t>资产管理</w:t>
            </w:r>
            <w:r>
              <w:rPr>
                <w:rFonts w:hint="eastAsia" w:ascii="宋体" w:hAnsi="宋体" w:eastAsia="宋体" w:cs="宋体"/>
                <w:b/>
                <w:bCs w:val="0"/>
                <w:i w:val="0"/>
                <w:color w:val="000000"/>
                <w:kern w:val="0"/>
                <w:sz w:val="24"/>
                <w:szCs w:val="24"/>
                <w:lang w:val="en-US" w:eastAsia="zh-CN" w:bidi="ar"/>
              </w:rPr>
              <w:br w:type="textWrapping"/>
            </w:r>
            <w:r>
              <w:rPr>
                <w:rFonts w:hint="eastAsia" w:ascii="宋体" w:hAnsi="宋体" w:eastAsia="宋体" w:cs="宋体"/>
                <w:b/>
                <w:bCs w:val="0"/>
                <w:i w:val="0"/>
                <w:color w:val="000000"/>
                <w:kern w:val="0"/>
                <w:sz w:val="24"/>
                <w:szCs w:val="24"/>
                <w:lang w:val="en-US" w:eastAsia="zh-CN" w:bidi="ar"/>
              </w:rPr>
              <w:t>（9分）</w:t>
            </w:r>
          </w:p>
        </w:tc>
        <w:tc>
          <w:tcPr>
            <w:tcW w:w="1665" w:type="dxa"/>
            <w:tcBorders>
              <w:top w:val="single" w:color="000000" w:sz="4" w:space="0"/>
              <w:left w:val="nil"/>
              <w:bottom w:val="single" w:color="000000" w:sz="4" w:space="0"/>
              <w:right w:val="single" w:color="000000" w:sz="4" w:space="0"/>
            </w:tcBorders>
            <w:shd w:val="clear" w:color="auto" w:fill="auto"/>
            <w:vAlign w:val="center"/>
          </w:tcPr>
          <w:p w14:paraId="22C39E98">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人均资产变化率</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60BC6BD6">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3</w:t>
            </w:r>
          </w:p>
        </w:tc>
        <w:tc>
          <w:tcPr>
            <w:tcW w:w="4734" w:type="dxa"/>
            <w:tcBorders>
              <w:top w:val="single" w:color="000000" w:sz="4" w:space="0"/>
              <w:left w:val="nil"/>
              <w:bottom w:val="single" w:color="000000" w:sz="4" w:space="0"/>
              <w:right w:val="single" w:color="000000" w:sz="4" w:space="0"/>
            </w:tcBorders>
            <w:shd w:val="clear" w:color="auto" w:fill="auto"/>
            <w:vAlign w:val="center"/>
          </w:tcPr>
          <w:p w14:paraId="00B18882">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部门人均资产变化情况</w:t>
            </w:r>
          </w:p>
        </w:tc>
        <w:tc>
          <w:tcPr>
            <w:tcW w:w="756" w:type="dxa"/>
            <w:tcBorders>
              <w:top w:val="single" w:color="000000" w:sz="4" w:space="0"/>
              <w:left w:val="nil"/>
              <w:bottom w:val="single" w:color="000000" w:sz="4" w:space="0"/>
              <w:right w:val="single" w:color="000000" w:sz="4" w:space="0"/>
            </w:tcBorders>
            <w:shd w:val="clear" w:color="auto" w:fill="auto"/>
            <w:vAlign w:val="center"/>
          </w:tcPr>
          <w:p w14:paraId="3A6F5195">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0"/>
                <w:sz w:val="24"/>
                <w:szCs w:val="24"/>
              </w:rPr>
            </w:pPr>
            <w:r>
              <w:rPr>
                <w:rFonts w:hint="eastAsia" w:ascii="宋体" w:hAnsi="宋体" w:eastAsia="宋体" w:cs="宋体"/>
                <w:i w:val="0"/>
                <w:color w:val="000000"/>
                <w:kern w:val="0"/>
                <w:sz w:val="24"/>
                <w:szCs w:val="24"/>
                <w:lang w:val="en-US" w:eastAsia="zh-CN" w:bidi="ar"/>
              </w:rPr>
              <w:t>2</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4FC48EF4">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0"/>
                <w:sz w:val="24"/>
                <w:szCs w:val="24"/>
              </w:rPr>
            </w:pPr>
          </w:p>
        </w:tc>
      </w:tr>
      <w:tr w14:paraId="7BF5E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nil"/>
              <w:left w:val="single" w:color="000000" w:sz="4" w:space="0"/>
              <w:bottom w:val="single" w:color="000000" w:sz="4" w:space="0"/>
              <w:right w:val="single" w:color="000000" w:sz="4" w:space="0"/>
            </w:tcBorders>
            <w:shd w:val="clear" w:color="auto" w:fill="auto"/>
            <w:vAlign w:val="center"/>
          </w:tcPr>
          <w:p w14:paraId="68C0665A">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462" w:type="dxa"/>
            <w:vMerge w:val="continue"/>
            <w:tcBorders>
              <w:top w:val="nil"/>
              <w:left w:val="nil"/>
              <w:bottom w:val="single" w:color="000000" w:sz="4" w:space="0"/>
              <w:right w:val="single" w:color="000000" w:sz="4" w:space="0"/>
            </w:tcBorders>
            <w:shd w:val="clear" w:color="auto" w:fill="auto"/>
            <w:vAlign w:val="center"/>
          </w:tcPr>
          <w:p w14:paraId="34ABB141">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65" w:type="dxa"/>
            <w:tcBorders>
              <w:top w:val="single" w:color="000000" w:sz="4" w:space="0"/>
              <w:left w:val="nil"/>
              <w:bottom w:val="single" w:color="000000" w:sz="4" w:space="0"/>
              <w:right w:val="single" w:color="000000" w:sz="4" w:space="0"/>
            </w:tcBorders>
            <w:shd w:val="clear" w:color="auto" w:fill="auto"/>
            <w:vAlign w:val="center"/>
          </w:tcPr>
          <w:p w14:paraId="3855AB9C">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资产利用率</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3FD182DE">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3</w:t>
            </w:r>
          </w:p>
        </w:tc>
        <w:tc>
          <w:tcPr>
            <w:tcW w:w="4734" w:type="dxa"/>
            <w:tcBorders>
              <w:top w:val="single" w:color="000000" w:sz="4" w:space="0"/>
              <w:left w:val="nil"/>
              <w:bottom w:val="single" w:color="000000" w:sz="4" w:space="0"/>
              <w:right w:val="single" w:color="000000" w:sz="4" w:space="0"/>
            </w:tcBorders>
            <w:shd w:val="clear" w:color="auto" w:fill="auto"/>
            <w:vAlign w:val="center"/>
          </w:tcPr>
          <w:p w14:paraId="78F5DA0F">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部门资产超最低使用年限情况</w:t>
            </w:r>
          </w:p>
        </w:tc>
        <w:tc>
          <w:tcPr>
            <w:tcW w:w="756" w:type="dxa"/>
            <w:tcBorders>
              <w:top w:val="single" w:color="000000" w:sz="4" w:space="0"/>
              <w:left w:val="nil"/>
              <w:bottom w:val="single" w:color="000000" w:sz="4" w:space="0"/>
              <w:right w:val="single" w:color="000000" w:sz="4" w:space="0"/>
            </w:tcBorders>
            <w:shd w:val="clear" w:color="auto" w:fill="auto"/>
            <w:vAlign w:val="center"/>
          </w:tcPr>
          <w:p w14:paraId="7CB39043">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0"/>
                <w:sz w:val="24"/>
                <w:szCs w:val="24"/>
              </w:rPr>
            </w:pPr>
            <w:r>
              <w:rPr>
                <w:rFonts w:hint="eastAsia" w:ascii="宋体" w:hAnsi="宋体" w:eastAsia="宋体" w:cs="宋体"/>
                <w:i w:val="0"/>
                <w:color w:val="000000"/>
                <w:kern w:val="0"/>
                <w:sz w:val="24"/>
                <w:szCs w:val="24"/>
                <w:lang w:val="en-US" w:eastAsia="zh-CN" w:bidi="ar"/>
              </w:rPr>
              <w:t>2</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16B1923E">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0"/>
                <w:sz w:val="24"/>
                <w:szCs w:val="24"/>
              </w:rPr>
            </w:pPr>
          </w:p>
        </w:tc>
      </w:tr>
      <w:tr w14:paraId="41585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restart"/>
            <w:tcBorders>
              <w:top w:val="nil"/>
              <w:left w:val="single" w:color="000000" w:sz="4" w:space="0"/>
              <w:bottom w:val="single" w:color="000000" w:sz="4" w:space="0"/>
              <w:right w:val="single" w:color="000000" w:sz="4" w:space="0"/>
            </w:tcBorders>
            <w:shd w:val="clear" w:color="auto" w:fill="auto"/>
            <w:vAlign w:val="center"/>
          </w:tcPr>
          <w:p w14:paraId="68CC1B8A">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b/>
                <w:bCs w:val="0"/>
                <w:i w:val="0"/>
                <w:color w:val="000000"/>
                <w:kern w:val="2"/>
                <w:sz w:val="24"/>
                <w:szCs w:val="24"/>
              </w:rPr>
            </w:pPr>
            <w:r>
              <w:rPr>
                <w:rFonts w:hint="eastAsia" w:ascii="宋体" w:hAnsi="宋体" w:eastAsia="宋体" w:cs="宋体"/>
                <w:b/>
                <w:bCs w:val="0"/>
                <w:i w:val="0"/>
                <w:color w:val="000000"/>
                <w:kern w:val="0"/>
                <w:sz w:val="24"/>
                <w:szCs w:val="24"/>
                <w:lang w:val="en-US" w:eastAsia="zh-CN" w:bidi="ar"/>
              </w:rPr>
              <w:t>总体绩效</w:t>
            </w:r>
            <w:r>
              <w:rPr>
                <w:rFonts w:hint="eastAsia" w:ascii="宋体" w:hAnsi="宋体" w:eastAsia="宋体" w:cs="宋体"/>
                <w:b/>
                <w:bCs w:val="0"/>
                <w:i w:val="0"/>
                <w:color w:val="000000"/>
                <w:kern w:val="0"/>
                <w:sz w:val="24"/>
                <w:szCs w:val="24"/>
                <w:lang w:val="en-US" w:eastAsia="zh-CN" w:bidi="ar"/>
              </w:rPr>
              <w:br w:type="textWrapping"/>
            </w:r>
            <w:r>
              <w:rPr>
                <w:rFonts w:hint="eastAsia" w:ascii="宋体" w:hAnsi="宋体" w:eastAsia="宋体" w:cs="宋体"/>
                <w:b/>
                <w:bCs w:val="0"/>
                <w:i w:val="0"/>
                <w:color w:val="000000"/>
                <w:kern w:val="0"/>
                <w:sz w:val="24"/>
                <w:szCs w:val="24"/>
                <w:lang w:val="en-US" w:eastAsia="zh-CN" w:bidi="ar"/>
              </w:rPr>
              <w:t>（65分）</w:t>
            </w:r>
          </w:p>
        </w:tc>
        <w:tc>
          <w:tcPr>
            <w:tcW w:w="1462" w:type="dxa"/>
            <w:tcBorders>
              <w:top w:val="single" w:color="000000" w:sz="4" w:space="0"/>
              <w:left w:val="nil"/>
              <w:bottom w:val="single" w:color="000000" w:sz="4" w:space="0"/>
              <w:right w:val="single" w:color="000000" w:sz="4" w:space="0"/>
            </w:tcBorders>
            <w:shd w:val="clear" w:color="auto" w:fill="auto"/>
            <w:vAlign w:val="center"/>
          </w:tcPr>
          <w:p w14:paraId="4DF5F47D">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b/>
                <w:bCs w:val="0"/>
                <w:i w:val="0"/>
                <w:color w:val="000000"/>
                <w:kern w:val="2"/>
                <w:sz w:val="24"/>
                <w:szCs w:val="24"/>
              </w:rPr>
            </w:pPr>
            <w:r>
              <w:rPr>
                <w:rFonts w:hint="eastAsia" w:ascii="宋体" w:hAnsi="宋体" w:eastAsia="宋体" w:cs="宋体"/>
                <w:b/>
                <w:bCs w:val="0"/>
                <w:i w:val="0"/>
                <w:color w:val="000000"/>
                <w:kern w:val="0"/>
                <w:sz w:val="24"/>
                <w:szCs w:val="24"/>
                <w:lang w:val="en-US" w:eastAsia="zh-CN" w:bidi="ar"/>
              </w:rPr>
              <w:t>资产管理</w:t>
            </w:r>
            <w:r>
              <w:rPr>
                <w:rFonts w:hint="eastAsia" w:ascii="宋体" w:hAnsi="宋体" w:eastAsia="宋体" w:cs="宋体"/>
                <w:b/>
                <w:bCs w:val="0"/>
                <w:i w:val="0"/>
                <w:color w:val="000000"/>
                <w:kern w:val="0"/>
                <w:sz w:val="24"/>
                <w:szCs w:val="24"/>
                <w:lang w:val="en-US" w:eastAsia="zh-CN" w:bidi="ar"/>
              </w:rPr>
              <w:br w:type="textWrapping"/>
            </w:r>
            <w:r>
              <w:rPr>
                <w:rFonts w:hint="eastAsia" w:ascii="宋体" w:hAnsi="宋体" w:eastAsia="宋体" w:cs="宋体"/>
                <w:b/>
                <w:bCs w:val="0"/>
                <w:i w:val="0"/>
                <w:color w:val="000000"/>
                <w:kern w:val="0"/>
                <w:sz w:val="24"/>
                <w:szCs w:val="24"/>
                <w:lang w:val="en-US" w:eastAsia="zh-CN" w:bidi="ar"/>
              </w:rPr>
              <w:t>（9分）</w:t>
            </w:r>
          </w:p>
        </w:tc>
        <w:tc>
          <w:tcPr>
            <w:tcW w:w="1665" w:type="dxa"/>
            <w:tcBorders>
              <w:top w:val="single" w:color="000000" w:sz="4" w:space="0"/>
              <w:left w:val="nil"/>
              <w:bottom w:val="single" w:color="000000" w:sz="4" w:space="0"/>
              <w:right w:val="single" w:color="000000" w:sz="4" w:space="0"/>
            </w:tcBorders>
            <w:shd w:val="clear" w:color="auto" w:fill="auto"/>
            <w:vAlign w:val="center"/>
          </w:tcPr>
          <w:p w14:paraId="3EDD12F1">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资产盘活率</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1AFCF358">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3</w:t>
            </w:r>
          </w:p>
        </w:tc>
        <w:tc>
          <w:tcPr>
            <w:tcW w:w="4734" w:type="dxa"/>
            <w:tcBorders>
              <w:top w:val="single" w:color="000000" w:sz="4" w:space="0"/>
              <w:left w:val="nil"/>
              <w:bottom w:val="single" w:color="000000" w:sz="4" w:space="0"/>
              <w:right w:val="single" w:color="000000" w:sz="4" w:space="0"/>
            </w:tcBorders>
            <w:shd w:val="clear" w:color="auto" w:fill="auto"/>
            <w:vAlign w:val="center"/>
          </w:tcPr>
          <w:p w14:paraId="43B5E4B8">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部门闲置一年以上的资产盘活情况</w:t>
            </w:r>
          </w:p>
        </w:tc>
        <w:tc>
          <w:tcPr>
            <w:tcW w:w="756" w:type="dxa"/>
            <w:tcBorders>
              <w:top w:val="single" w:color="000000" w:sz="4" w:space="0"/>
              <w:left w:val="nil"/>
              <w:bottom w:val="single" w:color="000000" w:sz="4" w:space="0"/>
              <w:right w:val="single" w:color="000000" w:sz="4" w:space="0"/>
            </w:tcBorders>
            <w:shd w:val="clear" w:color="auto" w:fill="auto"/>
            <w:vAlign w:val="center"/>
          </w:tcPr>
          <w:p w14:paraId="672CE021">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0"/>
                <w:sz w:val="24"/>
                <w:szCs w:val="24"/>
              </w:rPr>
            </w:pPr>
            <w:r>
              <w:rPr>
                <w:rFonts w:hint="eastAsia" w:ascii="宋体" w:hAnsi="宋体" w:eastAsia="宋体" w:cs="宋体"/>
                <w:i w:val="0"/>
                <w:color w:val="000000"/>
                <w:kern w:val="0"/>
                <w:sz w:val="24"/>
                <w:szCs w:val="24"/>
                <w:lang w:val="en-US" w:eastAsia="zh-CN" w:bidi="ar"/>
              </w:rPr>
              <w:t>2</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3AC16B65">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0"/>
                <w:sz w:val="24"/>
                <w:szCs w:val="24"/>
              </w:rPr>
            </w:pPr>
          </w:p>
        </w:tc>
      </w:tr>
      <w:tr w14:paraId="7B95E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nil"/>
              <w:left w:val="single" w:color="000000" w:sz="4" w:space="0"/>
              <w:bottom w:val="single" w:color="000000" w:sz="4" w:space="0"/>
              <w:right w:val="single" w:color="000000" w:sz="4" w:space="0"/>
            </w:tcBorders>
            <w:shd w:val="clear" w:color="auto" w:fill="auto"/>
            <w:vAlign w:val="center"/>
          </w:tcPr>
          <w:p w14:paraId="0CCE549E">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462" w:type="dxa"/>
            <w:vMerge w:val="restart"/>
            <w:tcBorders>
              <w:top w:val="nil"/>
              <w:left w:val="nil"/>
              <w:bottom w:val="single" w:color="000000" w:sz="4" w:space="0"/>
              <w:right w:val="single" w:color="000000" w:sz="4" w:space="0"/>
            </w:tcBorders>
            <w:shd w:val="clear" w:color="auto" w:fill="auto"/>
            <w:vAlign w:val="center"/>
          </w:tcPr>
          <w:p w14:paraId="528FFCC2">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b/>
                <w:bCs w:val="0"/>
                <w:i w:val="0"/>
                <w:color w:val="000000"/>
                <w:kern w:val="2"/>
                <w:sz w:val="24"/>
                <w:szCs w:val="24"/>
              </w:rPr>
            </w:pPr>
            <w:r>
              <w:rPr>
                <w:rFonts w:hint="eastAsia" w:ascii="宋体" w:hAnsi="宋体" w:eastAsia="宋体" w:cs="宋体"/>
                <w:b/>
                <w:bCs w:val="0"/>
                <w:i w:val="0"/>
                <w:color w:val="000000"/>
                <w:kern w:val="0"/>
                <w:sz w:val="24"/>
                <w:szCs w:val="24"/>
                <w:lang w:val="en-US" w:eastAsia="zh-CN" w:bidi="ar"/>
              </w:rPr>
              <w:t>采购管理</w:t>
            </w:r>
            <w:r>
              <w:rPr>
                <w:rFonts w:hint="eastAsia" w:ascii="宋体" w:hAnsi="宋体" w:eastAsia="宋体" w:cs="宋体"/>
                <w:b/>
                <w:bCs w:val="0"/>
                <w:i w:val="0"/>
                <w:color w:val="000000"/>
                <w:kern w:val="0"/>
                <w:sz w:val="24"/>
                <w:szCs w:val="24"/>
                <w:lang w:val="en-US" w:eastAsia="zh-CN" w:bidi="ar"/>
              </w:rPr>
              <w:br w:type="textWrapping"/>
            </w:r>
            <w:r>
              <w:rPr>
                <w:rFonts w:hint="eastAsia" w:ascii="宋体" w:hAnsi="宋体" w:eastAsia="宋体" w:cs="宋体"/>
                <w:b/>
                <w:bCs w:val="0"/>
                <w:i w:val="0"/>
                <w:color w:val="000000"/>
                <w:kern w:val="0"/>
                <w:sz w:val="24"/>
                <w:szCs w:val="24"/>
                <w:lang w:val="en-US" w:eastAsia="zh-CN" w:bidi="ar"/>
              </w:rPr>
              <w:t>（6分）</w:t>
            </w:r>
          </w:p>
        </w:tc>
        <w:tc>
          <w:tcPr>
            <w:tcW w:w="1665" w:type="dxa"/>
            <w:tcBorders>
              <w:top w:val="single" w:color="000000" w:sz="4" w:space="0"/>
              <w:left w:val="nil"/>
              <w:bottom w:val="single" w:color="000000" w:sz="4" w:space="0"/>
              <w:right w:val="single" w:color="000000" w:sz="4" w:space="0"/>
            </w:tcBorders>
            <w:shd w:val="clear" w:color="auto" w:fill="auto"/>
            <w:vAlign w:val="center"/>
          </w:tcPr>
          <w:p w14:paraId="31DD1A7C">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支持中小企业发展</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102C5BAA">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3</w:t>
            </w:r>
          </w:p>
        </w:tc>
        <w:tc>
          <w:tcPr>
            <w:tcW w:w="4734" w:type="dxa"/>
            <w:tcBorders>
              <w:top w:val="single" w:color="000000" w:sz="4" w:space="0"/>
              <w:left w:val="nil"/>
              <w:bottom w:val="single" w:color="000000" w:sz="4" w:space="0"/>
              <w:right w:val="single" w:color="000000" w:sz="4" w:space="0"/>
            </w:tcBorders>
            <w:shd w:val="clear" w:color="auto" w:fill="auto"/>
            <w:vAlign w:val="center"/>
          </w:tcPr>
          <w:p w14:paraId="26552308">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部门是否严格执行政府采购促进中小企业发展相关管理办法</w:t>
            </w:r>
          </w:p>
        </w:tc>
        <w:tc>
          <w:tcPr>
            <w:tcW w:w="756" w:type="dxa"/>
            <w:tcBorders>
              <w:top w:val="single" w:color="000000" w:sz="4" w:space="0"/>
              <w:left w:val="nil"/>
              <w:bottom w:val="single" w:color="000000" w:sz="4" w:space="0"/>
              <w:right w:val="single" w:color="000000" w:sz="4" w:space="0"/>
            </w:tcBorders>
            <w:shd w:val="clear" w:color="auto" w:fill="auto"/>
            <w:vAlign w:val="center"/>
          </w:tcPr>
          <w:p w14:paraId="7AD523CC">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0"/>
                <w:sz w:val="24"/>
                <w:szCs w:val="24"/>
              </w:rPr>
            </w:pPr>
            <w:r>
              <w:rPr>
                <w:rFonts w:hint="eastAsia" w:ascii="宋体" w:hAnsi="宋体" w:eastAsia="宋体" w:cs="宋体"/>
                <w:i w:val="0"/>
                <w:color w:val="000000"/>
                <w:kern w:val="0"/>
                <w:sz w:val="24"/>
                <w:szCs w:val="24"/>
                <w:lang w:val="en-US" w:eastAsia="zh-CN" w:bidi="ar"/>
              </w:rPr>
              <w:t>3</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7E3A63BD">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0"/>
                <w:sz w:val="24"/>
                <w:szCs w:val="24"/>
              </w:rPr>
            </w:pPr>
          </w:p>
        </w:tc>
      </w:tr>
      <w:tr w14:paraId="1E013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nil"/>
              <w:left w:val="single" w:color="000000" w:sz="4" w:space="0"/>
              <w:bottom w:val="single" w:color="000000" w:sz="4" w:space="0"/>
              <w:right w:val="single" w:color="000000" w:sz="4" w:space="0"/>
            </w:tcBorders>
            <w:shd w:val="clear" w:color="auto" w:fill="auto"/>
            <w:vAlign w:val="center"/>
          </w:tcPr>
          <w:p w14:paraId="5E472E2E">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462" w:type="dxa"/>
            <w:vMerge w:val="continue"/>
            <w:tcBorders>
              <w:top w:val="nil"/>
              <w:left w:val="nil"/>
              <w:bottom w:val="single" w:color="000000" w:sz="4" w:space="0"/>
              <w:right w:val="single" w:color="000000" w:sz="4" w:space="0"/>
            </w:tcBorders>
            <w:shd w:val="clear" w:color="auto" w:fill="auto"/>
            <w:vAlign w:val="center"/>
          </w:tcPr>
          <w:p w14:paraId="3E084496">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65" w:type="dxa"/>
            <w:tcBorders>
              <w:top w:val="single" w:color="000000" w:sz="4" w:space="0"/>
              <w:left w:val="nil"/>
              <w:bottom w:val="single" w:color="000000" w:sz="4" w:space="0"/>
              <w:right w:val="single" w:color="000000" w:sz="4" w:space="0"/>
            </w:tcBorders>
            <w:shd w:val="clear" w:color="auto" w:fill="auto"/>
            <w:vAlign w:val="center"/>
          </w:tcPr>
          <w:p w14:paraId="004DDCF9">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采购执行率</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4980A3B3">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3</w:t>
            </w:r>
          </w:p>
        </w:tc>
        <w:tc>
          <w:tcPr>
            <w:tcW w:w="4734" w:type="dxa"/>
            <w:tcBorders>
              <w:top w:val="single" w:color="000000" w:sz="4" w:space="0"/>
              <w:left w:val="nil"/>
              <w:bottom w:val="single" w:color="000000" w:sz="4" w:space="0"/>
              <w:right w:val="single" w:color="000000" w:sz="4" w:space="0"/>
            </w:tcBorders>
            <w:shd w:val="clear" w:color="auto" w:fill="auto"/>
            <w:vAlign w:val="center"/>
          </w:tcPr>
          <w:p w14:paraId="0FD14FB6">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部门政府采购项目资金支付比例情况</w:t>
            </w:r>
          </w:p>
        </w:tc>
        <w:tc>
          <w:tcPr>
            <w:tcW w:w="756" w:type="dxa"/>
            <w:tcBorders>
              <w:top w:val="single" w:color="000000" w:sz="4" w:space="0"/>
              <w:left w:val="nil"/>
              <w:bottom w:val="single" w:color="000000" w:sz="4" w:space="0"/>
              <w:right w:val="single" w:color="000000" w:sz="4" w:space="0"/>
            </w:tcBorders>
            <w:shd w:val="clear" w:color="auto" w:fill="auto"/>
            <w:vAlign w:val="center"/>
          </w:tcPr>
          <w:p w14:paraId="4A013372">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0"/>
                <w:sz w:val="24"/>
                <w:szCs w:val="24"/>
              </w:rPr>
            </w:pPr>
            <w:r>
              <w:rPr>
                <w:rFonts w:hint="eastAsia" w:ascii="宋体" w:hAnsi="宋体" w:eastAsia="宋体" w:cs="宋体"/>
                <w:i w:val="0"/>
                <w:color w:val="000000"/>
                <w:kern w:val="0"/>
                <w:sz w:val="24"/>
                <w:szCs w:val="24"/>
                <w:lang w:val="en-US" w:eastAsia="zh-CN" w:bidi="ar"/>
              </w:rPr>
              <w:t>3</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4CE877AA">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0"/>
                <w:sz w:val="24"/>
                <w:szCs w:val="24"/>
              </w:rPr>
            </w:pPr>
          </w:p>
        </w:tc>
      </w:tr>
      <w:tr w14:paraId="1C3A8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restart"/>
            <w:tcBorders>
              <w:top w:val="nil"/>
              <w:left w:val="single" w:color="000000" w:sz="4" w:space="0"/>
              <w:bottom w:val="single" w:color="000000" w:sz="4" w:space="0"/>
              <w:right w:val="single" w:color="000000" w:sz="4" w:space="0"/>
            </w:tcBorders>
            <w:shd w:val="clear" w:color="auto" w:fill="auto"/>
            <w:vAlign w:val="center"/>
          </w:tcPr>
          <w:p w14:paraId="505097F7">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b/>
                <w:bCs w:val="0"/>
                <w:i w:val="0"/>
                <w:color w:val="000000"/>
                <w:kern w:val="2"/>
                <w:sz w:val="24"/>
                <w:szCs w:val="24"/>
              </w:rPr>
            </w:pPr>
            <w:r>
              <w:rPr>
                <w:rFonts w:hint="eastAsia" w:ascii="宋体" w:hAnsi="宋体" w:eastAsia="宋体" w:cs="宋体"/>
                <w:b/>
                <w:bCs w:val="0"/>
                <w:i w:val="0"/>
                <w:color w:val="000000"/>
                <w:kern w:val="0"/>
                <w:sz w:val="24"/>
                <w:szCs w:val="24"/>
                <w:lang w:val="en-US" w:eastAsia="zh-CN" w:bidi="ar"/>
              </w:rPr>
              <w:t>项目绩效</w:t>
            </w:r>
            <w:r>
              <w:rPr>
                <w:rFonts w:hint="eastAsia" w:ascii="宋体" w:hAnsi="宋体" w:eastAsia="宋体" w:cs="宋体"/>
                <w:b/>
                <w:bCs w:val="0"/>
                <w:i w:val="0"/>
                <w:color w:val="000000"/>
                <w:kern w:val="0"/>
                <w:sz w:val="24"/>
                <w:szCs w:val="24"/>
                <w:lang w:val="en-US" w:eastAsia="zh-CN" w:bidi="ar"/>
              </w:rPr>
              <w:br w:type="textWrapping"/>
            </w:r>
            <w:r>
              <w:rPr>
                <w:rFonts w:hint="eastAsia" w:ascii="宋体" w:hAnsi="宋体" w:eastAsia="宋体" w:cs="宋体"/>
                <w:b/>
                <w:bCs w:val="0"/>
                <w:i w:val="0"/>
                <w:color w:val="000000"/>
                <w:kern w:val="0"/>
                <w:sz w:val="24"/>
                <w:szCs w:val="24"/>
                <w:lang w:val="en-US" w:eastAsia="zh-CN" w:bidi="ar"/>
              </w:rPr>
              <w:t>（35分）</w:t>
            </w:r>
          </w:p>
        </w:tc>
        <w:tc>
          <w:tcPr>
            <w:tcW w:w="1462" w:type="dxa"/>
            <w:vMerge w:val="restart"/>
            <w:tcBorders>
              <w:top w:val="nil"/>
              <w:left w:val="nil"/>
              <w:bottom w:val="nil"/>
              <w:right w:val="single" w:color="000000" w:sz="4" w:space="0"/>
            </w:tcBorders>
            <w:shd w:val="clear" w:color="auto" w:fill="auto"/>
            <w:vAlign w:val="center"/>
          </w:tcPr>
          <w:p w14:paraId="02DB407C">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b/>
                <w:bCs w:val="0"/>
                <w:i w:val="0"/>
                <w:color w:val="000000"/>
                <w:kern w:val="2"/>
                <w:sz w:val="24"/>
                <w:szCs w:val="24"/>
              </w:rPr>
            </w:pPr>
            <w:r>
              <w:rPr>
                <w:rFonts w:hint="eastAsia" w:ascii="宋体" w:hAnsi="宋体" w:eastAsia="宋体" w:cs="宋体"/>
                <w:b/>
                <w:bCs w:val="0"/>
                <w:i w:val="0"/>
                <w:color w:val="000000"/>
                <w:kern w:val="0"/>
                <w:sz w:val="24"/>
                <w:szCs w:val="24"/>
                <w:lang w:val="en-US" w:eastAsia="zh-CN" w:bidi="ar"/>
              </w:rPr>
              <w:t>项目决策</w:t>
            </w:r>
            <w:r>
              <w:rPr>
                <w:rFonts w:hint="eastAsia" w:ascii="宋体" w:hAnsi="宋体" w:eastAsia="宋体" w:cs="宋体"/>
                <w:b/>
                <w:bCs w:val="0"/>
                <w:i w:val="0"/>
                <w:color w:val="000000"/>
                <w:kern w:val="0"/>
                <w:sz w:val="24"/>
                <w:szCs w:val="24"/>
                <w:lang w:val="en-US" w:eastAsia="zh-CN" w:bidi="ar"/>
              </w:rPr>
              <w:br w:type="textWrapping"/>
            </w:r>
            <w:r>
              <w:rPr>
                <w:rFonts w:hint="eastAsia" w:ascii="宋体" w:hAnsi="宋体" w:eastAsia="宋体" w:cs="宋体"/>
                <w:b/>
                <w:bCs w:val="0"/>
                <w:i w:val="0"/>
                <w:color w:val="000000"/>
                <w:kern w:val="0"/>
                <w:sz w:val="24"/>
                <w:szCs w:val="24"/>
                <w:lang w:val="en-US" w:eastAsia="zh-CN" w:bidi="ar"/>
              </w:rPr>
              <w:t>（12分）</w:t>
            </w:r>
          </w:p>
        </w:tc>
        <w:tc>
          <w:tcPr>
            <w:tcW w:w="1665" w:type="dxa"/>
            <w:tcBorders>
              <w:top w:val="single" w:color="000000" w:sz="4" w:space="0"/>
              <w:left w:val="nil"/>
              <w:bottom w:val="single" w:color="000000" w:sz="4" w:space="0"/>
              <w:right w:val="single" w:color="000000" w:sz="4" w:space="0"/>
            </w:tcBorders>
            <w:shd w:val="clear" w:color="auto" w:fill="auto"/>
            <w:vAlign w:val="center"/>
          </w:tcPr>
          <w:p w14:paraId="0E81B69C">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决策程序</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630A12F6">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4</w:t>
            </w:r>
          </w:p>
        </w:tc>
        <w:tc>
          <w:tcPr>
            <w:tcW w:w="4734" w:type="dxa"/>
            <w:tcBorders>
              <w:top w:val="single" w:color="000000" w:sz="4" w:space="0"/>
              <w:left w:val="nil"/>
              <w:bottom w:val="single" w:color="000000" w:sz="4" w:space="0"/>
              <w:right w:val="single" w:color="000000" w:sz="4" w:space="0"/>
            </w:tcBorders>
            <w:shd w:val="clear" w:color="auto" w:fill="auto"/>
            <w:vAlign w:val="center"/>
          </w:tcPr>
          <w:p w14:paraId="0E6C0768">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部门预算项目设立是否按规定履行评估论证、申报程序</w:t>
            </w:r>
          </w:p>
        </w:tc>
        <w:tc>
          <w:tcPr>
            <w:tcW w:w="756" w:type="dxa"/>
            <w:tcBorders>
              <w:top w:val="single" w:color="000000" w:sz="4" w:space="0"/>
              <w:left w:val="nil"/>
              <w:bottom w:val="single" w:color="000000" w:sz="4" w:space="0"/>
              <w:right w:val="single" w:color="000000" w:sz="4" w:space="0"/>
            </w:tcBorders>
            <w:shd w:val="clear" w:color="auto" w:fill="auto"/>
            <w:vAlign w:val="center"/>
          </w:tcPr>
          <w:p w14:paraId="6343D483">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0"/>
                <w:sz w:val="24"/>
                <w:szCs w:val="24"/>
              </w:rPr>
            </w:pPr>
            <w:r>
              <w:rPr>
                <w:rFonts w:hint="eastAsia" w:ascii="宋体" w:hAnsi="宋体" w:eastAsia="宋体" w:cs="宋体"/>
                <w:i w:val="0"/>
                <w:color w:val="000000"/>
                <w:kern w:val="0"/>
                <w:sz w:val="24"/>
                <w:szCs w:val="24"/>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3AEEC24A">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0"/>
                <w:sz w:val="24"/>
                <w:szCs w:val="24"/>
              </w:rPr>
            </w:pPr>
          </w:p>
        </w:tc>
      </w:tr>
      <w:tr w14:paraId="1EF4D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nil"/>
              <w:left w:val="single" w:color="000000" w:sz="4" w:space="0"/>
              <w:bottom w:val="single" w:color="000000" w:sz="4" w:space="0"/>
              <w:right w:val="single" w:color="000000" w:sz="4" w:space="0"/>
            </w:tcBorders>
            <w:shd w:val="clear" w:color="auto" w:fill="auto"/>
            <w:vAlign w:val="center"/>
          </w:tcPr>
          <w:p w14:paraId="2077CE70">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462" w:type="dxa"/>
            <w:vMerge w:val="continue"/>
            <w:tcBorders>
              <w:top w:val="nil"/>
              <w:left w:val="nil"/>
              <w:bottom w:val="nil"/>
              <w:right w:val="single" w:color="000000" w:sz="4" w:space="0"/>
            </w:tcBorders>
            <w:shd w:val="clear" w:color="auto" w:fill="auto"/>
            <w:vAlign w:val="center"/>
          </w:tcPr>
          <w:p w14:paraId="343F36EA">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65" w:type="dxa"/>
            <w:tcBorders>
              <w:top w:val="single" w:color="000000" w:sz="4" w:space="0"/>
              <w:left w:val="nil"/>
              <w:bottom w:val="single" w:color="000000" w:sz="4" w:space="0"/>
              <w:right w:val="single" w:color="000000" w:sz="4" w:space="0"/>
            </w:tcBorders>
            <w:shd w:val="clear" w:color="auto" w:fill="auto"/>
            <w:vAlign w:val="center"/>
          </w:tcPr>
          <w:p w14:paraId="3E7D545A">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目标设置</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41DA1031">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4</w:t>
            </w:r>
          </w:p>
        </w:tc>
        <w:tc>
          <w:tcPr>
            <w:tcW w:w="4734" w:type="dxa"/>
            <w:tcBorders>
              <w:top w:val="single" w:color="000000" w:sz="4" w:space="0"/>
              <w:left w:val="nil"/>
              <w:bottom w:val="single" w:color="000000" w:sz="4" w:space="0"/>
              <w:right w:val="single" w:color="000000" w:sz="4" w:space="0"/>
            </w:tcBorders>
            <w:shd w:val="clear" w:color="auto" w:fill="auto"/>
            <w:vAlign w:val="center"/>
          </w:tcPr>
          <w:p w14:paraId="4AB29C79">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部门预算项目绩效目标与计划期内的任务量、预算安排的资金量匹配情况，绩效目标设置是否科学合理、规范完整、量化细化、预算匹配</w:t>
            </w:r>
          </w:p>
        </w:tc>
        <w:tc>
          <w:tcPr>
            <w:tcW w:w="756" w:type="dxa"/>
            <w:tcBorders>
              <w:top w:val="single" w:color="000000" w:sz="4" w:space="0"/>
              <w:left w:val="nil"/>
              <w:bottom w:val="single" w:color="000000" w:sz="4" w:space="0"/>
              <w:right w:val="single" w:color="000000" w:sz="4" w:space="0"/>
            </w:tcBorders>
            <w:shd w:val="clear" w:color="auto" w:fill="auto"/>
            <w:vAlign w:val="center"/>
          </w:tcPr>
          <w:p w14:paraId="029620C0">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0"/>
                <w:sz w:val="24"/>
                <w:szCs w:val="24"/>
              </w:rPr>
            </w:pPr>
            <w:r>
              <w:rPr>
                <w:rFonts w:hint="eastAsia" w:ascii="宋体" w:hAnsi="宋体" w:eastAsia="宋体" w:cs="宋体"/>
                <w:i w:val="0"/>
                <w:color w:val="000000"/>
                <w:kern w:val="0"/>
                <w:sz w:val="24"/>
                <w:szCs w:val="24"/>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376276E8">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0"/>
                <w:sz w:val="24"/>
                <w:szCs w:val="24"/>
              </w:rPr>
            </w:pPr>
          </w:p>
        </w:tc>
      </w:tr>
      <w:tr w14:paraId="3512B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nil"/>
              <w:left w:val="single" w:color="000000" w:sz="4" w:space="0"/>
              <w:bottom w:val="single" w:color="000000" w:sz="4" w:space="0"/>
              <w:right w:val="single" w:color="000000" w:sz="4" w:space="0"/>
            </w:tcBorders>
            <w:shd w:val="clear" w:color="auto" w:fill="auto"/>
            <w:vAlign w:val="center"/>
          </w:tcPr>
          <w:p w14:paraId="03370618">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462" w:type="dxa"/>
            <w:vMerge w:val="continue"/>
            <w:tcBorders>
              <w:top w:val="nil"/>
              <w:left w:val="nil"/>
              <w:bottom w:val="nil"/>
              <w:right w:val="single" w:color="000000" w:sz="4" w:space="0"/>
            </w:tcBorders>
            <w:shd w:val="clear" w:color="auto" w:fill="auto"/>
            <w:vAlign w:val="center"/>
          </w:tcPr>
          <w:p w14:paraId="5A0F8002">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65" w:type="dxa"/>
            <w:tcBorders>
              <w:top w:val="single" w:color="000000" w:sz="4" w:space="0"/>
              <w:left w:val="nil"/>
              <w:bottom w:val="single" w:color="000000" w:sz="4" w:space="0"/>
              <w:right w:val="single" w:color="000000" w:sz="4" w:space="0"/>
            </w:tcBorders>
            <w:shd w:val="clear" w:color="auto" w:fill="auto"/>
            <w:vAlign w:val="center"/>
          </w:tcPr>
          <w:p w14:paraId="21B7305C">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项目入库</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020D5918">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4</w:t>
            </w:r>
          </w:p>
        </w:tc>
        <w:tc>
          <w:tcPr>
            <w:tcW w:w="4734" w:type="dxa"/>
            <w:tcBorders>
              <w:top w:val="single" w:color="000000" w:sz="4" w:space="0"/>
              <w:left w:val="nil"/>
              <w:bottom w:val="single" w:color="000000" w:sz="4" w:space="0"/>
              <w:right w:val="single" w:color="000000" w:sz="4" w:space="0"/>
            </w:tcBorders>
            <w:shd w:val="clear" w:color="auto" w:fill="auto"/>
            <w:vAlign w:val="center"/>
          </w:tcPr>
          <w:p w14:paraId="5954A314">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部门预算项目是否在规定时间完成项目入库</w:t>
            </w:r>
          </w:p>
        </w:tc>
        <w:tc>
          <w:tcPr>
            <w:tcW w:w="756" w:type="dxa"/>
            <w:tcBorders>
              <w:top w:val="single" w:color="000000" w:sz="4" w:space="0"/>
              <w:left w:val="nil"/>
              <w:bottom w:val="single" w:color="000000" w:sz="4" w:space="0"/>
              <w:right w:val="single" w:color="000000" w:sz="4" w:space="0"/>
            </w:tcBorders>
            <w:shd w:val="clear" w:color="auto" w:fill="auto"/>
            <w:vAlign w:val="center"/>
          </w:tcPr>
          <w:p w14:paraId="33978FBE">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0"/>
                <w:sz w:val="24"/>
                <w:szCs w:val="24"/>
              </w:rPr>
            </w:pPr>
            <w:r>
              <w:rPr>
                <w:rFonts w:hint="eastAsia" w:ascii="宋体" w:hAnsi="宋体" w:eastAsia="宋体" w:cs="宋体"/>
                <w:i w:val="0"/>
                <w:color w:val="000000"/>
                <w:kern w:val="0"/>
                <w:sz w:val="24"/>
                <w:szCs w:val="24"/>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08B13502">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0"/>
                <w:sz w:val="24"/>
                <w:szCs w:val="24"/>
              </w:rPr>
            </w:pPr>
          </w:p>
        </w:tc>
      </w:tr>
      <w:tr w14:paraId="1067E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nil"/>
              <w:left w:val="single" w:color="000000" w:sz="4" w:space="0"/>
              <w:bottom w:val="single" w:color="000000" w:sz="4" w:space="0"/>
              <w:right w:val="single" w:color="000000" w:sz="4" w:space="0"/>
            </w:tcBorders>
            <w:shd w:val="clear" w:color="auto" w:fill="auto"/>
            <w:vAlign w:val="center"/>
          </w:tcPr>
          <w:p w14:paraId="78F86CD8">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462" w:type="dxa"/>
            <w:vMerge w:val="restart"/>
            <w:tcBorders>
              <w:top w:val="single" w:color="000000" w:sz="4" w:space="0"/>
              <w:left w:val="nil"/>
              <w:bottom w:val="nil"/>
              <w:right w:val="single" w:color="000000" w:sz="4" w:space="0"/>
            </w:tcBorders>
            <w:shd w:val="clear" w:color="auto" w:fill="auto"/>
            <w:vAlign w:val="center"/>
          </w:tcPr>
          <w:p w14:paraId="6BC6D23E">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b/>
                <w:bCs w:val="0"/>
                <w:i w:val="0"/>
                <w:color w:val="000000"/>
                <w:kern w:val="2"/>
                <w:sz w:val="24"/>
                <w:szCs w:val="24"/>
              </w:rPr>
            </w:pPr>
            <w:r>
              <w:rPr>
                <w:rFonts w:hint="eastAsia" w:ascii="宋体" w:hAnsi="宋体" w:eastAsia="宋体" w:cs="宋体"/>
                <w:b/>
                <w:bCs w:val="0"/>
                <w:i w:val="0"/>
                <w:color w:val="000000"/>
                <w:kern w:val="0"/>
                <w:sz w:val="24"/>
                <w:szCs w:val="24"/>
                <w:lang w:val="en-US" w:eastAsia="zh-CN" w:bidi="ar"/>
              </w:rPr>
              <w:t>项目执行</w:t>
            </w:r>
            <w:r>
              <w:rPr>
                <w:rFonts w:hint="eastAsia" w:ascii="宋体" w:hAnsi="宋体" w:eastAsia="宋体" w:cs="宋体"/>
                <w:b/>
                <w:bCs w:val="0"/>
                <w:i w:val="0"/>
                <w:color w:val="000000"/>
                <w:kern w:val="0"/>
                <w:sz w:val="24"/>
                <w:szCs w:val="24"/>
                <w:lang w:val="en-US" w:eastAsia="zh-CN" w:bidi="ar"/>
              </w:rPr>
              <w:br w:type="textWrapping"/>
            </w:r>
            <w:r>
              <w:rPr>
                <w:rFonts w:hint="eastAsia" w:ascii="宋体" w:hAnsi="宋体" w:eastAsia="宋体" w:cs="宋体"/>
                <w:b/>
                <w:bCs w:val="0"/>
                <w:i w:val="0"/>
                <w:color w:val="000000"/>
                <w:kern w:val="0"/>
                <w:sz w:val="24"/>
                <w:szCs w:val="24"/>
                <w:lang w:val="en-US" w:eastAsia="zh-CN" w:bidi="ar"/>
              </w:rPr>
              <w:t>（12分）</w:t>
            </w:r>
          </w:p>
        </w:tc>
        <w:tc>
          <w:tcPr>
            <w:tcW w:w="1665" w:type="dxa"/>
            <w:tcBorders>
              <w:top w:val="single" w:color="000000" w:sz="4" w:space="0"/>
              <w:left w:val="nil"/>
              <w:bottom w:val="single" w:color="000000" w:sz="4" w:space="0"/>
              <w:right w:val="single" w:color="000000" w:sz="4" w:space="0"/>
            </w:tcBorders>
            <w:shd w:val="clear" w:color="auto" w:fill="auto"/>
            <w:vAlign w:val="center"/>
          </w:tcPr>
          <w:p w14:paraId="7F7B1FFA">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执行同向</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0411AFE0">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4</w:t>
            </w:r>
          </w:p>
        </w:tc>
        <w:tc>
          <w:tcPr>
            <w:tcW w:w="4734" w:type="dxa"/>
            <w:tcBorders>
              <w:top w:val="single" w:color="000000" w:sz="4" w:space="0"/>
              <w:left w:val="nil"/>
              <w:bottom w:val="single" w:color="000000" w:sz="4" w:space="0"/>
              <w:right w:val="single" w:color="000000" w:sz="4" w:space="0"/>
            </w:tcBorders>
            <w:shd w:val="clear" w:color="auto" w:fill="auto"/>
            <w:vAlign w:val="center"/>
          </w:tcPr>
          <w:p w14:paraId="2BE8848E">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部门预算项目实际列支内容是否与绩效目标设置方向相符</w:t>
            </w:r>
          </w:p>
        </w:tc>
        <w:tc>
          <w:tcPr>
            <w:tcW w:w="756" w:type="dxa"/>
            <w:tcBorders>
              <w:top w:val="single" w:color="000000" w:sz="4" w:space="0"/>
              <w:left w:val="nil"/>
              <w:bottom w:val="single" w:color="000000" w:sz="4" w:space="0"/>
              <w:right w:val="single" w:color="000000" w:sz="4" w:space="0"/>
            </w:tcBorders>
            <w:shd w:val="clear" w:color="auto" w:fill="auto"/>
            <w:vAlign w:val="center"/>
          </w:tcPr>
          <w:p w14:paraId="453F81FC">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0"/>
                <w:sz w:val="24"/>
                <w:szCs w:val="24"/>
              </w:rPr>
            </w:pPr>
            <w:r>
              <w:rPr>
                <w:rFonts w:hint="eastAsia" w:ascii="宋体" w:hAnsi="宋体" w:eastAsia="宋体" w:cs="宋体"/>
                <w:i w:val="0"/>
                <w:color w:val="000000"/>
                <w:kern w:val="0"/>
                <w:sz w:val="24"/>
                <w:szCs w:val="24"/>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24511709">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0"/>
                <w:sz w:val="24"/>
                <w:szCs w:val="24"/>
              </w:rPr>
            </w:pPr>
          </w:p>
        </w:tc>
      </w:tr>
      <w:tr w14:paraId="69E83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nil"/>
              <w:left w:val="single" w:color="000000" w:sz="4" w:space="0"/>
              <w:bottom w:val="single" w:color="000000" w:sz="4" w:space="0"/>
              <w:right w:val="single" w:color="000000" w:sz="4" w:space="0"/>
            </w:tcBorders>
            <w:shd w:val="clear" w:color="auto" w:fill="auto"/>
            <w:vAlign w:val="center"/>
          </w:tcPr>
          <w:p w14:paraId="491C3D86">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462" w:type="dxa"/>
            <w:vMerge w:val="continue"/>
            <w:tcBorders>
              <w:top w:val="single" w:color="000000" w:sz="4" w:space="0"/>
              <w:left w:val="nil"/>
              <w:bottom w:val="nil"/>
              <w:right w:val="single" w:color="000000" w:sz="4" w:space="0"/>
            </w:tcBorders>
            <w:shd w:val="clear" w:color="auto" w:fill="auto"/>
            <w:vAlign w:val="center"/>
          </w:tcPr>
          <w:p w14:paraId="52DB1521">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65" w:type="dxa"/>
            <w:tcBorders>
              <w:top w:val="single" w:color="000000" w:sz="4" w:space="0"/>
              <w:left w:val="nil"/>
              <w:bottom w:val="nil"/>
              <w:right w:val="single" w:color="000000" w:sz="4" w:space="0"/>
            </w:tcBorders>
            <w:shd w:val="clear" w:color="auto" w:fill="auto"/>
            <w:vAlign w:val="center"/>
          </w:tcPr>
          <w:p w14:paraId="53E68D5D">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项目调整</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633511A8">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4</w:t>
            </w:r>
          </w:p>
        </w:tc>
        <w:tc>
          <w:tcPr>
            <w:tcW w:w="4734" w:type="dxa"/>
            <w:tcBorders>
              <w:top w:val="single" w:color="000000" w:sz="4" w:space="0"/>
              <w:left w:val="nil"/>
              <w:bottom w:val="single" w:color="000000" w:sz="4" w:space="0"/>
              <w:right w:val="single" w:color="000000" w:sz="4" w:space="0"/>
            </w:tcBorders>
            <w:shd w:val="clear" w:color="auto" w:fill="auto"/>
            <w:vAlign w:val="center"/>
          </w:tcPr>
          <w:p w14:paraId="2F3A3442">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部门预算项目是否采取对应调整措施</w:t>
            </w:r>
          </w:p>
        </w:tc>
        <w:tc>
          <w:tcPr>
            <w:tcW w:w="756" w:type="dxa"/>
            <w:tcBorders>
              <w:top w:val="single" w:color="000000" w:sz="4" w:space="0"/>
              <w:left w:val="nil"/>
              <w:bottom w:val="single" w:color="000000" w:sz="4" w:space="0"/>
              <w:right w:val="single" w:color="000000" w:sz="4" w:space="0"/>
            </w:tcBorders>
            <w:shd w:val="clear" w:color="auto" w:fill="auto"/>
            <w:vAlign w:val="center"/>
          </w:tcPr>
          <w:p w14:paraId="736C9F8B">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0"/>
                <w:sz w:val="24"/>
                <w:szCs w:val="24"/>
              </w:rPr>
            </w:pPr>
            <w:r>
              <w:rPr>
                <w:rFonts w:hint="eastAsia" w:ascii="宋体" w:hAnsi="宋体" w:eastAsia="宋体" w:cs="宋体"/>
                <w:i w:val="0"/>
                <w:color w:val="000000"/>
                <w:kern w:val="0"/>
                <w:sz w:val="24"/>
                <w:szCs w:val="24"/>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0D9E4A5F">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0"/>
                <w:sz w:val="24"/>
                <w:szCs w:val="24"/>
              </w:rPr>
            </w:pPr>
          </w:p>
        </w:tc>
      </w:tr>
      <w:tr w14:paraId="71F82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nil"/>
              <w:left w:val="single" w:color="000000" w:sz="4" w:space="0"/>
              <w:bottom w:val="single" w:color="000000" w:sz="4" w:space="0"/>
              <w:right w:val="single" w:color="000000" w:sz="4" w:space="0"/>
            </w:tcBorders>
            <w:shd w:val="clear" w:color="auto" w:fill="auto"/>
            <w:vAlign w:val="center"/>
          </w:tcPr>
          <w:p w14:paraId="300D2EB4">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462" w:type="dxa"/>
            <w:vMerge w:val="continue"/>
            <w:tcBorders>
              <w:top w:val="single" w:color="000000" w:sz="4" w:space="0"/>
              <w:left w:val="nil"/>
              <w:bottom w:val="nil"/>
              <w:right w:val="single" w:color="000000" w:sz="4" w:space="0"/>
            </w:tcBorders>
            <w:shd w:val="clear" w:color="auto" w:fill="auto"/>
            <w:vAlign w:val="center"/>
          </w:tcPr>
          <w:p w14:paraId="2D8066D2">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65" w:type="dxa"/>
            <w:tcBorders>
              <w:top w:val="single" w:color="000000" w:sz="4" w:space="0"/>
              <w:left w:val="nil"/>
              <w:bottom w:val="single" w:color="000000" w:sz="4" w:space="0"/>
              <w:right w:val="single" w:color="000000" w:sz="4" w:space="0"/>
            </w:tcBorders>
            <w:shd w:val="clear" w:color="auto" w:fill="auto"/>
            <w:vAlign w:val="center"/>
          </w:tcPr>
          <w:p w14:paraId="15B7C1A0">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执行结果</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5260B17C">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4</w:t>
            </w:r>
          </w:p>
        </w:tc>
        <w:tc>
          <w:tcPr>
            <w:tcW w:w="4734" w:type="dxa"/>
            <w:tcBorders>
              <w:top w:val="single" w:color="000000" w:sz="4" w:space="0"/>
              <w:left w:val="nil"/>
              <w:bottom w:val="single" w:color="000000" w:sz="4" w:space="0"/>
              <w:right w:val="single" w:color="000000" w:sz="4" w:space="0"/>
            </w:tcBorders>
            <w:shd w:val="clear" w:color="auto" w:fill="auto"/>
            <w:vAlign w:val="center"/>
          </w:tcPr>
          <w:p w14:paraId="3897B9E0">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部门预算项目预算执行情况</w:t>
            </w:r>
          </w:p>
        </w:tc>
        <w:tc>
          <w:tcPr>
            <w:tcW w:w="756" w:type="dxa"/>
            <w:tcBorders>
              <w:top w:val="single" w:color="000000" w:sz="4" w:space="0"/>
              <w:left w:val="nil"/>
              <w:bottom w:val="single" w:color="000000" w:sz="4" w:space="0"/>
              <w:right w:val="single" w:color="000000" w:sz="4" w:space="0"/>
            </w:tcBorders>
            <w:shd w:val="clear" w:color="auto" w:fill="auto"/>
            <w:vAlign w:val="center"/>
          </w:tcPr>
          <w:p w14:paraId="77BC7607">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0"/>
                <w:sz w:val="24"/>
                <w:szCs w:val="24"/>
              </w:rPr>
            </w:pPr>
            <w:r>
              <w:rPr>
                <w:rFonts w:hint="eastAsia" w:ascii="宋体" w:hAnsi="宋体" w:eastAsia="宋体" w:cs="宋体"/>
                <w:i w:val="0"/>
                <w:color w:val="000000"/>
                <w:kern w:val="0"/>
                <w:sz w:val="24"/>
                <w:szCs w:val="24"/>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7D67DB6C">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0"/>
                <w:sz w:val="24"/>
                <w:szCs w:val="24"/>
              </w:rPr>
            </w:pPr>
          </w:p>
        </w:tc>
      </w:tr>
      <w:tr w14:paraId="4661B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nil"/>
              <w:left w:val="single" w:color="000000" w:sz="4" w:space="0"/>
              <w:bottom w:val="single" w:color="000000" w:sz="4" w:space="0"/>
              <w:right w:val="single" w:color="000000" w:sz="4" w:space="0"/>
            </w:tcBorders>
            <w:shd w:val="clear" w:color="auto" w:fill="auto"/>
            <w:vAlign w:val="center"/>
          </w:tcPr>
          <w:p w14:paraId="1FF19008">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462" w:type="dxa"/>
            <w:vMerge w:val="restart"/>
            <w:tcBorders>
              <w:top w:val="single" w:color="000000" w:sz="4" w:space="0"/>
              <w:left w:val="nil"/>
              <w:bottom w:val="single" w:color="000000" w:sz="4" w:space="0"/>
              <w:right w:val="single" w:color="000000" w:sz="4" w:space="0"/>
            </w:tcBorders>
            <w:shd w:val="clear" w:color="auto" w:fill="auto"/>
            <w:vAlign w:val="center"/>
          </w:tcPr>
          <w:p w14:paraId="477BF36D">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b/>
                <w:bCs w:val="0"/>
                <w:i w:val="0"/>
                <w:color w:val="000000"/>
                <w:kern w:val="2"/>
                <w:sz w:val="24"/>
                <w:szCs w:val="24"/>
              </w:rPr>
            </w:pPr>
            <w:r>
              <w:rPr>
                <w:rFonts w:hint="eastAsia" w:ascii="宋体" w:hAnsi="宋体" w:eastAsia="宋体" w:cs="宋体"/>
                <w:b/>
                <w:bCs w:val="0"/>
                <w:i w:val="0"/>
                <w:color w:val="000000"/>
                <w:kern w:val="0"/>
                <w:sz w:val="24"/>
                <w:szCs w:val="24"/>
                <w:lang w:val="en-US" w:eastAsia="zh-CN" w:bidi="ar"/>
              </w:rPr>
              <w:t>目标实现</w:t>
            </w:r>
            <w:r>
              <w:rPr>
                <w:rFonts w:hint="eastAsia" w:ascii="宋体" w:hAnsi="宋体" w:eastAsia="宋体" w:cs="宋体"/>
                <w:b/>
                <w:bCs w:val="0"/>
                <w:i w:val="0"/>
                <w:color w:val="000000"/>
                <w:kern w:val="0"/>
                <w:sz w:val="24"/>
                <w:szCs w:val="24"/>
                <w:lang w:val="en-US" w:eastAsia="zh-CN" w:bidi="ar"/>
              </w:rPr>
              <w:br w:type="textWrapping"/>
            </w:r>
            <w:r>
              <w:rPr>
                <w:rFonts w:hint="eastAsia" w:ascii="宋体" w:hAnsi="宋体" w:eastAsia="宋体" w:cs="宋体"/>
                <w:b/>
                <w:bCs w:val="0"/>
                <w:i w:val="0"/>
                <w:color w:val="000000"/>
                <w:kern w:val="0"/>
                <w:sz w:val="24"/>
                <w:szCs w:val="24"/>
                <w:lang w:val="en-US" w:eastAsia="zh-CN" w:bidi="ar"/>
              </w:rPr>
              <w:t>（11分）</w:t>
            </w:r>
          </w:p>
        </w:tc>
        <w:tc>
          <w:tcPr>
            <w:tcW w:w="1665" w:type="dxa"/>
            <w:tcBorders>
              <w:top w:val="single" w:color="000000" w:sz="4" w:space="0"/>
              <w:left w:val="nil"/>
              <w:bottom w:val="single" w:color="000000" w:sz="4" w:space="0"/>
              <w:right w:val="single" w:color="000000" w:sz="4" w:space="0"/>
            </w:tcBorders>
            <w:shd w:val="clear" w:color="auto" w:fill="auto"/>
            <w:vAlign w:val="center"/>
          </w:tcPr>
          <w:p w14:paraId="33E3EC4A">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目标完成</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1F91E299">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4</w:t>
            </w:r>
          </w:p>
        </w:tc>
        <w:tc>
          <w:tcPr>
            <w:tcW w:w="4734" w:type="dxa"/>
            <w:tcBorders>
              <w:top w:val="single" w:color="000000" w:sz="4" w:space="0"/>
              <w:left w:val="nil"/>
              <w:bottom w:val="single" w:color="000000" w:sz="4" w:space="0"/>
              <w:right w:val="single" w:color="000000" w:sz="4" w:space="0"/>
            </w:tcBorders>
            <w:shd w:val="clear" w:color="auto" w:fill="auto"/>
            <w:vAlign w:val="center"/>
          </w:tcPr>
          <w:p w14:paraId="203354DB">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部门预算项目绩效目标数量指标完成情况</w:t>
            </w:r>
          </w:p>
        </w:tc>
        <w:tc>
          <w:tcPr>
            <w:tcW w:w="756" w:type="dxa"/>
            <w:tcBorders>
              <w:top w:val="single" w:color="000000" w:sz="4" w:space="0"/>
              <w:left w:val="nil"/>
              <w:bottom w:val="single" w:color="000000" w:sz="4" w:space="0"/>
              <w:right w:val="single" w:color="000000" w:sz="4" w:space="0"/>
            </w:tcBorders>
            <w:shd w:val="clear" w:color="auto" w:fill="auto"/>
            <w:vAlign w:val="center"/>
          </w:tcPr>
          <w:p w14:paraId="65AFDEFE">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0"/>
                <w:sz w:val="24"/>
                <w:szCs w:val="24"/>
              </w:rPr>
            </w:pPr>
            <w:r>
              <w:rPr>
                <w:rFonts w:hint="eastAsia" w:ascii="宋体" w:hAnsi="宋体" w:eastAsia="宋体" w:cs="宋体"/>
                <w:i w:val="0"/>
                <w:color w:val="000000"/>
                <w:kern w:val="0"/>
                <w:sz w:val="24"/>
                <w:szCs w:val="24"/>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30D661EA">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0"/>
                <w:sz w:val="24"/>
                <w:szCs w:val="24"/>
              </w:rPr>
            </w:pPr>
          </w:p>
        </w:tc>
      </w:tr>
      <w:tr w14:paraId="48890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nil"/>
              <w:left w:val="single" w:color="000000" w:sz="4" w:space="0"/>
              <w:bottom w:val="single" w:color="000000" w:sz="4" w:space="0"/>
              <w:right w:val="single" w:color="000000" w:sz="4" w:space="0"/>
            </w:tcBorders>
            <w:shd w:val="clear" w:color="auto" w:fill="auto"/>
            <w:vAlign w:val="center"/>
          </w:tcPr>
          <w:p w14:paraId="4EF4B090">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462" w:type="dxa"/>
            <w:vMerge w:val="continue"/>
            <w:tcBorders>
              <w:top w:val="single" w:color="000000" w:sz="4" w:space="0"/>
              <w:left w:val="nil"/>
              <w:bottom w:val="single" w:color="000000" w:sz="4" w:space="0"/>
              <w:right w:val="single" w:color="000000" w:sz="4" w:space="0"/>
            </w:tcBorders>
            <w:shd w:val="clear" w:color="auto" w:fill="auto"/>
            <w:vAlign w:val="center"/>
          </w:tcPr>
          <w:p w14:paraId="068D28C4">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65" w:type="dxa"/>
            <w:tcBorders>
              <w:top w:val="single" w:color="000000" w:sz="4" w:space="0"/>
              <w:left w:val="nil"/>
              <w:bottom w:val="single" w:color="000000" w:sz="4" w:space="0"/>
              <w:right w:val="single" w:color="000000" w:sz="4" w:space="0"/>
            </w:tcBorders>
            <w:shd w:val="clear" w:color="auto" w:fill="auto"/>
            <w:vAlign w:val="center"/>
          </w:tcPr>
          <w:p w14:paraId="140CAAFA">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目标偏离</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6CD00050">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4</w:t>
            </w:r>
          </w:p>
        </w:tc>
        <w:tc>
          <w:tcPr>
            <w:tcW w:w="4734" w:type="dxa"/>
            <w:tcBorders>
              <w:top w:val="single" w:color="000000" w:sz="4" w:space="0"/>
              <w:left w:val="nil"/>
              <w:bottom w:val="single" w:color="000000" w:sz="4" w:space="0"/>
              <w:right w:val="single" w:color="000000" w:sz="4" w:space="0"/>
            </w:tcBorders>
            <w:shd w:val="clear" w:color="auto" w:fill="auto"/>
            <w:vAlign w:val="center"/>
          </w:tcPr>
          <w:p w14:paraId="117DB661">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部门预算项目绩效目标数量指标实现程度与预期目标的偏离情况</w:t>
            </w:r>
          </w:p>
        </w:tc>
        <w:tc>
          <w:tcPr>
            <w:tcW w:w="756" w:type="dxa"/>
            <w:tcBorders>
              <w:top w:val="single" w:color="000000" w:sz="4" w:space="0"/>
              <w:left w:val="nil"/>
              <w:bottom w:val="single" w:color="000000" w:sz="4" w:space="0"/>
              <w:right w:val="single" w:color="000000" w:sz="4" w:space="0"/>
            </w:tcBorders>
            <w:shd w:val="clear" w:color="auto" w:fill="auto"/>
            <w:vAlign w:val="center"/>
          </w:tcPr>
          <w:p w14:paraId="3C534CA3">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0"/>
                <w:sz w:val="24"/>
                <w:szCs w:val="24"/>
              </w:rPr>
            </w:pPr>
            <w:r>
              <w:rPr>
                <w:rFonts w:hint="eastAsia" w:ascii="宋体" w:hAnsi="宋体" w:eastAsia="宋体" w:cs="宋体"/>
                <w:i w:val="0"/>
                <w:color w:val="000000"/>
                <w:kern w:val="0"/>
                <w:sz w:val="24"/>
                <w:szCs w:val="24"/>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3DF51896">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0"/>
                <w:sz w:val="24"/>
                <w:szCs w:val="24"/>
              </w:rPr>
            </w:pPr>
          </w:p>
        </w:tc>
      </w:tr>
      <w:tr w14:paraId="0F950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nil"/>
              <w:left w:val="single" w:color="000000" w:sz="4" w:space="0"/>
              <w:bottom w:val="single" w:color="000000" w:sz="4" w:space="0"/>
              <w:right w:val="single" w:color="000000" w:sz="4" w:space="0"/>
            </w:tcBorders>
            <w:shd w:val="clear" w:color="auto" w:fill="auto"/>
            <w:vAlign w:val="center"/>
          </w:tcPr>
          <w:p w14:paraId="551E616B">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462" w:type="dxa"/>
            <w:vMerge w:val="continue"/>
            <w:tcBorders>
              <w:top w:val="single" w:color="000000" w:sz="4" w:space="0"/>
              <w:left w:val="nil"/>
              <w:bottom w:val="single" w:color="000000" w:sz="4" w:space="0"/>
              <w:right w:val="single" w:color="000000" w:sz="4" w:space="0"/>
            </w:tcBorders>
            <w:shd w:val="clear" w:color="auto" w:fill="auto"/>
            <w:vAlign w:val="center"/>
          </w:tcPr>
          <w:p w14:paraId="282F1536">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65" w:type="dxa"/>
            <w:tcBorders>
              <w:top w:val="single" w:color="000000" w:sz="4" w:space="0"/>
              <w:left w:val="nil"/>
              <w:bottom w:val="single" w:color="000000" w:sz="4" w:space="0"/>
              <w:right w:val="single" w:color="000000" w:sz="4" w:space="0"/>
            </w:tcBorders>
            <w:shd w:val="clear" w:color="auto" w:fill="auto"/>
            <w:vAlign w:val="center"/>
          </w:tcPr>
          <w:p w14:paraId="4312B89C">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实现效果</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7015582A">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3</w:t>
            </w:r>
          </w:p>
        </w:tc>
        <w:tc>
          <w:tcPr>
            <w:tcW w:w="4734" w:type="dxa"/>
            <w:tcBorders>
              <w:top w:val="single" w:color="000000" w:sz="4" w:space="0"/>
              <w:left w:val="nil"/>
              <w:bottom w:val="single" w:color="000000" w:sz="4" w:space="0"/>
              <w:right w:val="single" w:color="000000" w:sz="4" w:space="0"/>
            </w:tcBorders>
            <w:shd w:val="clear" w:color="auto" w:fill="auto"/>
            <w:vAlign w:val="center"/>
          </w:tcPr>
          <w:p w14:paraId="661674C9">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部门预算项目绩效目标效益指标实施效果</w:t>
            </w:r>
          </w:p>
        </w:tc>
        <w:tc>
          <w:tcPr>
            <w:tcW w:w="756" w:type="dxa"/>
            <w:tcBorders>
              <w:top w:val="single" w:color="000000" w:sz="4" w:space="0"/>
              <w:left w:val="nil"/>
              <w:bottom w:val="single" w:color="000000" w:sz="4" w:space="0"/>
              <w:right w:val="single" w:color="000000" w:sz="4" w:space="0"/>
            </w:tcBorders>
            <w:shd w:val="clear" w:color="auto" w:fill="auto"/>
            <w:vAlign w:val="center"/>
          </w:tcPr>
          <w:p w14:paraId="6FB79D05">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0"/>
                <w:sz w:val="24"/>
                <w:szCs w:val="24"/>
              </w:rPr>
            </w:pPr>
            <w:r>
              <w:rPr>
                <w:rFonts w:hint="eastAsia" w:ascii="宋体" w:hAnsi="宋体" w:eastAsia="宋体" w:cs="宋体"/>
                <w:i w:val="0"/>
                <w:color w:val="000000"/>
                <w:kern w:val="0"/>
                <w:sz w:val="24"/>
                <w:szCs w:val="24"/>
                <w:lang w:val="en-US" w:eastAsia="zh-CN" w:bidi="ar"/>
              </w:rPr>
              <w:t>3</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604BC96D">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0"/>
                <w:sz w:val="24"/>
                <w:szCs w:val="24"/>
              </w:rPr>
            </w:pPr>
          </w:p>
        </w:tc>
      </w:tr>
      <w:tr w14:paraId="7D8C1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818A0">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b/>
                <w:bCs w:val="0"/>
                <w:i w:val="0"/>
                <w:color w:val="000000"/>
                <w:kern w:val="2"/>
                <w:sz w:val="24"/>
                <w:szCs w:val="24"/>
              </w:rPr>
            </w:pPr>
            <w:r>
              <w:rPr>
                <w:rFonts w:hint="eastAsia" w:ascii="宋体" w:hAnsi="宋体" w:eastAsia="宋体" w:cs="宋体"/>
                <w:b/>
                <w:bCs w:val="0"/>
                <w:i w:val="0"/>
                <w:color w:val="000000"/>
                <w:kern w:val="0"/>
                <w:sz w:val="24"/>
                <w:szCs w:val="24"/>
                <w:lang w:val="en-US" w:eastAsia="zh-CN" w:bidi="ar"/>
              </w:rPr>
              <w:t>扣分项</w:t>
            </w:r>
            <w:r>
              <w:rPr>
                <w:rFonts w:hint="eastAsia" w:ascii="宋体" w:hAnsi="宋体" w:eastAsia="宋体" w:cs="宋体"/>
                <w:b/>
                <w:bCs w:val="0"/>
                <w:i w:val="0"/>
                <w:color w:val="000000"/>
                <w:kern w:val="0"/>
                <w:sz w:val="24"/>
                <w:szCs w:val="24"/>
                <w:lang w:val="en-US" w:eastAsia="zh-CN" w:bidi="ar"/>
              </w:rPr>
              <w:br w:type="textWrapping"/>
            </w:r>
            <w:r>
              <w:rPr>
                <w:rFonts w:hint="eastAsia" w:ascii="宋体" w:hAnsi="宋体" w:eastAsia="宋体" w:cs="宋体"/>
                <w:b/>
                <w:bCs w:val="0"/>
                <w:i w:val="0"/>
                <w:color w:val="000000"/>
                <w:kern w:val="0"/>
                <w:sz w:val="24"/>
                <w:szCs w:val="24"/>
                <w:lang w:val="en-US" w:eastAsia="zh-CN" w:bidi="ar"/>
              </w:rPr>
              <w:t>（10分）</w:t>
            </w:r>
          </w:p>
        </w:tc>
        <w:tc>
          <w:tcPr>
            <w:tcW w:w="3127" w:type="dxa"/>
            <w:gridSpan w:val="2"/>
            <w:tcBorders>
              <w:top w:val="single" w:color="000000" w:sz="4" w:space="0"/>
              <w:left w:val="nil"/>
              <w:bottom w:val="single" w:color="000000" w:sz="4" w:space="0"/>
              <w:right w:val="single" w:color="000000" w:sz="4" w:space="0"/>
            </w:tcBorders>
            <w:shd w:val="clear" w:color="auto" w:fill="auto"/>
            <w:vAlign w:val="center"/>
          </w:tcPr>
          <w:p w14:paraId="0AB4EC90">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被评价部门配合度</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34BCE90D">
            <w:pPr>
              <w:keepNext w:val="0"/>
              <w:keepLines w:val="0"/>
              <w:widowControl/>
              <w:suppressLineNumbers w:val="0"/>
              <w:autoSpaceDE w:val="0"/>
              <w:autoSpaceDN/>
              <w:spacing w:before="0" w:beforeAutospacing="0" w:after="0" w:afterAutospacing="0" w:line="240" w:lineRule="exact"/>
              <w:ind w:left="0" w:right="0"/>
              <w:jc w:val="center"/>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w:t>
            </w:r>
          </w:p>
        </w:tc>
        <w:tc>
          <w:tcPr>
            <w:tcW w:w="4734" w:type="dxa"/>
            <w:tcBorders>
              <w:top w:val="single" w:color="000000" w:sz="4" w:space="0"/>
              <w:left w:val="nil"/>
              <w:bottom w:val="single" w:color="000000" w:sz="4" w:space="0"/>
              <w:right w:val="single" w:color="000000" w:sz="4" w:space="0"/>
            </w:tcBorders>
            <w:shd w:val="clear" w:color="auto" w:fill="auto"/>
            <w:vAlign w:val="center"/>
          </w:tcPr>
          <w:p w14:paraId="6842FC08">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2"/>
                <w:sz w:val="24"/>
                <w:szCs w:val="24"/>
              </w:rPr>
            </w:pPr>
            <w:r>
              <w:rPr>
                <w:rFonts w:hint="eastAsia" w:ascii="宋体" w:hAnsi="宋体" w:eastAsia="宋体" w:cs="宋体"/>
                <w:i w:val="0"/>
                <w:color w:val="000000"/>
                <w:kern w:val="0"/>
                <w:sz w:val="24"/>
                <w:szCs w:val="24"/>
                <w:lang w:val="en-US" w:eastAsia="zh-CN" w:bidi="ar"/>
              </w:rPr>
              <w:t>被评价对象工作配合情况</w:t>
            </w:r>
          </w:p>
        </w:tc>
        <w:tc>
          <w:tcPr>
            <w:tcW w:w="756" w:type="dxa"/>
            <w:tcBorders>
              <w:top w:val="single" w:color="000000" w:sz="4" w:space="0"/>
              <w:left w:val="nil"/>
              <w:bottom w:val="single" w:color="000000" w:sz="4" w:space="0"/>
              <w:right w:val="single" w:color="000000" w:sz="4" w:space="0"/>
            </w:tcBorders>
            <w:shd w:val="clear" w:color="auto" w:fill="auto"/>
            <w:vAlign w:val="center"/>
          </w:tcPr>
          <w:p w14:paraId="56634CC9">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0"/>
                <w:sz w:val="24"/>
                <w:szCs w:val="24"/>
              </w:rPr>
            </w:pPr>
          </w:p>
        </w:tc>
        <w:tc>
          <w:tcPr>
            <w:tcW w:w="478" w:type="dxa"/>
            <w:tcBorders>
              <w:top w:val="single" w:color="000000" w:sz="4" w:space="0"/>
              <w:left w:val="nil"/>
              <w:bottom w:val="single" w:color="000000" w:sz="4" w:space="0"/>
              <w:right w:val="single" w:color="000000" w:sz="4" w:space="0"/>
            </w:tcBorders>
            <w:shd w:val="clear" w:color="auto" w:fill="auto"/>
            <w:vAlign w:val="center"/>
          </w:tcPr>
          <w:p w14:paraId="56BDDD1E">
            <w:pPr>
              <w:keepNext w:val="0"/>
              <w:keepLines w:val="0"/>
              <w:widowControl/>
              <w:suppressLineNumbers w:val="0"/>
              <w:autoSpaceDE w:val="0"/>
              <w:autoSpaceDN/>
              <w:spacing w:before="0" w:beforeAutospacing="0" w:after="0" w:afterAutospacing="0" w:line="240" w:lineRule="exact"/>
              <w:ind w:left="0" w:right="0"/>
              <w:jc w:val="left"/>
              <w:textAlignment w:val="center"/>
              <w:rPr>
                <w:rFonts w:hint="eastAsia" w:ascii="宋体" w:hAnsi="宋体" w:eastAsia="宋体" w:cs="宋体"/>
                <w:i w:val="0"/>
                <w:color w:val="000000"/>
                <w:kern w:val="0"/>
                <w:sz w:val="24"/>
                <w:szCs w:val="24"/>
              </w:rPr>
            </w:pPr>
          </w:p>
        </w:tc>
      </w:tr>
    </w:tbl>
    <w:p w14:paraId="28713871">
      <w:pPr>
        <w:keepNext w:val="0"/>
        <w:keepLines w:val="0"/>
        <w:widowControl w:val="0"/>
        <w:suppressLineNumbers w:val="0"/>
        <w:autoSpaceDE w:val="0"/>
        <w:autoSpaceDN/>
        <w:spacing w:before="0" w:beforeAutospacing="0" w:after="0" w:afterAutospacing="0" w:line="578" w:lineRule="exact"/>
        <w:ind w:left="0" w:right="0"/>
        <w:jc w:val="left"/>
        <w:rPr>
          <w:rFonts w:hint="default" w:ascii="Times New Roman" w:hAnsi="Times New Roman" w:eastAsia="仿宋_GB2312" w:cs="Times New Roman"/>
          <w:kern w:val="2"/>
          <w:sz w:val="32"/>
          <w:szCs w:val="32"/>
        </w:rPr>
      </w:pPr>
      <w:r>
        <w:rPr>
          <w:rFonts w:hint="default" w:ascii="Times New Roman" w:hAnsi="Times New Roman" w:eastAsia="仿宋_GB2312" w:cs="Times New Roman"/>
          <w:color w:val="000000"/>
          <w:kern w:val="0"/>
          <w:sz w:val="32"/>
          <w:szCs w:val="32"/>
          <w:shd w:val="clear" w:fill="FFFFFF"/>
          <w:lang w:val="en-US" w:eastAsia="zh-CN" w:bidi="ar"/>
        </w:rPr>
        <w:br w:type="page"/>
      </w:r>
      <w:r>
        <w:rPr>
          <w:rFonts w:hint="eastAsia" w:ascii="黑体" w:hAnsi="宋体" w:eastAsia="黑体" w:cs="黑体"/>
          <w:kern w:val="2"/>
          <w:sz w:val="32"/>
          <w:szCs w:val="32"/>
          <w:lang w:val="en-US" w:eastAsia="zh-CN" w:bidi="ar"/>
        </w:rPr>
        <w:t>附表2</w:t>
      </w:r>
    </w:p>
    <w:tbl>
      <w:tblPr>
        <w:tblStyle w:val="16"/>
        <w:tblW w:w="105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302"/>
        <w:gridCol w:w="1340"/>
        <w:gridCol w:w="1100"/>
        <w:gridCol w:w="1260"/>
        <w:gridCol w:w="1139"/>
        <w:gridCol w:w="1282"/>
        <w:gridCol w:w="1052"/>
        <w:gridCol w:w="921"/>
        <w:gridCol w:w="1108"/>
        <w:gridCol w:w="49"/>
      </w:tblGrid>
      <w:tr w14:paraId="6A0AC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62" w:hRule="atLeast"/>
          <w:jc w:val="center"/>
        </w:trPr>
        <w:tc>
          <w:tcPr>
            <w:tcW w:w="10560" w:type="dxa"/>
            <w:gridSpan w:val="10"/>
            <w:tcBorders>
              <w:top w:val="nil"/>
              <w:left w:val="nil"/>
              <w:bottom w:val="nil"/>
              <w:right w:val="nil"/>
            </w:tcBorders>
            <w:shd w:val="clear" w:color="auto" w:fill="auto"/>
            <w:vAlign w:val="center"/>
          </w:tcPr>
          <w:p w14:paraId="56535C7F">
            <w:pPr>
              <w:keepNext w:val="0"/>
              <w:keepLines w:val="0"/>
              <w:widowControl/>
              <w:suppressLineNumbers w:val="0"/>
              <w:autoSpaceDE w:val="0"/>
              <w:autoSpaceDN/>
              <w:spacing w:before="0" w:beforeAutospacing="0" w:after="0" w:afterAutospacing="0" w:line="600" w:lineRule="exact"/>
              <w:ind w:left="0" w:right="0"/>
              <w:jc w:val="center"/>
              <w:textAlignment w:val="center"/>
              <w:rPr>
                <w:rFonts w:hint="default" w:ascii="Times New Roman" w:hAnsi="Times New Roman" w:eastAsia="黑体" w:cs="Times New Roman"/>
                <w:i w:val="0"/>
                <w:color w:val="000000"/>
                <w:kern w:val="2"/>
                <w:sz w:val="28"/>
                <w:szCs w:val="28"/>
              </w:rPr>
            </w:pPr>
            <w:r>
              <w:rPr>
                <w:rFonts w:hint="eastAsia" w:ascii="方正小标宋简体" w:hAnsi="方正小标宋简体" w:eastAsia="方正小标宋简体" w:cs="方正小标宋简体"/>
                <w:i w:val="0"/>
                <w:color w:val="000000"/>
                <w:kern w:val="0"/>
                <w:sz w:val="44"/>
                <w:szCs w:val="44"/>
                <w:lang w:val="en-US" w:eastAsia="zh-CN" w:bidi="ar"/>
              </w:rPr>
              <w:t>部门整体支出绩效目标完成情况自评表</w:t>
            </w:r>
          </w:p>
        </w:tc>
      </w:tr>
      <w:tr w14:paraId="69C21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0560" w:type="dxa"/>
            <w:gridSpan w:val="10"/>
            <w:tcBorders>
              <w:top w:val="nil"/>
              <w:left w:val="nil"/>
              <w:bottom w:val="nil"/>
              <w:right w:val="nil"/>
            </w:tcBorders>
            <w:shd w:val="clear" w:color="auto" w:fill="auto"/>
            <w:vAlign w:val="center"/>
          </w:tcPr>
          <w:p w14:paraId="79C1A49E">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2"/>
                <w:sz w:val="28"/>
                <w:szCs w:val="28"/>
              </w:rPr>
            </w:pPr>
            <w:r>
              <w:rPr>
                <w:rFonts w:hint="eastAsia" w:ascii="宋体" w:hAnsi="宋体" w:eastAsia="宋体" w:cs="宋体"/>
                <w:i w:val="0"/>
                <w:color w:val="000000"/>
                <w:kern w:val="0"/>
                <w:sz w:val="28"/>
                <w:szCs w:val="28"/>
                <w:lang w:val="en-US" w:eastAsia="zh-CN" w:bidi="ar"/>
              </w:rPr>
              <w:t>（</w:t>
            </w:r>
            <w:r>
              <w:rPr>
                <w:rFonts w:hint="default" w:ascii="Times New Roman" w:hAnsi="Times New Roman" w:eastAsia="宋体" w:cs="Times New Roman"/>
                <w:i w:val="0"/>
                <w:color w:val="000000"/>
                <w:kern w:val="0"/>
                <w:sz w:val="28"/>
                <w:szCs w:val="28"/>
                <w:lang w:val="en-US" w:eastAsia="zh-CN" w:bidi="ar"/>
              </w:rPr>
              <w:t>2025</w:t>
            </w:r>
            <w:r>
              <w:rPr>
                <w:rFonts w:hint="eastAsia" w:ascii="宋体" w:hAnsi="宋体" w:eastAsia="宋体" w:cs="宋体"/>
                <w:i w:val="0"/>
                <w:color w:val="000000"/>
                <w:kern w:val="0"/>
                <w:sz w:val="28"/>
                <w:szCs w:val="28"/>
                <w:lang w:val="en-US" w:eastAsia="zh-CN" w:bidi="ar"/>
              </w:rPr>
              <w:t>年度）</w:t>
            </w:r>
          </w:p>
        </w:tc>
      </w:tr>
      <w:tr w14:paraId="20E30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0560" w:type="dxa"/>
            <w:gridSpan w:val="10"/>
            <w:tcBorders>
              <w:top w:val="nil"/>
              <w:left w:val="nil"/>
              <w:bottom w:val="single" w:color="000000" w:sz="4" w:space="0"/>
              <w:right w:val="nil"/>
            </w:tcBorders>
            <w:shd w:val="clear" w:color="auto" w:fill="auto"/>
            <w:vAlign w:val="center"/>
          </w:tcPr>
          <w:p w14:paraId="547618D2">
            <w:pPr>
              <w:keepNext w:val="0"/>
              <w:keepLines w:val="0"/>
              <w:widowControl/>
              <w:suppressLineNumbers w:val="0"/>
              <w:autoSpaceDE w:val="0"/>
              <w:autoSpaceDN/>
              <w:spacing w:before="0" w:beforeAutospacing="0" w:after="0" w:afterAutospacing="0" w:line="300" w:lineRule="exact"/>
              <w:ind w:left="0" w:right="0"/>
              <w:jc w:val="right"/>
              <w:textAlignment w:val="center"/>
              <w:rPr>
                <w:rFonts w:hint="default" w:ascii="Times New Roman" w:hAnsi="Times New Roman" w:eastAsia="宋体" w:cs="Times New Roman"/>
                <w:i w:val="0"/>
                <w:color w:val="000000"/>
                <w:kern w:val="2"/>
                <w:sz w:val="21"/>
                <w:szCs w:val="21"/>
              </w:rPr>
            </w:pPr>
            <w:r>
              <w:rPr>
                <w:rFonts w:hint="eastAsia" w:ascii="宋体" w:hAnsi="宋体" w:eastAsia="宋体" w:cs="宋体"/>
                <w:i w:val="0"/>
                <w:color w:val="000000"/>
                <w:kern w:val="0"/>
                <w:sz w:val="21"/>
                <w:szCs w:val="21"/>
                <w:lang w:val="en-US" w:eastAsia="zh-CN" w:bidi="ar"/>
              </w:rPr>
              <w:t>单位：万元</w:t>
            </w:r>
          </w:p>
        </w:tc>
      </w:tr>
      <w:tr w14:paraId="6A9AD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37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F9326A">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color w:val="000000"/>
                <w:kern w:val="0"/>
                <w:sz w:val="24"/>
                <w:szCs w:val="24"/>
                <w:lang w:val="en-US" w:eastAsia="zh-CN" w:bidi="ar"/>
              </w:rPr>
              <w:t>部门名称</w:t>
            </w:r>
          </w:p>
        </w:tc>
        <w:tc>
          <w:tcPr>
            <w:tcW w:w="6798" w:type="dxa"/>
            <w:gridSpan w:val="7"/>
            <w:tcBorders>
              <w:top w:val="single" w:color="000000" w:sz="4" w:space="0"/>
              <w:left w:val="nil"/>
              <w:bottom w:val="single" w:color="000000" w:sz="4" w:space="0"/>
              <w:right w:val="single" w:color="000000" w:sz="4" w:space="0"/>
            </w:tcBorders>
            <w:shd w:val="clear" w:color="auto" w:fill="auto"/>
            <w:vAlign w:val="center"/>
          </w:tcPr>
          <w:p w14:paraId="2A596FF6">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color w:val="000000"/>
                <w:kern w:val="0"/>
                <w:sz w:val="24"/>
                <w:szCs w:val="24"/>
                <w:lang w:val="en-US" w:eastAsia="zh-CN" w:bidi="ar"/>
              </w:rPr>
              <w:t>小金县统计局</w:t>
            </w:r>
          </w:p>
        </w:tc>
      </w:tr>
      <w:tr w14:paraId="14B34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restart"/>
            <w:tcBorders>
              <w:top w:val="nil"/>
              <w:left w:val="single" w:color="000000" w:sz="4" w:space="0"/>
              <w:bottom w:val="single" w:color="000000" w:sz="4" w:space="0"/>
              <w:right w:val="single" w:color="000000" w:sz="4" w:space="0"/>
            </w:tcBorders>
            <w:shd w:val="clear" w:color="auto" w:fill="auto"/>
            <w:vAlign w:val="center"/>
          </w:tcPr>
          <w:p w14:paraId="557F882D">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color w:val="000000"/>
                <w:kern w:val="0"/>
                <w:sz w:val="24"/>
                <w:szCs w:val="24"/>
                <w:lang w:val="en-US" w:eastAsia="zh-CN" w:bidi="ar"/>
              </w:rPr>
              <w:t>年度部门整体支出预算</w:t>
            </w:r>
          </w:p>
        </w:tc>
        <w:tc>
          <w:tcPr>
            <w:tcW w:w="2453" w:type="dxa"/>
            <w:gridSpan w:val="2"/>
            <w:tcBorders>
              <w:top w:val="single" w:color="000000" w:sz="4" w:space="0"/>
              <w:left w:val="nil"/>
              <w:bottom w:val="single" w:color="000000" w:sz="4" w:space="0"/>
              <w:right w:val="single" w:color="000000" w:sz="4" w:space="0"/>
            </w:tcBorders>
            <w:shd w:val="clear" w:color="auto" w:fill="auto"/>
            <w:vAlign w:val="center"/>
          </w:tcPr>
          <w:p w14:paraId="0A066C56">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color w:val="000000"/>
                <w:kern w:val="0"/>
                <w:sz w:val="24"/>
                <w:szCs w:val="24"/>
                <w:lang w:val="en-US" w:eastAsia="zh-CN" w:bidi="ar"/>
              </w:rPr>
              <w:t>资金总额</w:t>
            </w:r>
          </w:p>
        </w:tc>
        <w:tc>
          <w:tcPr>
            <w:tcW w:w="2411" w:type="dxa"/>
            <w:gridSpan w:val="2"/>
            <w:tcBorders>
              <w:top w:val="single" w:color="000000" w:sz="4" w:space="0"/>
              <w:left w:val="nil"/>
              <w:bottom w:val="single" w:color="000000" w:sz="4" w:space="0"/>
              <w:right w:val="single" w:color="000000" w:sz="4" w:space="0"/>
            </w:tcBorders>
            <w:shd w:val="clear" w:color="auto" w:fill="auto"/>
            <w:vAlign w:val="center"/>
          </w:tcPr>
          <w:p w14:paraId="7C06B79F">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color w:val="000000"/>
                <w:kern w:val="0"/>
                <w:sz w:val="24"/>
                <w:szCs w:val="24"/>
                <w:lang w:val="en-US" w:eastAsia="zh-CN" w:bidi="ar"/>
              </w:rPr>
              <w:t>财政拨款</w:t>
            </w:r>
          </w:p>
        </w:tc>
        <w:tc>
          <w:tcPr>
            <w:tcW w:w="4387" w:type="dxa"/>
            <w:gridSpan w:val="4"/>
            <w:tcBorders>
              <w:top w:val="single" w:color="000000" w:sz="4" w:space="0"/>
              <w:left w:val="nil"/>
              <w:bottom w:val="single" w:color="000000" w:sz="4" w:space="0"/>
              <w:right w:val="single" w:color="000000" w:sz="4" w:space="0"/>
            </w:tcBorders>
            <w:shd w:val="clear" w:color="auto" w:fill="auto"/>
            <w:vAlign w:val="center"/>
          </w:tcPr>
          <w:p w14:paraId="2BD2473C">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color w:val="000000"/>
                <w:kern w:val="0"/>
                <w:sz w:val="24"/>
                <w:szCs w:val="24"/>
                <w:lang w:val="en-US" w:eastAsia="zh-CN" w:bidi="ar"/>
              </w:rPr>
              <w:t>其他资金</w:t>
            </w:r>
          </w:p>
        </w:tc>
        <w:tc>
          <w:tcPr>
            <w:tcW w:w="0" w:type="auto"/>
            <w:shd w:val="clear" w:color="auto" w:fill="auto"/>
            <w:vAlign w:val="center"/>
          </w:tcPr>
          <w:p w14:paraId="34C91C36">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14:paraId="227D7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nil"/>
              <w:left w:val="single" w:color="000000" w:sz="4" w:space="0"/>
              <w:bottom w:val="single" w:color="000000" w:sz="4" w:space="0"/>
              <w:right w:val="single" w:color="000000" w:sz="4" w:space="0"/>
            </w:tcBorders>
            <w:shd w:val="clear" w:color="auto" w:fill="auto"/>
            <w:vAlign w:val="center"/>
          </w:tcPr>
          <w:p w14:paraId="6A791CBC">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2453" w:type="dxa"/>
            <w:gridSpan w:val="2"/>
            <w:tcBorders>
              <w:top w:val="single" w:color="000000" w:sz="4" w:space="0"/>
              <w:left w:val="nil"/>
              <w:bottom w:val="single" w:color="000000" w:sz="4" w:space="0"/>
              <w:right w:val="single" w:color="000000" w:sz="4" w:space="0"/>
            </w:tcBorders>
            <w:shd w:val="clear" w:color="auto" w:fill="auto"/>
            <w:vAlign w:val="center"/>
          </w:tcPr>
          <w:p w14:paraId="23FF3272">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i w:val="0"/>
                <w:color w:val="000000"/>
                <w:kern w:val="2"/>
                <w:sz w:val="24"/>
                <w:szCs w:val="24"/>
              </w:rPr>
            </w:pPr>
            <w:r>
              <w:rPr>
                <w:rFonts w:hint="eastAsia" w:ascii="仿宋_GB2312" w:hAnsi="宋体" w:eastAsia="仿宋_GB2312" w:cs="仿宋_GB2312"/>
                <w:color w:val="000000"/>
                <w:kern w:val="0"/>
                <w:sz w:val="32"/>
                <w:szCs w:val="32"/>
                <w:shd w:val="clear" w:fill="FFFFFF"/>
                <w:lang w:val="en-US" w:eastAsia="zh-CN" w:bidi="ar"/>
              </w:rPr>
              <w:t>259.79</w:t>
            </w:r>
          </w:p>
        </w:tc>
        <w:tc>
          <w:tcPr>
            <w:tcW w:w="2411" w:type="dxa"/>
            <w:gridSpan w:val="2"/>
            <w:tcBorders>
              <w:top w:val="single" w:color="000000" w:sz="4" w:space="0"/>
              <w:left w:val="nil"/>
              <w:bottom w:val="single" w:color="000000" w:sz="4" w:space="0"/>
              <w:right w:val="single" w:color="000000" w:sz="4" w:space="0"/>
            </w:tcBorders>
            <w:shd w:val="clear" w:color="auto" w:fill="auto"/>
            <w:vAlign w:val="center"/>
          </w:tcPr>
          <w:p w14:paraId="0122DDE1">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i w:val="0"/>
                <w:color w:val="000000"/>
                <w:kern w:val="2"/>
                <w:sz w:val="24"/>
                <w:szCs w:val="24"/>
              </w:rPr>
            </w:pPr>
            <w:r>
              <w:rPr>
                <w:rFonts w:hint="eastAsia" w:ascii="仿宋_GB2312" w:hAnsi="宋体" w:eastAsia="仿宋_GB2312" w:cs="仿宋_GB2312"/>
                <w:color w:val="000000"/>
                <w:kern w:val="0"/>
                <w:sz w:val="32"/>
                <w:szCs w:val="32"/>
                <w:shd w:val="clear" w:fill="FFFFFF"/>
                <w:lang w:val="en-US" w:eastAsia="zh-CN" w:bidi="ar"/>
              </w:rPr>
              <w:t>259.79</w:t>
            </w:r>
          </w:p>
        </w:tc>
        <w:tc>
          <w:tcPr>
            <w:tcW w:w="4387" w:type="dxa"/>
            <w:gridSpan w:val="4"/>
            <w:tcBorders>
              <w:top w:val="single" w:color="000000" w:sz="4" w:space="0"/>
              <w:left w:val="nil"/>
              <w:bottom w:val="single" w:color="000000" w:sz="4" w:space="0"/>
              <w:right w:val="single" w:color="000000" w:sz="4" w:space="0"/>
            </w:tcBorders>
            <w:shd w:val="clear" w:color="auto" w:fill="auto"/>
            <w:vAlign w:val="center"/>
          </w:tcPr>
          <w:p w14:paraId="04EA1350">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2"/>
                <w:sz w:val="24"/>
                <w:szCs w:val="24"/>
              </w:rPr>
            </w:pPr>
            <w:r>
              <w:rPr>
                <w:rFonts w:hint="default" w:ascii="Times New Roman" w:hAnsi="Times New Roman" w:eastAsia="宋体" w:cs="Times New Roman"/>
                <w:i w:val="0"/>
                <w:color w:val="000000"/>
                <w:kern w:val="0"/>
                <w:sz w:val="24"/>
                <w:szCs w:val="24"/>
                <w:lang w:val="en-US" w:eastAsia="zh-CN" w:bidi="ar"/>
              </w:rPr>
              <w:t>0.00</w:t>
            </w:r>
          </w:p>
        </w:tc>
        <w:tc>
          <w:tcPr>
            <w:tcW w:w="0" w:type="auto"/>
            <w:shd w:val="clear" w:color="auto" w:fill="auto"/>
            <w:vAlign w:val="center"/>
          </w:tcPr>
          <w:p w14:paraId="455DDEEA">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14:paraId="2844D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BBCB8">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0"/>
                <w:sz w:val="24"/>
                <w:szCs w:val="24"/>
              </w:rPr>
            </w:pPr>
            <w:r>
              <w:rPr>
                <w:rFonts w:hint="eastAsia" w:ascii="宋体" w:hAnsi="宋体" w:eastAsia="宋体" w:cs="宋体"/>
                <w:i w:val="0"/>
                <w:color w:val="000000"/>
                <w:kern w:val="0"/>
                <w:sz w:val="24"/>
                <w:szCs w:val="24"/>
                <w:lang w:val="en-US" w:eastAsia="zh-CN" w:bidi="ar"/>
              </w:rPr>
              <w:t>年度总体</w:t>
            </w:r>
          </w:p>
          <w:p w14:paraId="0B8F8CC7">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color w:val="000000"/>
                <w:kern w:val="0"/>
                <w:sz w:val="24"/>
                <w:szCs w:val="24"/>
                <w:lang w:val="en-US" w:eastAsia="zh-CN" w:bidi="ar"/>
              </w:rPr>
              <w:t>目标</w:t>
            </w:r>
          </w:p>
        </w:tc>
        <w:tc>
          <w:tcPr>
            <w:tcW w:w="9251" w:type="dxa"/>
            <w:gridSpan w:val="9"/>
            <w:tcBorders>
              <w:top w:val="single" w:color="000000" w:sz="4" w:space="0"/>
              <w:left w:val="nil"/>
              <w:bottom w:val="single" w:color="000000" w:sz="4" w:space="0"/>
              <w:right w:val="single" w:color="000000" w:sz="4" w:space="0"/>
            </w:tcBorders>
            <w:shd w:val="clear" w:color="auto" w:fill="auto"/>
            <w:vAlign w:val="center"/>
          </w:tcPr>
          <w:p w14:paraId="4CD20CFB">
            <w:pPr>
              <w:keepNext w:val="0"/>
              <w:keepLines w:val="0"/>
              <w:widowControl/>
              <w:suppressLineNumbers w:val="0"/>
              <w:autoSpaceDE w:val="0"/>
              <w:autoSpaceDN/>
              <w:spacing w:before="0" w:beforeAutospacing="0" w:after="0" w:afterAutospacing="0" w:line="300" w:lineRule="exact"/>
              <w:ind w:left="0" w:right="0"/>
              <w:jc w:val="left"/>
              <w:textAlignment w:val="center"/>
              <w:rPr>
                <w:rFonts w:hint="default" w:ascii="Times New Roman" w:hAnsi="Times New Roman" w:eastAsia="宋体" w:cs="Times New Roman"/>
                <w:i w:val="0"/>
                <w:color w:val="000000"/>
                <w:kern w:val="2"/>
                <w:sz w:val="24"/>
                <w:szCs w:val="24"/>
              </w:rPr>
            </w:pPr>
            <w:r>
              <w:rPr>
                <w:rFonts w:hint="eastAsia" w:ascii="仿宋_GB2312" w:hAnsi="Times New Roman" w:eastAsia="仿宋_GB2312" w:cs="仿宋_GB2312"/>
                <w:kern w:val="2"/>
                <w:sz w:val="32"/>
                <w:szCs w:val="32"/>
                <w:lang w:val="en-US" w:eastAsia="zh-CN" w:bidi="ar"/>
              </w:rPr>
              <w:t>确保单位人员经费支出、单位运转及开展各项基本工作的公用经费支出</w:t>
            </w:r>
            <w:r>
              <w:rPr>
                <w:rFonts w:hint="default" w:ascii="Times New Roman" w:hAnsi="Times New Roman" w:eastAsia="仿宋_GB2312" w:cs="Times New Roman"/>
                <w:kern w:val="2"/>
                <w:sz w:val="32"/>
                <w:szCs w:val="32"/>
                <w:lang w:val="en-US" w:eastAsia="zh-CN" w:bidi="ar"/>
              </w:rPr>
              <w:t>;</w:t>
            </w:r>
            <w:r>
              <w:rPr>
                <w:rFonts w:hint="eastAsia" w:ascii="仿宋_GB2312" w:hAnsi="Times New Roman" w:eastAsia="仿宋_GB2312" w:cs="仿宋_GB2312"/>
                <w:kern w:val="2"/>
                <w:sz w:val="32"/>
                <w:szCs w:val="32"/>
                <w:lang w:val="en-US" w:eastAsia="zh-CN" w:bidi="ar"/>
              </w:rPr>
              <w:t>按时完成本年度全国第五次经济普查相关工作要求。</w:t>
            </w:r>
          </w:p>
        </w:tc>
      </w:tr>
      <w:tr w14:paraId="647EF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restart"/>
            <w:tcBorders>
              <w:top w:val="nil"/>
              <w:left w:val="single" w:color="000000" w:sz="4" w:space="0"/>
              <w:bottom w:val="single" w:color="000000" w:sz="4" w:space="0"/>
              <w:right w:val="single" w:color="000000" w:sz="4" w:space="0"/>
            </w:tcBorders>
            <w:shd w:val="clear" w:color="auto" w:fill="auto"/>
            <w:vAlign w:val="center"/>
          </w:tcPr>
          <w:p w14:paraId="6900DEA9">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0"/>
                <w:sz w:val="24"/>
                <w:szCs w:val="24"/>
              </w:rPr>
            </w:pPr>
            <w:r>
              <w:rPr>
                <w:rFonts w:hint="eastAsia" w:ascii="宋体" w:hAnsi="宋体" w:eastAsia="宋体" w:cs="宋体"/>
                <w:i w:val="0"/>
                <w:color w:val="000000"/>
                <w:kern w:val="0"/>
                <w:sz w:val="24"/>
                <w:szCs w:val="24"/>
                <w:lang w:val="en-US" w:eastAsia="zh-CN" w:bidi="ar"/>
              </w:rPr>
              <w:t>年度主要</w:t>
            </w:r>
          </w:p>
          <w:p w14:paraId="6D1E9347">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color w:val="000000"/>
                <w:kern w:val="0"/>
                <w:sz w:val="24"/>
                <w:szCs w:val="24"/>
                <w:lang w:val="en-US" w:eastAsia="zh-CN" w:bidi="ar"/>
              </w:rPr>
              <w:t>任务</w:t>
            </w:r>
          </w:p>
        </w:tc>
        <w:tc>
          <w:tcPr>
            <w:tcW w:w="2453" w:type="dxa"/>
            <w:gridSpan w:val="2"/>
            <w:tcBorders>
              <w:top w:val="single" w:color="000000" w:sz="4" w:space="0"/>
              <w:left w:val="nil"/>
              <w:bottom w:val="single" w:color="000000" w:sz="4" w:space="0"/>
              <w:right w:val="single" w:color="000000" w:sz="4" w:space="0"/>
            </w:tcBorders>
            <w:shd w:val="clear" w:color="auto" w:fill="auto"/>
            <w:vAlign w:val="center"/>
          </w:tcPr>
          <w:p w14:paraId="478F5227">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color w:val="000000"/>
                <w:kern w:val="0"/>
                <w:sz w:val="24"/>
                <w:szCs w:val="24"/>
                <w:lang w:val="en-US" w:eastAsia="zh-CN" w:bidi="ar"/>
              </w:rPr>
              <w:t>任务名称</w:t>
            </w:r>
          </w:p>
        </w:tc>
        <w:tc>
          <w:tcPr>
            <w:tcW w:w="6798" w:type="dxa"/>
            <w:gridSpan w:val="7"/>
            <w:tcBorders>
              <w:top w:val="single" w:color="000000" w:sz="4" w:space="0"/>
              <w:left w:val="nil"/>
              <w:bottom w:val="single" w:color="000000" w:sz="4" w:space="0"/>
              <w:right w:val="single" w:color="000000" w:sz="4" w:space="0"/>
            </w:tcBorders>
            <w:shd w:val="clear" w:color="auto" w:fill="auto"/>
            <w:vAlign w:val="center"/>
          </w:tcPr>
          <w:p w14:paraId="3AD073D3">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color w:val="000000"/>
                <w:kern w:val="0"/>
                <w:sz w:val="24"/>
                <w:szCs w:val="24"/>
                <w:lang w:val="en-US" w:eastAsia="zh-CN" w:bidi="ar"/>
              </w:rPr>
              <w:t>主要内容</w:t>
            </w:r>
          </w:p>
        </w:tc>
      </w:tr>
      <w:tr w14:paraId="18EBB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nil"/>
              <w:left w:val="single" w:color="000000" w:sz="4" w:space="0"/>
              <w:bottom w:val="single" w:color="000000" w:sz="4" w:space="0"/>
              <w:right w:val="single" w:color="000000" w:sz="4" w:space="0"/>
            </w:tcBorders>
            <w:shd w:val="clear" w:color="auto" w:fill="auto"/>
            <w:vAlign w:val="center"/>
          </w:tcPr>
          <w:p w14:paraId="7619AC84">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2453" w:type="dxa"/>
            <w:gridSpan w:val="2"/>
            <w:tcBorders>
              <w:top w:val="single" w:color="000000" w:sz="4" w:space="0"/>
              <w:left w:val="nil"/>
              <w:bottom w:val="single" w:color="000000" w:sz="4" w:space="0"/>
              <w:right w:val="single" w:color="000000" w:sz="4" w:space="0"/>
            </w:tcBorders>
            <w:shd w:val="clear" w:color="auto" w:fill="auto"/>
            <w:vAlign w:val="center"/>
          </w:tcPr>
          <w:p w14:paraId="36DC926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color w:val="000000"/>
                <w:kern w:val="0"/>
                <w:sz w:val="18"/>
                <w:szCs w:val="18"/>
                <w:lang w:val="en-US" w:eastAsia="zh-CN" w:bidi="ar"/>
              </w:rPr>
              <w:t>日常公用经费</w:t>
            </w:r>
          </w:p>
        </w:tc>
        <w:tc>
          <w:tcPr>
            <w:tcW w:w="6798" w:type="dxa"/>
            <w:gridSpan w:val="7"/>
            <w:tcBorders>
              <w:top w:val="single" w:color="000000" w:sz="4" w:space="0"/>
              <w:left w:val="nil"/>
              <w:bottom w:val="single" w:color="000000" w:sz="4" w:space="0"/>
              <w:right w:val="single" w:color="000000" w:sz="4" w:space="0"/>
            </w:tcBorders>
            <w:shd w:val="clear" w:color="auto" w:fill="auto"/>
            <w:vAlign w:val="center"/>
          </w:tcPr>
          <w:p w14:paraId="77653AA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color w:val="000000"/>
                <w:kern w:val="0"/>
                <w:sz w:val="18"/>
                <w:szCs w:val="18"/>
                <w:lang w:val="en-US" w:eastAsia="zh-CN" w:bidi="ar"/>
              </w:rPr>
              <w:t>日常公用经费</w:t>
            </w:r>
          </w:p>
        </w:tc>
      </w:tr>
      <w:tr w14:paraId="04604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nil"/>
              <w:left w:val="single" w:color="000000" w:sz="4" w:space="0"/>
              <w:bottom w:val="single" w:color="000000" w:sz="4" w:space="0"/>
              <w:right w:val="single" w:color="000000" w:sz="4" w:space="0"/>
            </w:tcBorders>
            <w:shd w:val="clear" w:color="auto" w:fill="auto"/>
            <w:vAlign w:val="center"/>
          </w:tcPr>
          <w:p w14:paraId="37A756F5">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2453" w:type="dxa"/>
            <w:gridSpan w:val="2"/>
            <w:tcBorders>
              <w:top w:val="single" w:color="000000" w:sz="4" w:space="0"/>
              <w:left w:val="nil"/>
              <w:bottom w:val="single" w:color="000000" w:sz="4" w:space="0"/>
              <w:right w:val="single" w:color="000000" w:sz="4" w:space="0"/>
            </w:tcBorders>
            <w:shd w:val="clear" w:color="auto" w:fill="auto"/>
            <w:vAlign w:val="center"/>
          </w:tcPr>
          <w:p w14:paraId="3AE806E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18"/>
                <w:szCs w:val="18"/>
              </w:rPr>
            </w:pPr>
            <w:r>
              <w:rPr>
                <w:rFonts w:hint="eastAsia" w:ascii="宋体" w:hAnsi="宋体" w:eastAsia="宋体" w:cs="宋体"/>
                <w:i w:val="0"/>
                <w:color w:val="000000"/>
                <w:kern w:val="0"/>
                <w:sz w:val="18"/>
                <w:szCs w:val="18"/>
                <w:lang w:val="en-US" w:eastAsia="zh-CN" w:bidi="ar"/>
              </w:rPr>
              <w:t>社会保障缴费</w:t>
            </w:r>
          </w:p>
        </w:tc>
        <w:tc>
          <w:tcPr>
            <w:tcW w:w="6798" w:type="dxa"/>
            <w:gridSpan w:val="7"/>
            <w:tcBorders>
              <w:top w:val="single" w:color="000000" w:sz="4" w:space="0"/>
              <w:left w:val="nil"/>
              <w:bottom w:val="single" w:color="000000" w:sz="4" w:space="0"/>
              <w:right w:val="single" w:color="000000" w:sz="4" w:space="0"/>
            </w:tcBorders>
            <w:shd w:val="clear" w:color="auto" w:fill="auto"/>
            <w:vAlign w:val="center"/>
          </w:tcPr>
          <w:p w14:paraId="36623E1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18"/>
                <w:szCs w:val="18"/>
              </w:rPr>
            </w:pPr>
            <w:r>
              <w:rPr>
                <w:rFonts w:hint="eastAsia" w:ascii="宋体" w:hAnsi="宋体" w:eastAsia="宋体" w:cs="宋体"/>
                <w:i w:val="0"/>
                <w:color w:val="000000"/>
                <w:kern w:val="0"/>
                <w:sz w:val="18"/>
                <w:szCs w:val="18"/>
                <w:lang w:val="en-US" w:eastAsia="zh-CN" w:bidi="ar"/>
              </w:rPr>
              <w:t>社会保障缴费</w:t>
            </w:r>
          </w:p>
        </w:tc>
      </w:tr>
      <w:tr w14:paraId="13170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nil"/>
              <w:left w:val="single" w:color="000000" w:sz="4" w:space="0"/>
              <w:bottom w:val="single" w:color="000000" w:sz="4" w:space="0"/>
              <w:right w:val="single" w:color="000000" w:sz="4" w:space="0"/>
            </w:tcBorders>
            <w:shd w:val="clear" w:color="auto" w:fill="auto"/>
            <w:vAlign w:val="center"/>
          </w:tcPr>
          <w:p w14:paraId="5E8BC3B0">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2453" w:type="dxa"/>
            <w:gridSpan w:val="2"/>
            <w:tcBorders>
              <w:top w:val="single" w:color="000000" w:sz="4" w:space="0"/>
              <w:left w:val="nil"/>
              <w:bottom w:val="single" w:color="000000" w:sz="4" w:space="0"/>
              <w:right w:val="single" w:color="000000" w:sz="4" w:space="0"/>
            </w:tcBorders>
            <w:shd w:val="clear" w:color="auto" w:fill="auto"/>
            <w:vAlign w:val="center"/>
          </w:tcPr>
          <w:p w14:paraId="4FFA288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18"/>
                <w:szCs w:val="18"/>
              </w:rPr>
            </w:pPr>
            <w:r>
              <w:rPr>
                <w:rFonts w:hint="eastAsia" w:ascii="宋体" w:hAnsi="宋体" w:eastAsia="宋体" w:cs="宋体"/>
                <w:i w:val="0"/>
                <w:color w:val="000000"/>
                <w:kern w:val="0"/>
                <w:sz w:val="18"/>
                <w:szCs w:val="18"/>
                <w:lang w:val="en-US" w:eastAsia="zh-CN" w:bidi="ar"/>
              </w:rPr>
              <w:t>网络费</w:t>
            </w:r>
          </w:p>
        </w:tc>
        <w:tc>
          <w:tcPr>
            <w:tcW w:w="6798" w:type="dxa"/>
            <w:gridSpan w:val="7"/>
            <w:tcBorders>
              <w:top w:val="single" w:color="000000" w:sz="4" w:space="0"/>
              <w:left w:val="nil"/>
              <w:bottom w:val="single" w:color="000000" w:sz="4" w:space="0"/>
              <w:right w:val="single" w:color="000000" w:sz="4" w:space="0"/>
            </w:tcBorders>
            <w:shd w:val="clear" w:color="auto" w:fill="auto"/>
            <w:vAlign w:val="center"/>
          </w:tcPr>
          <w:p w14:paraId="22451C1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18"/>
                <w:szCs w:val="18"/>
              </w:rPr>
            </w:pPr>
            <w:r>
              <w:rPr>
                <w:rFonts w:hint="eastAsia" w:ascii="宋体" w:hAnsi="宋体" w:eastAsia="宋体" w:cs="宋体"/>
                <w:i w:val="0"/>
                <w:color w:val="000000"/>
                <w:kern w:val="0"/>
                <w:sz w:val="18"/>
                <w:szCs w:val="18"/>
                <w:lang w:val="en-US" w:eastAsia="zh-CN" w:bidi="ar"/>
              </w:rPr>
              <w:t>网络费</w:t>
            </w:r>
          </w:p>
        </w:tc>
      </w:tr>
      <w:tr w14:paraId="037F7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nil"/>
              <w:left w:val="single" w:color="000000" w:sz="4" w:space="0"/>
              <w:bottom w:val="single" w:color="000000" w:sz="4" w:space="0"/>
              <w:right w:val="single" w:color="000000" w:sz="4" w:space="0"/>
            </w:tcBorders>
            <w:shd w:val="clear" w:color="auto" w:fill="auto"/>
            <w:vAlign w:val="center"/>
          </w:tcPr>
          <w:p w14:paraId="1644ABE2">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2453" w:type="dxa"/>
            <w:gridSpan w:val="2"/>
            <w:tcBorders>
              <w:top w:val="single" w:color="000000" w:sz="4" w:space="0"/>
              <w:left w:val="nil"/>
              <w:bottom w:val="single" w:color="000000" w:sz="4" w:space="0"/>
              <w:right w:val="single" w:color="000000" w:sz="4" w:space="0"/>
            </w:tcBorders>
            <w:shd w:val="clear" w:color="auto" w:fill="auto"/>
            <w:vAlign w:val="center"/>
          </w:tcPr>
          <w:p w14:paraId="3BCD7AE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18"/>
                <w:szCs w:val="18"/>
              </w:rPr>
            </w:pPr>
            <w:r>
              <w:rPr>
                <w:rFonts w:hint="eastAsia" w:ascii="宋体" w:hAnsi="宋体" w:eastAsia="宋体" w:cs="宋体"/>
                <w:i w:val="0"/>
                <w:color w:val="000000"/>
                <w:kern w:val="0"/>
                <w:sz w:val="18"/>
                <w:szCs w:val="18"/>
                <w:lang w:val="en-US" w:eastAsia="zh-CN" w:bidi="ar"/>
              </w:rPr>
              <w:t>住房公积金</w:t>
            </w:r>
          </w:p>
        </w:tc>
        <w:tc>
          <w:tcPr>
            <w:tcW w:w="6798" w:type="dxa"/>
            <w:gridSpan w:val="7"/>
            <w:tcBorders>
              <w:top w:val="single" w:color="000000" w:sz="4" w:space="0"/>
              <w:left w:val="nil"/>
              <w:bottom w:val="single" w:color="000000" w:sz="4" w:space="0"/>
              <w:right w:val="single" w:color="000000" w:sz="4" w:space="0"/>
            </w:tcBorders>
            <w:shd w:val="clear" w:color="auto" w:fill="auto"/>
            <w:vAlign w:val="center"/>
          </w:tcPr>
          <w:p w14:paraId="1BA28BD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18"/>
                <w:szCs w:val="18"/>
              </w:rPr>
            </w:pPr>
            <w:r>
              <w:rPr>
                <w:rFonts w:hint="eastAsia" w:ascii="宋体" w:hAnsi="宋体" w:eastAsia="宋体" w:cs="宋体"/>
                <w:i w:val="0"/>
                <w:color w:val="000000"/>
                <w:kern w:val="0"/>
                <w:sz w:val="18"/>
                <w:szCs w:val="18"/>
                <w:lang w:val="en-US" w:eastAsia="zh-CN" w:bidi="ar"/>
              </w:rPr>
              <w:t>住房公积金</w:t>
            </w:r>
          </w:p>
        </w:tc>
      </w:tr>
      <w:tr w14:paraId="1DE2D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restart"/>
            <w:tcBorders>
              <w:top w:val="nil"/>
              <w:left w:val="single" w:color="000000" w:sz="4" w:space="0"/>
              <w:bottom w:val="nil"/>
              <w:right w:val="single" w:color="000000" w:sz="4" w:space="0"/>
            </w:tcBorders>
            <w:shd w:val="clear" w:color="auto" w:fill="auto"/>
            <w:vAlign w:val="center"/>
          </w:tcPr>
          <w:p w14:paraId="063409D5">
            <w:pPr>
              <w:keepNext w:val="0"/>
              <w:keepLines w:val="0"/>
              <w:widowControl/>
              <w:suppressLineNumbers w:val="0"/>
              <w:autoSpaceDE w:val="0"/>
              <w:autoSpaceDN/>
              <w:spacing w:before="0" w:beforeAutospacing="0" w:after="0" w:afterAutospacing="0" w:line="320" w:lineRule="exact"/>
              <w:ind w:left="0" w:right="0"/>
              <w:jc w:val="center"/>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iCs w:val="0"/>
                <w:color w:val="000000"/>
                <w:kern w:val="0"/>
                <w:sz w:val="18"/>
                <w:szCs w:val="18"/>
                <w:lang w:val="en-US" w:eastAsia="zh-CN" w:bidi="ar"/>
              </w:rPr>
              <w:t>年度绩效指标</w:t>
            </w:r>
          </w:p>
        </w:tc>
        <w:tc>
          <w:tcPr>
            <w:tcW w:w="1347" w:type="dxa"/>
            <w:tcBorders>
              <w:top w:val="single" w:color="000000" w:sz="4" w:space="0"/>
              <w:left w:val="nil"/>
              <w:bottom w:val="single" w:color="000000" w:sz="4" w:space="0"/>
              <w:right w:val="single" w:color="000000" w:sz="4" w:space="0"/>
            </w:tcBorders>
            <w:shd w:val="clear" w:color="auto" w:fill="auto"/>
            <w:vAlign w:val="center"/>
          </w:tcPr>
          <w:p w14:paraId="1EF6C211">
            <w:pPr>
              <w:keepNext w:val="0"/>
              <w:keepLines w:val="0"/>
              <w:widowControl/>
              <w:suppressLineNumbers w:val="0"/>
              <w:autoSpaceDE w:val="0"/>
              <w:autoSpaceDN/>
              <w:spacing w:before="0" w:beforeAutospacing="0" w:after="0" w:afterAutospacing="0" w:line="320" w:lineRule="exact"/>
              <w:ind w:left="0" w:right="0"/>
              <w:jc w:val="center"/>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iCs w:val="0"/>
                <w:color w:val="000000"/>
                <w:kern w:val="0"/>
                <w:sz w:val="18"/>
                <w:szCs w:val="18"/>
                <w:lang w:val="en-US" w:eastAsia="zh-CN" w:bidi="ar"/>
              </w:rPr>
              <w:t>一级指标</w:t>
            </w:r>
          </w:p>
        </w:tc>
        <w:tc>
          <w:tcPr>
            <w:tcW w:w="1106" w:type="dxa"/>
            <w:tcBorders>
              <w:top w:val="single" w:color="000000" w:sz="4" w:space="0"/>
              <w:left w:val="nil"/>
              <w:bottom w:val="single" w:color="000000" w:sz="4" w:space="0"/>
              <w:right w:val="single" w:color="000000" w:sz="4" w:space="0"/>
            </w:tcBorders>
            <w:shd w:val="clear" w:color="auto" w:fill="auto"/>
            <w:vAlign w:val="center"/>
          </w:tcPr>
          <w:p w14:paraId="268CCA3A">
            <w:pPr>
              <w:keepNext w:val="0"/>
              <w:keepLines w:val="0"/>
              <w:widowControl/>
              <w:suppressLineNumbers w:val="0"/>
              <w:autoSpaceDE w:val="0"/>
              <w:autoSpaceDN/>
              <w:spacing w:before="0" w:beforeAutospacing="0" w:after="0" w:afterAutospacing="0" w:line="320" w:lineRule="exact"/>
              <w:ind w:left="0" w:right="0"/>
              <w:jc w:val="center"/>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iCs w:val="0"/>
                <w:color w:val="000000"/>
                <w:kern w:val="0"/>
                <w:sz w:val="18"/>
                <w:szCs w:val="18"/>
                <w:lang w:val="en-US" w:eastAsia="zh-CN" w:bidi="ar"/>
              </w:rPr>
              <w:t>二级指标</w:t>
            </w:r>
          </w:p>
        </w:tc>
        <w:tc>
          <w:tcPr>
            <w:tcW w:w="1267" w:type="dxa"/>
            <w:tcBorders>
              <w:top w:val="single" w:color="000000" w:sz="4" w:space="0"/>
              <w:left w:val="nil"/>
              <w:bottom w:val="single" w:color="000000" w:sz="4" w:space="0"/>
              <w:right w:val="single" w:color="000000" w:sz="4" w:space="0"/>
            </w:tcBorders>
            <w:shd w:val="clear" w:color="auto" w:fill="auto"/>
            <w:vAlign w:val="center"/>
          </w:tcPr>
          <w:p w14:paraId="1894F13B">
            <w:pPr>
              <w:keepNext w:val="0"/>
              <w:keepLines w:val="0"/>
              <w:widowControl/>
              <w:suppressLineNumbers w:val="0"/>
              <w:autoSpaceDE w:val="0"/>
              <w:autoSpaceDN/>
              <w:spacing w:before="0" w:beforeAutospacing="0" w:after="0" w:afterAutospacing="0" w:line="320" w:lineRule="exact"/>
              <w:ind w:left="0" w:right="0"/>
              <w:jc w:val="center"/>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iCs w:val="0"/>
                <w:color w:val="000000"/>
                <w:kern w:val="0"/>
                <w:sz w:val="18"/>
                <w:szCs w:val="18"/>
                <w:lang w:val="en-US" w:eastAsia="zh-CN" w:bidi="ar"/>
              </w:rPr>
              <w:t>三级指标</w:t>
            </w:r>
          </w:p>
        </w:tc>
        <w:tc>
          <w:tcPr>
            <w:tcW w:w="1145" w:type="dxa"/>
            <w:tcBorders>
              <w:top w:val="single" w:color="000000" w:sz="4" w:space="0"/>
              <w:left w:val="nil"/>
              <w:bottom w:val="single" w:color="000000" w:sz="4" w:space="0"/>
              <w:right w:val="single" w:color="000000" w:sz="4" w:space="0"/>
            </w:tcBorders>
            <w:shd w:val="clear" w:color="auto" w:fill="auto"/>
            <w:vAlign w:val="center"/>
          </w:tcPr>
          <w:p w14:paraId="17A51DCA">
            <w:pPr>
              <w:keepNext w:val="0"/>
              <w:keepLines w:val="0"/>
              <w:widowControl/>
              <w:suppressLineNumbers w:val="0"/>
              <w:autoSpaceDE w:val="0"/>
              <w:autoSpaceDN/>
              <w:spacing w:before="0" w:beforeAutospacing="0" w:after="0" w:afterAutospacing="0" w:line="320" w:lineRule="exact"/>
              <w:ind w:left="0" w:right="0"/>
              <w:jc w:val="center"/>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iCs w:val="0"/>
                <w:color w:val="000000"/>
                <w:kern w:val="0"/>
                <w:sz w:val="18"/>
                <w:szCs w:val="18"/>
                <w:lang w:val="en-US" w:eastAsia="zh-CN" w:bidi="ar"/>
              </w:rPr>
              <w:t>绩效指标性质</w:t>
            </w:r>
          </w:p>
        </w:tc>
        <w:tc>
          <w:tcPr>
            <w:tcW w:w="1289" w:type="dxa"/>
            <w:tcBorders>
              <w:top w:val="single" w:color="000000" w:sz="4" w:space="0"/>
              <w:left w:val="nil"/>
              <w:bottom w:val="single" w:color="000000" w:sz="4" w:space="0"/>
              <w:right w:val="single" w:color="000000" w:sz="4" w:space="0"/>
            </w:tcBorders>
            <w:shd w:val="clear" w:color="auto" w:fill="auto"/>
            <w:vAlign w:val="center"/>
          </w:tcPr>
          <w:p w14:paraId="687A8AA0">
            <w:pPr>
              <w:keepNext w:val="0"/>
              <w:keepLines w:val="0"/>
              <w:widowControl/>
              <w:suppressLineNumbers w:val="0"/>
              <w:autoSpaceDE w:val="0"/>
              <w:autoSpaceDN/>
              <w:spacing w:before="0" w:beforeAutospacing="0" w:after="0" w:afterAutospacing="0" w:line="320" w:lineRule="exact"/>
              <w:ind w:left="0" w:right="0"/>
              <w:jc w:val="center"/>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iCs w:val="0"/>
                <w:color w:val="000000"/>
                <w:kern w:val="0"/>
                <w:sz w:val="18"/>
                <w:szCs w:val="18"/>
                <w:lang w:val="en-US" w:eastAsia="zh-CN" w:bidi="ar"/>
              </w:rPr>
              <w:t>绩效指标值</w:t>
            </w:r>
          </w:p>
        </w:tc>
        <w:tc>
          <w:tcPr>
            <w:tcW w:w="1058" w:type="dxa"/>
            <w:tcBorders>
              <w:top w:val="single" w:color="000000" w:sz="4" w:space="0"/>
              <w:left w:val="nil"/>
              <w:bottom w:val="single" w:color="000000" w:sz="4" w:space="0"/>
              <w:right w:val="single" w:color="000000" w:sz="4" w:space="0"/>
            </w:tcBorders>
            <w:shd w:val="clear" w:color="auto" w:fill="auto"/>
            <w:vAlign w:val="center"/>
          </w:tcPr>
          <w:p w14:paraId="05FBE83C">
            <w:pPr>
              <w:keepNext w:val="0"/>
              <w:keepLines w:val="0"/>
              <w:widowControl/>
              <w:suppressLineNumbers w:val="0"/>
              <w:autoSpaceDE w:val="0"/>
              <w:autoSpaceDN/>
              <w:spacing w:before="0" w:beforeAutospacing="0" w:after="0" w:afterAutospacing="0" w:line="320" w:lineRule="exact"/>
              <w:ind w:left="0" w:right="0"/>
              <w:jc w:val="center"/>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iCs w:val="0"/>
                <w:color w:val="000000"/>
                <w:kern w:val="0"/>
                <w:sz w:val="18"/>
                <w:szCs w:val="18"/>
                <w:lang w:val="en-US" w:eastAsia="zh-CN" w:bidi="ar"/>
              </w:rPr>
              <w:t>绩效度量单位</w:t>
            </w:r>
          </w:p>
        </w:tc>
        <w:tc>
          <w:tcPr>
            <w:tcW w:w="926" w:type="dxa"/>
            <w:tcBorders>
              <w:top w:val="single" w:color="000000" w:sz="4" w:space="0"/>
              <w:left w:val="nil"/>
              <w:bottom w:val="single" w:color="000000" w:sz="4" w:space="0"/>
              <w:right w:val="nil"/>
            </w:tcBorders>
            <w:shd w:val="clear" w:color="auto" w:fill="auto"/>
            <w:vAlign w:val="center"/>
          </w:tcPr>
          <w:p w14:paraId="2DD30527">
            <w:pPr>
              <w:keepNext w:val="0"/>
              <w:keepLines w:val="0"/>
              <w:widowControl/>
              <w:suppressLineNumbers w:val="0"/>
              <w:autoSpaceDE w:val="0"/>
              <w:autoSpaceDN/>
              <w:spacing w:before="0" w:beforeAutospacing="0" w:after="0" w:afterAutospacing="0" w:line="320" w:lineRule="exact"/>
              <w:ind w:left="0" w:right="0"/>
              <w:jc w:val="center"/>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iCs w:val="0"/>
                <w:color w:val="000000"/>
                <w:kern w:val="0"/>
                <w:sz w:val="18"/>
                <w:szCs w:val="18"/>
                <w:lang w:val="en-US" w:eastAsia="zh-CN" w:bidi="ar"/>
              </w:rPr>
              <w:t>权重</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BF9FF">
            <w:pPr>
              <w:keepNext w:val="0"/>
              <w:keepLines w:val="0"/>
              <w:widowControl/>
              <w:suppressLineNumbers w:val="0"/>
              <w:autoSpaceDE w:val="0"/>
              <w:autoSpaceDN/>
              <w:spacing w:before="0" w:beforeAutospacing="0" w:after="0" w:afterAutospacing="0" w:line="320" w:lineRule="exact"/>
              <w:ind w:left="0" w:right="0"/>
              <w:jc w:val="center"/>
              <w:textAlignment w:val="center"/>
              <w:rPr>
                <w:rFonts w:hint="default" w:ascii="Times New Roman" w:hAnsi="Times New Roman" w:eastAsia="宋体" w:cs="Times New Roman"/>
                <w:i w:val="0"/>
                <w:color w:val="000000"/>
                <w:kern w:val="0"/>
                <w:sz w:val="24"/>
                <w:szCs w:val="24"/>
              </w:rPr>
            </w:pPr>
            <w:r>
              <w:rPr>
                <w:rFonts w:hint="eastAsia" w:ascii="宋体" w:hAnsi="宋体" w:eastAsia="宋体" w:cs="宋体"/>
                <w:i w:val="0"/>
                <w:color w:val="000000"/>
                <w:kern w:val="0"/>
                <w:sz w:val="24"/>
                <w:szCs w:val="24"/>
                <w:lang w:val="en-US" w:eastAsia="zh-CN" w:bidi="ar"/>
              </w:rPr>
              <w:t>实际完成</w:t>
            </w:r>
          </w:p>
          <w:p w14:paraId="1A337595">
            <w:pPr>
              <w:keepNext w:val="0"/>
              <w:keepLines w:val="0"/>
              <w:widowControl/>
              <w:suppressLineNumbers w:val="0"/>
              <w:autoSpaceDE w:val="0"/>
              <w:autoSpaceDN/>
              <w:spacing w:before="0" w:beforeAutospacing="0" w:after="0" w:afterAutospacing="0" w:line="320" w:lineRule="exact"/>
              <w:ind w:left="0" w:right="0"/>
              <w:jc w:val="center"/>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color w:val="000000"/>
                <w:kern w:val="0"/>
                <w:sz w:val="24"/>
                <w:szCs w:val="24"/>
                <w:lang w:val="en-US" w:eastAsia="zh-CN" w:bidi="ar"/>
              </w:rPr>
              <w:t>指标值</w:t>
            </w:r>
          </w:p>
        </w:tc>
        <w:tc>
          <w:tcPr>
            <w:tcW w:w="0" w:type="auto"/>
            <w:shd w:val="clear" w:color="auto" w:fill="auto"/>
            <w:vAlign w:val="center"/>
          </w:tcPr>
          <w:p w14:paraId="4D8DB0C7">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14:paraId="37672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90" w:hRule="atLeast"/>
          <w:jc w:val="center"/>
        </w:trPr>
        <w:tc>
          <w:tcPr>
            <w:tcW w:w="1309" w:type="dxa"/>
            <w:vMerge w:val="continue"/>
            <w:tcBorders>
              <w:top w:val="nil"/>
              <w:left w:val="single" w:color="000000" w:sz="4" w:space="0"/>
              <w:bottom w:val="nil"/>
              <w:right w:val="single" w:color="000000" w:sz="4" w:space="0"/>
            </w:tcBorders>
            <w:shd w:val="clear" w:color="auto" w:fill="auto"/>
            <w:vAlign w:val="center"/>
          </w:tcPr>
          <w:p w14:paraId="67C70C1E">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347" w:type="dxa"/>
            <w:vMerge w:val="restart"/>
            <w:tcBorders>
              <w:top w:val="nil"/>
              <w:left w:val="nil"/>
              <w:bottom w:val="single" w:color="000000" w:sz="4" w:space="0"/>
              <w:right w:val="single" w:color="000000" w:sz="4" w:space="0"/>
            </w:tcBorders>
            <w:shd w:val="clear" w:color="auto" w:fill="auto"/>
            <w:vAlign w:val="center"/>
          </w:tcPr>
          <w:p w14:paraId="31903C69">
            <w:pPr>
              <w:keepNext w:val="0"/>
              <w:keepLines w:val="0"/>
              <w:widowControl/>
              <w:suppressLineNumbers w:val="0"/>
              <w:autoSpaceDE w:val="0"/>
              <w:autoSpaceDN/>
              <w:spacing w:before="0" w:beforeAutospacing="0" w:after="0" w:afterAutospacing="0" w:line="320" w:lineRule="exact"/>
              <w:ind w:left="0" w:right="0"/>
              <w:jc w:val="left"/>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iCs w:val="0"/>
                <w:color w:val="000000"/>
                <w:kern w:val="0"/>
                <w:sz w:val="18"/>
                <w:szCs w:val="18"/>
                <w:lang w:val="en-US" w:eastAsia="zh-CN" w:bidi="ar"/>
              </w:rPr>
              <w:t>产出指标</w:t>
            </w:r>
          </w:p>
        </w:tc>
        <w:tc>
          <w:tcPr>
            <w:tcW w:w="1106" w:type="dxa"/>
            <w:vMerge w:val="restart"/>
            <w:tcBorders>
              <w:top w:val="nil"/>
              <w:left w:val="nil"/>
              <w:bottom w:val="single" w:color="000000" w:sz="4" w:space="0"/>
              <w:right w:val="single" w:color="000000" w:sz="4" w:space="0"/>
            </w:tcBorders>
            <w:shd w:val="clear" w:color="auto" w:fill="auto"/>
            <w:vAlign w:val="center"/>
          </w:tcPr>
          <w:p w14:paraId="78C5ED1C">
            <w:pPr>
              <w:keepNext w:val="0"/>
              <w:keepLines w:val="0"/>
              <w:widowControl/>
              <w:suppressLineNumbers w:val="0"/>
              <w:autoSpaceDE w:val="0"/>
              <w:autoSpaceDN/>
              <w:spacing w:before="0" w:beforeAutospacing="0" w:after="0" w:afterAutospacing="0" w:line="320" w:lineRule="exact"/>
              <w:ind w:left="0" w:right="0"/>
              <w:jc w:val="left"/>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iCs w:val="0"/>
                <w:color w:val="000000"/>
                <w:kern w:val="0"/>
                <w:sz w:val="18"/>
                <w:szCs w:val="18"/>
                <w:lang w:val="en-US" w:eastAsia="zh-CN" w:bidi="ar"/>
              </w:rPr>
              <w:t>数量指标</w:t>
            </w:r>
          </w:p>
        </w:tc>
        <w:tc>
          <w:tcPr>
            <w:tcW w:w="1267" w:type="dxa"/>
            <w:tcBorders>
              <w:top w:val="single" w:color="000000" w:sz="4" w:space="0"/>
              <w:left w:val="nil"/>
              <w:bottom w:val="single" w:color="000000" w:sz="4" w:space="0"/>
              <w:right w:val="single" w:color="000000" w:sz="4" w:space="0"/>
            </w:tcBorders>
            <w:shd w:val="clear" w:color="auto" w:fill="auto"/>
            <w:vAlign w:val="center"/>
          </w:tcPr>
          <w:p w14:paraId="50353D57">
            <w:pPr>
              <w:keepNext w:val="0"/>
              <w:keepLines w:val="0"/>
              <w:widowControl/>
              <w:suppressLineNumbers w:val="0"/>
              <w:autoSpaceDE w:val="0"/>
              <w:autoSpaceDN/>
              <w:spacing w:before="0" w:beforeAutospacing="0" w:after="0" w:afterAutospacing="0" w:line="320" w:lineRule="exact"/>
              <w:ind w:left="0" w:right="0"/>
              <w:jc w:val="left"/>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iCs w:val="0"/>
                <w:color w:val="000000"/>
                <w:kern w:val="0"/>
                <w:sz w:val="18"/>
                <w:szCs w:val="18"/>
                <w:lang w:val="en-US" w:eastAsia="zh-CN" w:bidi="ar"/>
              </w:rPr>
              <w:t>住户调调涉及乡镇</w:t>
            </w:r>
          </w:p>
        </w:tc>
        <w:tc>
          <w:tcPr>
            <w:tcW w:w="1145" w:type="dxa"/>
            <w:tcBorders>
              <w:top w:val="single" w:color="000000" w:sz="4" w:space="0"/>
              <w:left w:val="nil"/>
              <w:bottom w:val="single" w:color="000000" w:sz="4" w:space="0"/>
              <w:right w:val="single" w:color="000000" w:sz="4" w:space="0"/>
            </w:tcBorders>
            <w:shd w:val="clear" w:color="auto" w:fill="auto"/>
            <w:vAlign w:val="center"/>
          </w:tcPr>
          <w:p w14:paraId="39BAFCBD">
            <w:pPr>
              <w:keepNext w:val="0"/>
              <w:keepLines w:val="0"/>
              <w:widowControl/>
              <w:suppressLineNumbers w:val="0"/>
              <w:autoSpaceDE w:val="0"/>
              <w:autoSpaceDN/>
              <w:spacing w:before="0" w:beforeAutospacing="0" w:after="0" w:afterAutospacing="0" w:line="320" w:lineRule="exact"/>
              <w:ind w:left="0" w:right="0"/>
              <w:jc w:val="left"/>
              <w:textAlignment w:val="center"/>
              <w:rPr>
                <w:rFonts w:hint="eastAsia" w:ascii="Times New Roman" w:hAnsi="Times New Roman" w:eastAsia="宋体" w:cs="Times New Roman"/>
                <w:i w:val="0"/>
                <w:color w:val="000000"/>
                <w:kern w:val="2"/>
                <w:sz w:val="24"/>
                <w:szCs w:val="24"/>
              </w:rPr>
            </w:pPr>
            <w:r>
              <w:rPr>
                <w:rFonts w:hint="eastAsia" w:ascii="宋体" w:hAnsi="宋体" w:eastAsia="宋体" w:cs="宋体"/>
                <w:i w:val="0"/>
                <w:iCs w:val="0"/>
                <w:color w:val="000000"/>
                <w:kern w:val="0"/>
                <w:sz w:val="18"/>
                <w:szCs w:val="18"/>
                <w:lang w:val="en-US" w:eastAsia="zh-CN" w:bidi="ar"/>
              </w:rPr>
              <w:t>＝</w:t>
            </w:r>
          </w:p>
        </w:tc>
        <w:tc>
          <w:tcPr>
            <w:tcW w:w="1289" w:type="dxa"/>
            <w:tcBorders>
              <w:top w:val="single" w:color="000000" w:sz="4" w:space="0"/>
              <w:left w:val="nil"/>
              <w:bottom w:val="single" w:color="000000" w:sz="4" w:space="0"/>
              <w:right w:val="single" w:color="000000" w:sz="4" w:space="0"/>
            </w:tcBorders>
            <w:shd w:val="clear" w:color="auto" w:fill="auto"/>
            <w:vAlign w:val="center"/>
          </w:tcPr>
          <w:p w14:paraId="48BA0B62">
            <w:pPr>
              <w:keepNext w:val="0"/>
              <w:keepLines w:val="0"/>
              <w:widowControl/>
              <w:suppressLineNumbers w:val="0"/>
              <w:autoSpaceDE w:val="0"/>
              <w:autoSpaceDN/>
              <w:spacing w:before="0" w:beforeAutospacing="0" w:after="0" w:afterAutospacing="0" w:line="320" w:lineRule="exact"/>
              <w:ind w:left="0" w:right="0"/>
              <w:jc w:val="left"/>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iCs w:val="0"/>
                <w:color w:val="000000"/>
                <w:kern w:val="0"/>
                <w:sz w:val="18"/>
                <w:szCs w:val="18"/>
                <w:lang w:val="en-US" w:eastAsia="zh-CN" w:bidi="ar"/>
              </w:rPr>
              <w:t>8</w:t>
            </w:r>
          </w:p>
        </w:tc>
        <w:tc>
          <w:tcPr>
            <w:tcW w:w="1058" w:type="dxa"/>
            <w:tcBorders>
              <w:top w:val="single" w:color="000000" w:sz="4" w:space="0"/>
              <w:left w:val="nil"/>
              <w:bottom w:val="single" w:color="000000" w:sz="4" w:space="0"/>
              <w:right w:val="single" w:color="000000" w:sz="4" w:space="0"/>
            </w:tcBorders>
            <w:shd w:val="clear" w:color="auto" w:fill="auto"/>
            <w:vAlign w:val="center"/>
          </w:tcPr>
          <w:p w14:paraId="19D16D9A">
            <w:pPr>
              <w:keepNext w:val="0"/>
              <w:keepLines w:val="0"/>
              <w:widowControl/>
              <w:suppressLineNumbers w:val="0"/>
              <w:autoSpaceDE w:val="0"/>
              <w:autoSpaceDN/>
              <w:spacing w:before="0" w:beforeAutospacing="0" w:after="0" w:afterAutospacing="0" w:line="320" w:lineRule="exact"/>
              <w:ind w:left="0" w:right="0"/>
              <w:jc w:val="left"/>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iCs w:val="0"/>
                <w:color w:val="000000"/>
                <w:kern w:val="0"/>
                <w:sz w:val="18"/>
                <w:szCs w:val="18"/>
                <w:lang w:val="en-US" w:eastAsia="zh-CN" w:bidi="ar"/>
              </w:rPr>
              <w:t>个</w:t>
            </w:r>
          </w:p>
        </w:tc>
        <w:tc>
          <w:tcPr>
            <w:tcW w:w="926" w:type="dxa"/>
            <w:tcBorders>
              <w:top w:val="single" w:color="000000" w:sz="4" w:space="0"/>
              <w:left w:val="nil"/>
              <w:bottom w:val="single" w:color="000000" w:sz="4" w:space="0"/>
              <w:right w:val="single" w:color="000000" w:sz="4" w:space="0"/>
            </w:tcBorders>
            <w:shd w:val="clear" w:color="auto" w:fill="auto"/>
            <w:vAlign w:val="center"/>
          </w:tcPr>
          <w:p w14:paraId="7F481C03">
            <w:pPr>
              <w:keepNext w:val="0"/>
              <w:keepLines w:val="0"/>
              <w:widowControl/>
              <w:suppressLineNumbers w:val="0"/>
              <w:autoSpaceDE w:val="0"/>
              <w:autoSpaceDN/>
              <w:spacing w:before="0" w:beforeAutospacing="0" w:after="0" w:afterAutospacing="0" w:line="320" w:lineRule="exact"/>
              <w:ind w:left="0" w:right="0"/>
              <w:jc w:val="left"/>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iCs w:val="0"/>
                <w:color w:val="000000"/>
                <w:kern w:val="0"/>
                <w:sz w:val="18"/>
                <w:szCs w:val="18"/>
                <w:lang w:val="en-US" w:eastAsia="zh-CN" w:bidi="ar"/>
              </w:rPr>
              <w:t>10</w:t>
            </w:r>
          </w:p>
        </w:tc>
        <w:tc>
          <w:tcPr>
            <w:tcW w:w="1113" w:type="dxa"/>
            <w:tcBorders>
              <w:top w:val="nil"/>
              <w:left w:val="nil"/>
              <w:bottom w:val="single" w:color="000000" w:sz="4" w:space="0"/>
              <w:right w:val="single" w:color="000000" w:sz="4" w:space="0"/>
            </w:tcBorders>
            <w:shd w:val="clear" w:color="auto" w:fill="auto"/>
            <w:vAlign w:val="center"/>
          </w:tcPr>
          <w:p w14:paraId="6AF543D3">
            <w:pPr>
              <w:keepNext w:val="0"/>
              <w:keepLines w:val="0"/>
              <w:widowControl/>
              <w:suppressLineNumbers w:val="0"/>
              <w:autoSpaceDE w:val="0"/>
              <w:autoSpaceDN/>
              <w:spacing w:before="0" w:beforeAutospacing="0" w:after="0" w:afterAutospacing="0" w:line="320" w:lineRule="exact"/>
              <w:ind w:left="0" w:right="0"/>
              <w:jc w:val="left"/>
              <w:textAlignment w:val="center"/>
              <w:rPr>
                <w:rFonts w:hint="eastAsia" w:ascii="Times New Roman" w:hAnsi="Times New Roman" w:eastAsia="宋体" w:cs="Times New Roman"/>
                <w:i w:val="0"/>
                <w:color w:val="000000"/>
                <w:kern w:val="2"/>
                <w:sz w:val="24"/>
                <w:szCs w:val="24"/>
              </w:rPr>
            </w:pPr>
            <w:r>
              <w:rPr>
                <w:rFonts w:hint="default" w:ascii="Times New Roman" w:hAnsi="Times New Roman" w:eastAsia="宋体" w:cs="Times New Roman"/>
                <w:i w:val="0"/>
                <w:color w:val="000000"/>
                <w:kern w:val="2"/>
                <w:sz w:val="24"/>
                <w:szCs w:val="24"/>
                <w:lang w:val="en-US" w:eastAsia="zh-CN" w:bidi="ar"/>
              </w:rPr>
              <w:t>8</w:t>
            </w:r>
          </w:p>
        </w:tc>
        <w:tc>
          <w:tcPr>
            <w:tcW w:w="0" w:type="auto"/>
            <w:shd w:val="clear" w:color="auto" w:fill="auto"/>
            <w:vAlign w:val="center"/>
          </w:tcPr>
          <w:p w14:paraId="28575494">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14:paraId="1D866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1309" w:type="dxa"/>
            <w:vMerge w:val="continue"/>
            <w:tcBorders>
              <w:top w:val="nil"/>
              <w:left w:val="single" w:color="000000" w:sz="4" w:space="0"/>
              <w:bottom w:val="nil"/>
              <w:right w:val="single" w:color="000000" w:sz="4" w:space="0"/>
            </w:tcBorders>
            <w:shd w:val="clear" w:color="auto" w:fill="auto"/>
            <w:vAlign w:val="center"/>
          </w:tcPr>
          <w:p w14:paraId="6435DE52">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347" w:type="dxa"/>
            <w:vMerge w:val="continue"/>
            <w:tcBorders>
              <w:top w:val="nil"/>
              <w:left w:val="nil"/>
              <w:bottom w:val="single" w:color="000000" w:sz="4" w:space="0"/>
              <w:right w:val="single" w:color="000000" w:sz="4" w:space="0"/>
            </w:tcBorders>
            <w:shd w:val="clear" w:color="auto" w:fill="auto"/>
            <w:vAlign w:val="center"/>
          </w:tcPr>
          <w:p w14:paraId="682E9E91">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106" w:type="dxa"/>
            <w:vMerge w:val="continue"/>
            <w:tcBorders>
              <w:top w:val="nil"/>
              <w:left w:val="nil"/>
              <w:bottom w:val="single" w:color="000000" w:sz="4" w:space="0"/>
              <w:right w:val="single" w:color="000000" w:sz="4" w:space="0"/>
            </w:tcBorders>
            <w:shd w:val="clear" w:color="auto" w:fill="auto"/>
            <w:vAlign w:val="center"/>
          </w:tcPr>
          <w:p w14:paraId="342CAE07">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67" w:type="dxa"/>
            <w:tcBorders>
              <w:top w:val="single" w:color="000000" w:sz="4" w:space="0"/>
              <w:left w:val="nil"/>
              <w:bottom w:val="single" w:color="000000" w:sz="4" w:space="0"/>
              <w:right w:val="single" w:color="000000" w:sz="4" w:space="0"/>
            </w:tcBorders>
            <w:shd w:val="clear" w:color="auto" w:fill="auto"/>
            <w:vAlign w:val="center"/>
          </w:tcPr>
          <w:p w14:paraId="657981E9">
            <w:pPr>
              <w:keepNext w:val="0"/>
              <w:keepLines w:val="0"/>
              <w:widowControl/>
              <w:suppressLineNumbers w:val="0"/>
              <w:autoSpaceDE w:val="0"/>
              <w:autoSpaceDN/>
              <w:spacing w:before="0" w:beforeAutospacing="0" w:after="0" w:afterAutospacing="0" w:line="320" w:lineRule="exact"/>
              <w:ind w:left="0" w:right="0"/>
              <w:jc w:val="left"/>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iCs w:val="0"/>
                <w:color w:val="000000"/>
                <w:kern w:val="0"/>
                <w:sz w:val="18"/>
                <w:szCs w:val="18"/>
                <w:lang w:val="en-US" w:eastAsia="zh-CN" w:bidi="ar"/>
              </w:rPr>
              <w:t>项目数</w:t>
            </w:r>
          </w:p>
        </w:tc>
        <w:tc>
          <w:tcPr>
            <w:tcW w:w="1145" w:type="dxa"/>
            <w:tcBorders>
              <w:top w:val="single" w:color="000000" w:sz="4" w:space="0"/>
              <w:left w:val="nil"/>
              <w:bottom w:val="single" w:color="000000" w:sz="4" w:space="0"/>
              <w:right w:val="single" w:color="000000" w:sz="4" w:space="0"/>
            </w:tcBorders>
            <w:shd w:val="clear" w:color="auto" w:fill="auto"/>
            <w:vAlign w:val="center"/>
          </w:tcPr>
          <w:p w14:paraId="626A493B">
            <w:pPr>
              <w:keepNext w:val="0"/>
              <w:keepLines w:val="0"/>
              <w:widowControl/>
              <w:suppressLineNumbers w:val="0"/>
              <w:autoSpaceDE w:val="0"/>
              <w:autoSpaceDN/>
              <w:spacing w:before="0" w:beforeAutospacing="0" w:after="0" w:afterAutospacing="0" w:line="320" w:lineRule="exact"/>
              <w:ind w:left="0" w:right="0"/>
              <w:jc w:val="left"/>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iCs w:val="0"/>
                <w:color w:val="000000"/>
                <w:kern w:val="0"/>
                <w:sz w:val="18"/>
                <w:szCs w:val="18"/>
                <w:lang w:val="en-US" w:eastAsia="zh-CN" w:bidi="ar"/>
              </w:rPr>
              <w:t>＝</w:t>
            </w:r>
          </w:p>
        </w:tc>
        <w:tc>
          <w:tcPr>
            <w:tcW w:w="1289" w:type="dxa"/>
            <w:tcBorders>
              <w:top w:val="single" w:color="000000" w:sz="4" w:space="0"/>
              <w:left w:val="nil"/>
              <w:bottom w:val="single" w:color="000000" w:sz="4" w:space="0"/>
              <w:right w:val="single" w:color="000000" w:sz="4" w:space="0"/>
            </w:tcBorders>
            <w:shd w:val="clear" w:color="auto" w:fill="auto"/>
            <w:vAlign w:val="center"/>
          </w:tcPr>
          <w:p w14:paraId="1B59F58B">
            <w:pPr>
              <w:keepNext w:val="0"/>
              <w:keepLines w:val="0"/>
              <w:widowControl/>
              <w:suppressLineNumbers w:val="0"/>
              <w:autoSpaceDE w:val="0"/>
              <w:autoSpaceDN/>
              <w:spacing w:before="0" w:beforeAutospacing="0" w:after="0" w:afterAutospacing="0" w:line="320" w:lineRule="exact"/>
              <w:ind w:left="0" w:right="0"/>
              <w:jc w:val="left"/>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iCs w:val="0"/>
                <w:color w:val="000000"/>
                <w:kern w:val="0"/>
                <w:sz w:val="18"/>
                <w:szCs w:val="18"/>
                <w:lang w:val="en-US" w:eastAsia="zh-CN" w:bidi="ar"/>
              </w:rPr>
              <w:t>3</w:t>
            </w:r>
          </w:p>
        </w:tc>
        <w:tc>
          <w:tcPr>
            <w:tcW w:w="1058" w:type="dxa"/>
            <w:tcBorders>
              <w:top w:val="single" w:color="000000" w:sz="4" w:space="0"/>
              <w:left w:val="nil"/>
              <w:bottom w:val="single" w:color="000000" w:sz="4" w:space="0"/>
              <w:right w:val="single" w:color="000000" w:sz="4" w:space="0"/>
            </w:tcBorders>
            <w:shd w:val="clear" w:color="auto" w:fill="auto"/>
            <w:vAlign w:val="center"/>
          </w:tcPr>
          <w:p w14:paraId="0160E677">
            <w:pPr>
              <w:keepNext w:val="0"/>
              <w:keepLines w:val="0"/>
              <w:widowControl/>
              <w:suppressLineNumbers w:val="0"/>
              <w:autoSpaceDE w:val="0"/>
              <w:autoSpaceDN/>
              <w:spacing w:before="0" w:beforeAutospacing="0" w:after="0" w:afterAutospacing="0" w:line="320" w:lineRule="exact"/>
              <w:ind w:left="0" w:right="0"/>
              <w:jc w:val="left"/>
              <w:textAlignment w:val="center"/>
              <w:rPr>
                <w:rFonts w:hint="eastAsia" w:ascii="Times New Roman" w:hAnsi="Times New Roman" w:eastAsia="宋体" w:cs="Times New Roman"/>
                <w:i w:val="0"/>
                <w:color w:val="000000"/>
                <w:kern w:val="2"/>
                <w:sz w:val="24"/>
                <w:szCs w:val="24"/>
              </w:rPr>
            </w:pPr>
            <w:r>
              <w:rPr>
                <w:rFonts w:hint="eastAsia" w:ascii="宋体" w:hAnsi="宋体" w:eastAsia="宋体" w:cs="宋体"/>
                <w:i w:val="0"/>
                <w:iCs w:val="0"/>
                <w:color w:val="000000"/>
                <w:kern w:val="0"/>
                <w:sz w:val="18"/>
                <w:szCs w:val="18"/>
                <w:lang w:val="en-US" w:eastAsia="zh-CN" w:bidi="ar"/>
              </w:rPr>
              <w:t>个</w:t>
            </w:r>
          </w:p>
        </w:tc>
        <w:tc>
          <w:tcPr>
            <w:tcW w:w="926" w:type="dxa"/>
            <w:tcBorders>
              <w:top w:val="single" w:color="000000" w:sz="4" w:space="0"/>
              <w:left w:val="nil"/>
              <w:bottom w:val="single" w:color="000000" w:sz="4" w:space="0"/>
              <w:right w:val="single" w:color="000000" w:sz="4" w:space="0"/>
            </w:tcBorders>
            <w:shd w:val="clear" w:color="auto" w:fill="auto"/>
            <w:vAlign w:val="center"/>
          </w:tcPr>
          <w:p w14:paraId="713683F9">
            <w:pPr>
              <w:keepNext w:val="0"/>
              <w:keepLines w:val="0"/>
              <w:widowControl/>
              <w:suppressLineNumbers w:val="0"/>
              <w:autoSpaceDE w:val="0"/>
              <w:autoSpaceDN/>
              <w:spacing w:before="0" w:beforeAutospacing="0" w:after="0" w:afterAutospacing="0" w:line="320" w:lineRule="exact"/>
              <w:ind w:left="0" w:right="0"/>
              <w:jc w:val="left"/>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iCs w:val="0"/>
                <w:color w:val="000000"/>
                <w:kern w:val="0"/>
                <w:sz w:val="18"/>
                <w:szCs w:val="18"/>
                <w:lang w:val="en-US" w:eastAsia="zh-CN" w:bidi="ar"/>
              </w:rPr>
              <w:t>10</w:t>
            </w:r>
          </w:p>
        </w:tc>
        <w:tc>
          <w:tcPr>
            <w:tcW w:w="1113" w:type="dxa"/>
            <w:tcBorders>
              <w:top w:val="single" w:color="000000" w:sz="4" w:space="0"/>
              <w:left w:val="nil"/>
              <w:bottom w:val="single" w:color="000000" w:sz="4" w:space="0"/>
              <w:right w:val="single" w:color="000000" w:sz="4" w:space="0"/>
            </w:tcBorders>
            <w:shd w:val="clear" w:color="auto" w:fill="auto"/>
            <w:vAlign w:val="center"/>
          </w:tcPr>
          <w:p w14:paraId="78FB692C">
            <w:pPr>
              <w:keepNext w:val="0"/>
              <w:keepLines w:val="0"/>
              <w:widowControl/>
              <w:suppressLineNumbers w:val="0"/>
              <w:autoSpaceDE w:val="0"/>
              <w:autoSpaceDN/>
              <w:spacing w:before="0" w:beforeAutospacing="0" w:after="0" w:afterAutospacing="0" w:line="320" w:lineRule="exact"/>
              <w:ind w:left="0" w:right="0"/>
              <w:jc w:val="left"/>
              <w:rPr>
                <w:rFonts w:hint="default" w:ascii="Times New Roman" w:hAnsi="Times New Roman" w:eastAsia="宋体" w:cs="Times New Roman"/>
                <w:i w:val="0"/>
                <w:color w:val="000000"/>
                <w:kern w:val="2"/>
                <w:sz w:val="24"/>
                <w:szCs w:val="24"/>
              </w:rPr>
            </w:pPr>
            <w:r>
              <w:rPr>
                <w:rFonts w:hint="default" w:ascii="Times New Roman" w:hAnsi="Times New Roman" w:eastAsia="宋体" w:cs="Times New Roman"/>
                <w:i w:val="0"/>
                <w:color w:val="000000"/>
                <w:kern w:val="2"/>
                <w:sz w:val="24"/>
                <w:szCs w:val="24"/>
                <w:lang w:val="en-US" w:eastAsia="zh-CN" w:bidi="ar"/>
              </w:rPr>
              <w:t>3</w:t>
            </w:r>
          </w:p>
        </w:tc>
        <w:tc>
          <w:tcPr>
            <w:tcW w:w="0" w:type="auto"/>
            <w:shd w:val="clear" w:color="auto" w:fill="auto"/>
            <w:vAlign w:val="center"/>
          </w:tcPr>
          <w:p w14:paraId="22149A19">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14:paraId="68355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nil"/>
              <w:left w:val="single" w:color="000000" w:sz="4" w:space="0"/>
              <w:bottom w:val="nil"/>
              <w:right w:val="single" w:color="000000" w:sz="4" w:space="0"/>
            </w:tcBorders>
            <w:shd w:val="clear" w:color="auto" w:fill="auto"/>
            <w:vAlign w:val="center"/>
          </w:tcPr>
          <w:p w14:paraId="6C541B4D">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347" w:type="dxa"/>
            <w:vMerge w:val="continue"/>
            <w:tcBorders>
              <w:top w:val="nil"/>
              <w:left w:val="nil"/>
              <w:bottom w:val="single" w:color="000000" w:sz="4" w:space="0"/>
              <w:right w:val="single" w:color="000000" w:sz="4" w:space="0"/>
            </w:tcBorders>
            <w:shd w:val="clear" w:color="auto" w:fill="auto"/>
            <w:vAlign w:val="center"/>
          </w:tcPr>
          <w:p w14:paraId="05E1E16F">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106" w:type="dxa"/>
            <w:tcBorders>
              <w:top w:val="single" w:color="000000" w:sz="4" w:space="0"/>
              <w:left w:val="nil"/>
              <w:bottom w:val="single" w:color="000000" w:sz="4" w:space="0"/>
              <w:right w:val="single" w:color="000000" w:sz="4" w:space="0"/>
            </w:tcBorders>
            <w:shd w:val="clear" w:color="auto" w:fill="auto"/>
            <w:vAlign w:val="center"/>
          </w:tcPr>
          <w:p w14:paraId="3290A60D">
            <w:pPr>
              <w:keepNext w:val="0"/>
              <w:keepLines w:val="0"/>
              <w:widowControl/>
              <w:suppressLineNumbers w:val="0"/>
              <w:autoSpaceDE w:val="0"/>
              <w:autoSpaceDN/>
              <w:spacing w:before="0" w:beforeAutospacing="0" w:after="0" w:afterAutospacing="0" w:line="320" w:lineRule="exact"/>
              <w:ind w:left="0" w:right="0"/>
              <w:jc w:val="left"/>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iCs w:val="0"/>
                <w:color w:val="000000"/>
                <w:kern w:val="0"/>
                <w:sz w:val="18"/>
                <w:szCs w:val="18"/>
                <w:lang w:val="en-US" w:eastAsia="zh-CN" w:bidi="ar"/>
              </w:rPr>
              <w:t>质量指标</w:t>
            </w:r>
          </w:p>
        </w:tc>
        <w:tc>
          <w:tcPr>
            <w:tcW w:w="1267" w:type="dxa"/>
            <w:tcBorders>
              <w:top w:val="single" w:color="000000" w:sz="4" w:space="0"/>
              <w:left w:val="nil"/>
              <w:bottom w:val="single" w:color="000000" w:sz="4" w:space="0"/>
              <w:right w:val="single" w:color="000000" w:sz="4" w:space="0"/>
            </w:tcBorders>
            <w:shd w:val="clear" w:color="auto" w:fill="auto"/>
            <w:vAlign w:val="center"/>
          </w:tcPr>
          <w:p w14:paraId="3BC07819">
            <w:pPr>
              <w:keepNext w:val="0"/>
              <w:keepLines w:val="0"/>
              <w:widowControl/>
              <w:suppressLineNumbers w:val="0"/>
              <w:autoSpaceDE w:val="0"/>
              <w:autoSpaceDN/>
              <w:spacing w:before="0" w:beforeAutospacing="0" w:after="0" w:afterAutospacing="0" w:line="320" w:lineRule="exact"/>
              <w:ind w:left="0" w:right="0"/>
              <w:jc w:val="left"/>
              <w:textAlignment w:val="center"/>
              <w:rPr>
                <w:rFonts w:hint="eastAsia" w:ascii="Times New Roman" w:hAnsi="Times New Roman" w:eastAsia="宋体" w:cs="Times New Roman"/>
                <w:i w:val="0"/>
                <w:color w:val="000000"/>
                <w:kern w:val="2"/>
                <w:sz w:val="24"/>
                <w:szCs w:val="24"/>
              </w:rPr>
            </w:pPr>
            <w:r>
              <w:rPr>
                <w:rFonts w:hint="eastAsia" w:ascii="宋体" w:hAnsi="宋体" w:eastAsia="宋体" w:cs="宋体"/>
                <w:i w:val="0"/>
                <w:iCs w:val="0"/>
                <w:color w:val="000000"/>
                <w:kern w:val="0"/>
                <w:sz w:val="18"/>
                <w:szCs w:val="18"/>
                <w:lang w:val="en-US" w:eastAsia="zh-CN" w:bidi="ar"/>
              </w:rPr>
              <w:t>人均可支配收入持续增长</w:t>
            </w:r>
          </w:p>
        </w:tc>
        <w:tc>
          <w:tcPr>
            <w:tcW w:w="1145" w:type="dxa"/>
            <w:tcBorders>
              <w:top w:val="single" w:color="000000" w:sz="4" w:space="0"/>
              <w:left w:val="nil"/>
              <w:bottom w:val="single" w:color="000000" w:sz="4" w:space="0"/>
              <w:right w:val="single" w:color="000000" w:sz="4" w:space="0"/>
            </w:tcBorders>
            <w:shd w:val="clear" w:color="auto" w:fill="auto"/>
            <w:vAlign w:val="center"/>
          </w:tcPr>
          <w:p w14:paraId="6DE1374F">
            <w:pPr>
              <w:keepNext w:val="0"/>
              <w:keepLines w:val="0"/>
              <w:widowControl/>
              <w:suppressLineNumbers w:val="0"/>
              <w:autoSpaceDE w:val="0"/>
              <w:autoSpaceDN/>
              <w:spacing w:before="0" w:beforeAutospacing="0" w:after="0" w:afterAutospacing="0" w:line="320" w:lineRule="exact"/>
              <w:ind w:left="0" w:right="0"/>
              <w:jc w:val="left"/>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iCs w:val="0"/>
                <w:color w:val="000000"/>
                <w:kern w:val="0"/>
                <w:sz w:val="18"/>
                <w:szCs w:val="18"/>
                <w:lang w:val="en-US" w:eastAsia="zh-CN" w:bidi="ar"/>
              </w:rPr>
              <w:t>≥</w:t>
            </w:r>
          </w:p>
        </w:tc>
        <w:tc>
          <w:tcPr>
            <w:tcW w:w="1289" w:type="dxa"/>
            <w:tcBorders>
              <w:top w:val="single" w:color="000000" w:sz="4" w:space="0"/>
              <w:left w:val="nil"/>
              <w:bottom w:val="single" w:color="000000" w:sz="4" w:space="0"/>
              <w:right w:val="single" w:color="000000" w:sz="4" w:space="0"/>
            </w:tcBorders>
            <w:shd w:val="clear" w:color="auto" w:fill="auto"/>
            <w:vAlign w:val="center"/>
          </w:tcPr>
          <w:p w14:paraId="7FD25030">
            <w:pPr>
              <w:keepNext w:val="0"/>
              <w:keepLines w:val="0"/>
              <w:widowControl/>
              <w:suppressLineNumbers w:val="0"/>
              <w:autoSpaceDE w:val="0"/>
              <w:autoSpaceDN/>
              <w:spacing w:before="0" w:beforeAutospacing="0" w:after="0" w:afterAutospacing="0" w:line="320" w:lineRule="exact"/>
              <w:ind w:left="0" w:right="0"/>
              <w:jc w:val="left"/>
              <w:textAlignment w:val="center"/>
              <w:rPr>
                <w:rFonts w:hint="eastAsia" w:ascii="Times New Roman" w:hAnsi="Times New Roman" w:eastAsia="宋体" w:cs="Times New Roman"/>
                <w:i w:val="0"/>
                <w:color w:val="000000"/>
                <w:kern w:val="2"/>
                <w:sz w:val="24"/>
                <w:szCs w:val="24"/>
              </w:rPr>
            </w:pPr>
            <w:r>
              <w:rPr>
                <w:rFonts w:hint="eastAsia" w:ascii="宋体" w:hAnsi="宋体" w:eastAsia="宋体" w:cs="宋体"/>
                <w:i w:val="0"/>
                <w:iCs w:val="0"/>
                <w:color w:val="000000"/>
                <w:kern w:val="0"/>
                <w:sz w:val="18"/>
                <w:szCs w:val="18"/>
                <w:lang w:val="en-US" w:eastAsia="zh-CN" w:bidi="ar"/>
              </w:rPr>
              <w:t>0</w:t>
            </w:r>
          </w:p>
        </w:tc>
        <w:tc>
          <w:tcPr>
            <w:tcW w:w="1058" w:type="dxa"/>
            <w:tcBorders>
              <w:top w:val="single" w:color="000000" w:sz="4" w:space="0"/>
              <w:left w:val="nil"/>
              <w:bottom w:val="single" w:color="000000" w:sz="4" w:space="0"/>
              <w:right w:val="single" w:color="000000" w:sz="4" w:space="0"/>
            </w:tcBorders>
            <w:shd w:val="clear" w:color="auto" w:fill="auto"/>
            <w:vAlign w:val="center"/>
          </w:tcPr>
          <w:p w14:paraId="034FB42E">
            <w:pPr>
              <w:keepNext w:val="0"/>
              <w:keepLines w:val="0"/>
              <w:widowControl/>
              <w:suppressLineNumbers w:val="0"/>
              <w:autoSpaceDE w:val="0"/>
              <w:autoSpaceDN/>
              <w:spacing w:before="0" w:beforeAutospacing="0" w:after="0" w:afterAutospacing="0" w:line="320" w:lineRule="exact"/>
              <w:ind w:left="0" w:right="0"/>
              <w:jc w:val="left"/>
              <w:textAlignment w:val="center"/>
              <w:rPr>
                <w:rFonts w:hint="eastAsia" w:ascii="Times New Roman" w:hAnsi="Times New Roman" w:eastAsia="宋体" w:cs="Times New Roman"/>
                <w:i w:val="0"/>
                <w:color w:val="000000"/>
                <w:kern w:val="2"/>
                <w:sz w:val="24"/>
                <w:szCs w:val="24"/>
              </w:rPr>
            </w:pPr>
            <w:r>
              <w:rPr>
                <w:rFonts w:hint="eastAsia" w:ascii="宋体" w:hAnsi="宋体" w:eastAsia="宋体" w:cs="宋体"/>
                <w:i w:val="0"/>
                <w:iCs w:val="0"/>
                <w:color w:val="000000"/>
                <w:kern w:val="0"/>
                <w:sz w:val="18"/>
                <w:szCs w:val="18"/>
                <w:lang w:val="en-US" w:eastAsia="zh-CN" w:bidi="ar"/>
              </w:rPr>
              <w:t>%</w:t>
            </w:r>
          </w:p>
        </w:tc>
        <w:tc>
          <w:tcPr>
            <w:tcW w:w="926" w:type="dxa"/>
            <w:tcBorders>
              <w:top w:val="single" w:color="000000" w:sz="4" w:space="0"/>
              <w:left w:val="nil"/>
              <w:bottom w:val="single" w:color="000000" w:sz="4" w:space="0"/>
              <w:right w:val="single" w:color="000000" w:sz="4" w:space="0"/>
            </w:tcBorders>
            <w:shd w:val="clear" w:color="auto" w:fill="auto"/>
            <w:vAlign w:val="center"/>
          </w:tcPr>
          <w:p w14:paraId="05B2CCE2">
            <w:pPr>
              <w:keepNext w:val="0"/>
              <w:keepLines w:val="0"/>
              <w:widowControl/>
              <w:suppressLineNumbers w:val="0"/>
              <w:autoSpaceDE w:val="0"/>
              <w:autoSpaceDN/>
              <w:spacing w:before="0" w:beforeAutospacing="0" w:after="0" w:afterAutospacing="0" w:line="320" w:lineRule="exact"/>
              <w:ind w:left="0" w:right="0"/>
              <w:jc w:val="left"/>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iCs w:val="0"/>
                <w:color w:val="000000"/>
                <w:kern w:val="0"/>
                <w:sz w:val="18"/>
                <w:szCs w:val="18"/>
                <w:lang w:val="en-US" w:eastAsia="zh-CN" w:bidi="ar"/>
              </w:rPr>
              <w:t>20</w:t>
            </w:r>
          </w:p>
        </w:tc>
        <w:tc>
          <w:tcPr>
            <w:tcW w:w="1113" w:type="dxa"/>
            <w:tcBorders>
              <w:top w:val="single" w:color="000000" w:sz="4" w:space="0"/>
              <w:left w:val="nil"/>
              <w:bottom w:val="single" w:color="000000" w:sz="4" w:space="0"/>
              <w:right w:val="single" w:color="000000" w:sz="4" w:space="0"/>
            </w:tcBorders>
            <w:shd w:val="clear" w:color="auto" w:fill="auto"/>
            <w:vAlign w:val="center"/>
          </w:tcPr>
          <w:p w14:paraId="20078C65">
            <w:pPr>
              <w:keepNext w:val="0"/>
              <w:keepLines w:val="0"/>
              <w:widowControl/>
              <w:suppressLineNumbers w:val="0"/>
              <w:autoSpaceDE w:val="0"/>
              <w:autoSpaceDN/>
              <w:spacing w:before="0" w:beforeAutospacing="0" w:after="0" w:afterAutospacing="0" w:line="320" w:lineRule="exact"/>
              <w:ind w:left="0" w:right="0"/>
              <w:jc w:val="left"/>
              <w:rPr>
                <w:rFonts w:hint="default" w:ascii="Times New Roman" w:hAnsi="Times New Roman" w:eastAsia="宋体" w:cs="Times New Roman"/>
                <w:i w:val="0"/>
                <w:color w:val="000000"/>
                <w:kern w:val="2"/>
                <w:sz w:val="24"/>
                <w:szCs w:val="24"/>
              </w:rPr>
            </w:pPr>
            <w:r>
              <w:rPr>
                <w:rFonts w:hint="eastAsia" w:ascii="宋体" w:hAnsi="宋体" w:eastAsia="宋体" w:cs="宋体"/>
                <w:i w:val="0"/>
                <w:iCs w:val="0"/>
                <w:color w:val="000000"/>
                <w:kern w:val="0"/>
                <w:sz w:val="18"/>
                <w:szCs w:val="18"/>
                <w:lang w:val="en-US" w:eastAsia="zh-CN" w:bidi="ar"/>
              </w:rPr>
              <w:t>人均可支配收入增速</w:t>
            </w:r>
            <w:r>
              <w:rPr>
                <w:rFonts w:hint="default" w:ascii="Times New Roman" w:hAnsi="Times New Roman" w:eastAsia="宋体" w:cs="Times New Roman"/>
                <w:i w:val="0"/>
                <w:color w:val="000000"/>
                <w:kern w:val="2"/>
                <w:sz w:val="24"/>
                <w:szCs w:val="24"/>
                <w:lang w:val="en-US" w:eastAsia="zh-CN" w:bidi="ar"/>
              </w:rPr>
              <w:t>5.5%</w:t>
            </w:r>
          </w:p>
        </w:tc>
        <w:tc>
          <w:tcPr>
            <w:tcW w:w="0" w:type="auto"/>
            <w:shd w:val="clear" w:color="auto" w:fill="auto"/>
            <w:vAlign w:val="center"/>
          </w:tcPr>
          <w:p w14:paraId="2A4A51A3">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14:paraId="21BB9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60" w:hRule="atLeast"/>
          <w:jc w:val="center"/>
        </w:trPr>
        <w:tc>
          <w:tcPr>
            <w:tcW w:w="1309" w:type="dxa"/>
            <w:vMerge w:val="continue"/>
            <w:tcBorders>
              <w:top w:val="nil"/>
              <w:left w:val="single" w:color="000000" w:sz="4" w:space="0"/>
              <w:bottom w:val="nil"/>
              <w:right w:val="single" w:color="000000" w:sz="4" w:space="0"/>
            </w:tcBorders>
            <w:shd w:val="clear" w:color="auto" w:fill="auto"/>
            <w:vAlign w:val="center"/>
          </w:tcPr>
          <w:p w14:paraId="2BA7EF7E">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347" w:type="dxa"/>
            <w:vMerge w:val="continue"/>
            <w:tcBorders>
              <w:top w:val="nil"/>
              <w:left w:val="nil"/>
              <w:bottom w:val="single" w:color="000000" w:sz="4" w:space="0"/>
              <w:right w:val="single" w:color="000000" w:sz="4" w:space="0"/>
            </w:tcBorders>
            <w:shd w:val="clear" w:color="auto" w:fill="auto"/>
            <w:vAlign w:val="center"/>
          </w:tcPr>
          <w:p w14:paraId="7453141B">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106" w:type="dxa"/>
            <w:tcBorders>
              <w:top w:val="single" w:color="000000" w:sz="4" w:space="0"/>
              <w:left w:val="nil"/>
              <w:bottom w:val="single" w:color="auto" w:sz="4" w:space="0"/>
              <w:right w:val="single" w:color="000000" w:sz="4" w:space="0"/>
            </w:tcBorders>
            <w:shd w:val="clear" w:color="auto" w:fill="auto"/>
            <w:vAlign w:val="center"/>
          </w:tcPr>
          <w:p w14:paraId="3F75F104">
            <w:pPr>
              <w:keepNext w:val="0"/>
              <w:keepLines w:val="0"/>
              <w:widowControl/>
              <w:suppressLineNumbers w:val="0"/>
              <w:autoSpaceDE w:val="0"/>
              <w:autoSpaceDN/>
              <w:spacing w:before="0" w:beforeAutospacing="0" w:after="0" w:afterAutospacing="0" w:line="320" w:lineRule="exact"/>
              <w:ind w:left="0" w:right="0"/>
              <w:jc w:val="left"/>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iCs w:val="0"/>
                <w:color w:val="000000"/>
                <w:kern w:val="0"/>
                <w:sz w:val="18"/>
                <w:szCs w:val="18"/>
                <w:lang w:val="en-US" w:eastAsia="zh-CN" w:bidi="ar"/>
              </w:rPr>
              <w:t>时效指标</w:t>
            </w:r>
          </w:p>
        </w:tc>
        <w:tc>
          <w:tcPr>
            <w:tcW w:w="1267" w:type="dxa"/>
            <w:tcBorders>
              <w:top w:val="single" w:color="000000" w:sz="4" w:space="0"/>
              <w:left w:val="nil"/>
              <w:bottom w:val="single" w:color="auto" w:sz="4" w:space="0"/>
              <w:right w:val="single" w:color="000000" w:sz="4" w:space="0"/>
            </w:tcBorders>
            <w:shd w:val="clear" w:color="auto" w:fill="auto"/>
            <w:vAlign w:val="center"/>
          </w:tcPr>
          <w:p w14:paraId="4DF4902D">
            <w:pPr>
              <w:keepNext w:val="0"/>
              <w:keepLines w:val="0"/>
              <w:widowControl/>
              <w:suppressLineNumbers w:val="0"/>
              <w:autoSpaceDE w:val="0"/>
              <w:autoSpaceDN/>
              <w:spacing w:before="0" w:beforeAutospacing="0" w:after="0" w:afterAutospacing="0" w:line="320" w:lineRule="exact"/>
              <w:ind w:left="0" w:right="0"/>
              <w:jc w:val="left"/>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iCs w:val="0"/>
                <w:color w:val="000000"/>
                <w:kern w:val="0"/>
                <w:sz w:val="18"/>
                <w:szCs w:val="18"/>
                <w:lang w:val="en-US" w:eastAsia="zh-CN" w:bidi="ar"/>
              </w:rPr>
              <w:t>完成时间</w:t>
            </w:r>
          </w:p>
        </w:tc>
        <w:tc>
          <w:tcPr>
            <w:tcW w:w="1145" w:type="dxa"/>
            <w:tcBorders>
              <w:top w:val="single" w:color="000000" w:sz="4" w:space="0"/>
              <w:left w:val="nil"/>
              <w:bottom w:val="single" w:color="000000" w:sz="4" w:space="0"/>
              <w:right w:val="single" w:color="000000" w:sz="4" w:space="0"/>
            </w:tcBorders>
            <w:shd w:val="clear" w:color="auto" w:fill="auto"/>
            <w:vAlign w:val="center"/>
          </w:tcPr>
          <w:p w14:paraId="56895E8B">
            <w:pPr>
              <w:keepNext w:val="0"/>
              <w:keepLines w:val="0"/>
              <w:widowControl/>
              <w:suppressLineNumbers w:val="0"/>
              <w:autoSpaceDE w:val="0"/>
              <w:autoSpaceDN/>
              <w:spacing w:before="0" w:beforeAutospacing="0" w:after="0" w:afterAutospacing="0" w:line="320" w:lineRule="exact"/>
              <w:ind w:left="0" w:right="0"/>
              <w:jc w:val="left"/>
              <w:textAlignment w:val="center"/>
              <w:rPr>
                <w:rFonts w:hint="eastAsia" w:ascii="Times New Roman" w:hAnsi="Times New Roman" w:eastAsia="宋体" w:cs="Times New Roman"/>
                <w:i w:val="0"/>
                <w:color w:val="000000"/>
                <w:kern w:val="2"/>
                <w:sz w:val="24"/>
                <w:szCs w:val="24"/>
              </w:rPr>
            </w:pPr>
            <w:r>
              <w:rPr>
                <w:rFonts w:hint="eastAsia" w:ascii="宋体" w:hAnsi="宋体" w:eastAsia="宋体" w:cs="宋体"/>
                <w:i w:val="0"/>
                <w:iCs w:val="0"/>
                <w:color w:val="000000"/>
                <w:kern w:val="0"/>
                <w:sz w:val="18"/>
                <w:szCs w:val="18"/>
                <w:lang w:val="en-US" w:eastAsia="zh-CN" w:bidi="ar"/>
              </w:rPr>
              <w:t>＝</w:t>
            </w:r>
          </w:p>
        </w:tc>
        <w:tc>
          <w:tcPr>
            <w:tcW w:w="1289" w:type="dxa"/>
            <w:tcBorders>
              <w:top w:val="single" w:color="000000" w:sz="4" w:space="0"/>
              <w:left w:val="nil"/>
              <w:bottom w:val="single" w:color="000000" w:sz="4" w:space="0"/>
              <w:right w:val="single" w:color="000000" w:sz="4" w:space="0"/>
            </w:tcBorders>
            <w:shd w:val="clear" w:color="auto" w:fill="auto"/>
            <w:vAlign w:val="center"/>
          </w:tcPr>
          <w:p w14:paraId="373AA386">
            <w:pPr>
              <w:keepNext w:val="0"/>
              <w:keepLines w:val="0"/>
              <w:widowControl/>
              <w:suppressLineNumbers w:val="0"/>
              <w:autoSpaceDE w:val="0"/>
              <w:autoSpaceDN/>
              <w:spacing w:before="0" w:beforeAutospacing="0" w:after="0" w:afterAutospacing="0" w:line="320" w:lineRule="exact"/>
              <w:ind w:left="0" w:right="0"/>
              <w:jc w:val="left"/>
              <w:textAlignment w:val="center"/>
              <w:rPr>
                <w:rFonts w:hint="eastAsia" w:ascii="Times New Roman" w:hAnsi="Times New Roman" w:eastAsia="宋体" w:cs="Times New Roman"/>
                <w:i w:val="0"/>
                <w:color w:val="000000"/>
                <w:kern w:val="2"/>
                <w:sz w:val="24"/>
                <w:szCs w:val="24"/>
              </w:rPr>
            </w:pPr>
            <w:r>
              <w:rPr>
                <w:rFonts w:hint="eastAsia" w:ascii="宋体" w:hAnsi="宋体" w:eastAsia="宋体" w:cs="宋体"/>
                <w:i w:val="0"/>
                <w:iCs w:val="0"/>
                <w:color w:val="000000"/>
                <w:kern w:val="0"/>
                <w:sz w:val="18"/>
                <w:szCs w:val="18"/>
                <w:lang w:val="en-US" w:eastAsia="zh-CN" w:bidi="ar"/>
              </w:rPr>
              <w:t>1</w:t>
            </w:r>
          </w:p>
        </w:tc>
        <w:tc>
          <w:tcPr>
            <w:tcW w:w="1058" w:type="dxa"/>
            <w:tcBorders>
              <w:top w:val="single" w:color="000000" w:sz="4" w:space="0"/>
              <w:left w:val="nil"/>
              <w:bottom w:val="single" w:color="000000" w:sz="4" w:space="0"/>
              <w:right w:val="single" w:color="000000" w:sz="4" w:space="0"/>
            </w:tcBorders>
            <w:shd w:val="clear" w:color="auto" w:fill="auto"/>
            <w:vAlign w:val="center"/>
          </w:tcPr>
          <w:p w14:paraId="6AF1549C">
            <w:pPr>
              <w:keepNext w:val="0"/>
              <w:keepLines w:val="0"/>
              <w:widowControl/>
              <w:suppressLineNumbers w:val="0"/>
              <w:autoSpaceDE w:val="0"/>
              <w:autoSpaceDN/>
              <w:spacing w:before="0" w:beforeAutospacing="0" w:after="0" w:afterAutospacing="0" w:line="320" w:lineRule="exact"/>
              <w:ind w:left="0" w:right="0"/>
              <w:jc w:val="left"/>
              <w:textAlignment w:val="center"/>
              <w:rPr>
                <w:rFonts w:hint="eastAsia" w:ascii="Times New Roman" w:hAnsi="Times New Roman" w:eastAsia="宋体" w:cs="Times New Roman"/>
                <w:i w:val="0"/>
                <w:color w:val="000000"/>
                <w:kern w:val="2"/>
                <w:sz w:val="24"/>
                <w:szCs w:val="24"/>
              </w:rPr>
            </w:pPr>
            <w:r>
              <w:rPr>
                <w:rFonts w:hint="eastAsia" w:ascii="宋体" w:hAnsi="宋体" w:eastAsia="宋体" w:cs="宋体"/>
                <w:i w:val="0"/>
                <w:iCs w:val="0"/>
                <w:color w:val="000000"/>
                <w:kern w:val="0"/>
                <w:sz w:val="18"/>
                <w:szCs w:val="18"/>
                <w:lang w:val="en-US" w:eastAsia="zh-CN" w:bidi="ar"/>
              </w:rPr>
              <w:t>年</w:t>
            </w:r>
          </w:p>
        </w:tc>
        <w:tc>
          <w:tcPr>
            <w:tcW w:w="926" w:type="dxa"/>
            <w:tcBorders>
              <w:top w:val="single" w:color="000000" w:sz="4" w:space="0"/>
              <w:left w:val="nil"/>
              <w:bottom w:val="single" w:color="000000" w:sz="4" w:space="0"/>
              <w:right w:val="single" w:color="000000" w:sz="4" w:space="0"/>
            </w:tcBorders>
            <w:shd w:val="clear" w:color="auto" w:fill="auto"/>
            <w:vAlign w:val="center"/>
          </w:tcPr>
          <w:p w14:paraId="2F4A2808">
            <w:pPr>
              <w:keepNext w:val="0"/>
              <w:keepLines w:val="0"/>
              <w:widowControl/>
              <w:suppressLineNumbers w:val="0"/>
              <w:autoSpaceDE w:val="0"/>
              <w:autoSpaceDN/>
              <w:spacing w:before="0" w:beforeAutospacing="0" w:after="0" w:afterAutospacing="0" w:line="320" w:lineRule="exact"/>
              <w:ind w:left="0" w:right="0"/>
              <w:jc w:val="left"/>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iCs w:val="0"/>
                <w:color w:val="000000"/>
                <w:kern w:val="0"/>
                <w:sz w:val="18"/>
                <w:szCs w:val="18"/>
                <w:lang w:val="en-US" w:eastAsia="zh-CN" w:bidi="ar"/>
              </w:rPr>
              <w:t>10</w:t>
            </w:r>
          </w:p>
        </w:tc>
        <w:tc>
          <w:tcPr>
            <w:tcW w:w="1113" w:type="dxa"/>
            <w:tcBorders>
              <w:top w:val="single" w:color="000000" w:sz="4" w:space="0"/>
              <w:left w:val="nil"/>
              <w:bottom w:val="single" w:color="000000" w:sz="4" w:space="0"/>
              <w:right w:val="single" w:color="000000" w:sz="4" w:space="0"/>
            </w:tcBorders>
            <w:shd w:val="clear" w:color="auto" w:fill="auto"/>
            <w:vAlign w:val="center"/>
          </w:tcPr>
          <w:p w14:paraId="085EDC7E">
            <w:pPr>
              <w:keepNext w:val="0"/>
              <w:keepLines w:val="0"/>
              <w:widowControl/>
              <w:suppressLineNumbers w:val="0"/>
              <w:autoSpaceDE w:val="0"/>
              <w:autoSpaceDN/>
              <w:spacing w:before="0" w:beforeAutospacing="0" w:after="0" w:afterAutospacing="0" w:line="320" w:lineRule="exact"/>
              <w:ind w:left="0" w:right="0"/>
              <w:jc w:val="left"/>
              <w:rPr>
                <w:rFonts w:hint="default" w:ascii="Times New Roman" w:hAnsi="Times New Roman" w:eastAsia="宋体" w:cs="Times New Roman"/>
                <w:i w:val="0"/>
                <w:color w:val="000000"/>
                <w:kern w:val="2"/>
                <w:sz w:val="24"/>
                <w:szCs w:val="24"/>
              </w:rPr>
            </w:pPr>
            <w:r>
              <w:rPr>
                <w:rFonts w:hint="default" w:ascii="Times New Roman" w:hAnsi="Times New Roman" w:eastAsia="宋体" w:cs="Times New Roman"/>
                <w:i w:val="0"/>
                <w:color w:val="000000"/>
                <w:kern w:val="2"/>
                <w:sz w:val="24"/>
                <w:szCs w:val="24"/>
                <w:lang w:val="en-US" w:eastAsia="zh-CN" w:bidi="ar"/>
              </w:rPr>
              <w:t>1</w:t>
            </w:r>
          </w:p>
        </w:tc>
        <w:tc>
          <w:tcPr>
            <w:tcW w:w="0" w:type="auto"/>
            <w:shd w:val="clear" w:color="auto" w:fill="auto"/>
            <w:vAlign w:val="center"/>
          </w:tcPr>
          <w:p w14:paraId="6A3A29F3">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14:paraId="3A82C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nil"/>
              <w:left w:val="single" w:color="000000" w:sz="4" w:space="0"/>
              <w:bottom w:val="nil"/>
              <w:right w:val="single" w:color="000000" w:sz="4" w:space="0"/>
            </w:tcBorders>
            <w:shd w:val="clear" w:color="auto" w:fill="auto"/>
            <w:vAlign w:val="center"/>
          </w:tcPr>
          <w:p w14:paraId="49A3A843">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347" w:type="dxa"/>
            <w:tcBorders>
              <w:top w:val="single" w:color="auto" w:sz="4" w:space="0"/>
              <w:left w:val="nil"/>
              <w:bottom w:val="single" w:color="auto" w:sz="4" w:space="0"/>
              <w:right w:val="single" w:color="auto" w:sz="4" w:space="0"/>
            </w:tcBorders>
            <w:shd w:val="clear" w:color="auto" w:fill="auto"/>
            <w:vAlign w:val="center"/>
          </w:tcPr>
          <w:p w14:paraId="3FBECCFC">
            <w:pPr>
              <w:keepNext w:val="0"/>
              <w:keepLines w:val="0"/>
              <w:widowControl/>
              <w:suppressLineNumbers w:val="0"/>
              <w:autoSpaceDE w:val="0"/>
              <w:autoSpaceDN/>
              <w:spacing w:before="0" w:beforeAutospacing="0" w:after="0" w:afterAutospacing="0" w:line="320" w:lineRule="exact"/>
              <w:ind w:left="0" w:right="0"/>
              <w:jc w:val="left"/>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iCs w:val="0"/>
                <w:color w:val="000000"/>
                <w:kern w:val="0"/>
                <w:sz w:val="18"/>
                <w:szCs w:val="18"/>
                <w:lang w:val="en-US" w:eastAsia="zh-CN" w:bidi="ar"/>
              </w:rPr>
              <w:t>效益指标</w:t>
            </w:r>
          </w:p>
        </w:tc>
        <w:tc>
          <w:tcPr>
            <w:tcW w:w="1106" w:type="dxa"/>
            <w:tcBorders>
              <w:top w:val="single" w:color="auto" w:sz="4" w:space="0"/>
              <w:left w:val="nil"/>
              <w:bottom w:val="single" w:color="auto" w:sz="4" w:space="0"/>
              <w:right w:val="single" w:color="auto" w:sz="4" w:space="0"/>
            </w:tcBorders>
            <w:shd w:val="clear" w:color="auto" w:fill="auto"/>
            <w:vAlign w:val="center"/>
          </w:tcPr>
          <w:p w14:paraId="0F5BD9E6">
            <w:pPr>
              <w:keepNext w:val="0"/>
              <w:keepLines w:val="0"/>
              <w:widowControl/>
              <w:suppressLineNumbers w:val="0"/>
              <w:autoSpaceDE w:val="0"/>
              <w:autoSpaceDN/>
              <w:spacing w:before="0" w:beforeAutospacing="0" w:after="0" w:afterAutospacing="0" w:line="320" w:lineRule="exact"/>
              <w:ind w:left="0" w:right="0"/>
              <w:jc w:val="left"/>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iCs w:val="0"/>
                <w:color w:val="000000"/>
                <w:kern w:val="0"/>
                <w:sz w:val="18"/>
                <w:szCs w:val="18"/>
                <w:lang w:val="en-US" w:eastAsia="zh-CN" w:bidi="ar"/>
              </w:rPr>
              <w:t>经济效益指标</w:t>
            </w:r>
          </w:p>
        </w:tc>
        <w:tc>
          <w:tcPr>
            <w:tcW w:w="1267" w:type="dxa"/>
            <w:tcBorders>
              <w:top w:val="single" w:color="auto" w:sz="4" w:space="0"/>
              <w:left w:val="nil"/>
              <w:bottom w:val="single" w:color="auto" w:sz="4" w:space="0"/>
              <w:right w:val="single" w:color="auto" w:sz="4" w:space="0"/>
            </w:tcBorders>
            <w:shd w:val="clear" w:color="auto" w:fill="auto"/>
            <w:vAlign w:val="center"/>
          </w:tcPr>
          <w:p w14:paraId="159B84E9">
            <w:pPr>
              <w:keepNext w:val="0"/>
              <w:keepLines w:val="0"/>
              <w:widowControl/>
              <w:suppressLineNumbers w:val="0"/>
              <w:autoSpaceDE w:val="0"/>
              <w:autoSpaceDN/>
              <w:spacing w:before="0" w:beforeAutospacing="0" w:after="0" w:afterAutospacing="0" w:line="320" w:lineRule="exact"/>
              <w:ind w:left="0" w:right="0"/>
              <w:jc w:val="left"/>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iCs w:val="0"/>
                <w:color w:val="000000"/>
                <w:kern w:val="0"/>
                <w:sz w:val="18"/>
                <w:szCs w:val="18"/>
                <w:lang w:val="en-US" w:eastAsia="zh-CN" w:bidi="ar"/>
              </w:rPr>
              <w:t>GDP持续增长</w:t>
            </w:r>
          </w:p>
        </w:tc>
        <w:tc>
          <w:tcPr>
            <w:tcW w:w="1145" w:type="dxa"/>
            <w:tcBorders>
              <w:top w:val="single" w:color="000000" w:sz="4" w:space="0"/>
              <w:left w:val="nil"/>
              <w:bottom w:val="single" w:color="000000" w:sz="4" w:space="0"/>
              <w:right w:val="single" w:color="000000" w:sz="4" w:space="0"/>
            </w:tcBorders>
            <w:shd w:val="clear" w:color="auto" w:fill="auto"/>
            <w:vAlign w:val="center"/>
          </w:tcPr>
          <w:p w14:paraId="1837BFF6">
            <w:pPr>
              <w:keepNext w:val="0"/>
              <w:keepLines w:val="0"/>
              <w:widowControl/>
              <w:suppressLineNumbers w:val="0"/>
              <w:autoSpaceDE w:val="0"/>
              <w:autoSpaceDN/>
              <w:spacing w:before="0" w:beforeAutospacing="0" w:after="0" w:afterAutospacing="0" w:line="320" w:lineRule="exact"/>
              <w:ind w:left="0" w:right="0"/>
              <w:jc w:val="left"/>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iCs w:val="0"/>
                <w:color w:val="000000"/>
                <w:kern w:val="0"/>
                <w:sz w:val="18"/>
                <w:szCs w:val="18"/>
                <w:lang w:val="en-US" w:eastAsia="zh-CN" w:bidi="ar"/>
              </w:rPr>
              <w:t>≥</w:t>
            </w:r>
          </w:p>
        </w:tc>
        <w:tc>
          <w:tcPr>
            <w:tcW w:w="1289" w:type="dxa"/>
            <w:tcBorders>
              <w:top w:val="single" w:color="000000" w:sz="4" w:space="0"/>
              <w:left w:val="nil"/>
              <w:bottom w:val="single" w:color="000000" w:sz="4" w:space="0"/>
              <w:right w:val="single" w:color="000000" w:sz="4" w:space="0"/>
            </w:tcBorders>
            <w:shd w:val="clear" w:color="auto" w:fill="auto"/>
            <w:vAlign w:val="center"/>
          </w:tcPr>
          <w:p w14:paraId="50E1FAF4">
            <w:pPr>
              <w:keepNext w:val="0"/>
              <w:keepLines w:val="0"/>
              <w:widowControl/>
              <w:suppressLineNumbers w:val="0"/>
              <w:autoSpaceDE w:val="0"/>
              <w:autoSpaceDN/>
              <w:spacing w:before="0" w:beforeAutospacing="0" w:after="0" w:afterAutospacing="0" w:line="320" w:lineRule="exact"/>
              <w:ind w:left="0" w:right="0"/>
              <w:jc w:val="left"/>
              <w:textAlignment w:val="center"/>
              <w:rPr>
                <w:rFonts w:hint="eastAsia" w:ascii="Times New Roman" w:hAnsi="Times New Roman" w:eastAsia="宋体" w:cs="Times New Roman"/>
                <w:i w:val="0"/>
                <w:color w:val="000000"/>
                <w:kern w:val="2"/>
                <w:sz w:val="24"/>
                <w:szCs w:val="24"/>
              </w:rPr>
            </w:pPr>
            <w:r>
              <w:rPr>
                <w:rFonts w:hint="eastAsia" w:ascii="宋体" w:hAnsi="宋体" w:eastAsia="宋体" w:cs="宋体"/>
                <w:i w:val="0"/>
                <w:iCs w:val="0"/>
                <w:color w:val="000000"/>
                <w:kern w:val="0"/>
                <w:sz w:val="18"/>
                <w:szCs w:val="18"/>
                <w:lang w:val="en-US" w:eastAsia="zh-CN" w:bidi="ar"/>
              </w:rPr>
              <w:t>0</w:t>
            </w:r>
          </w:p>
        </w:tc>
        <w:tc>
          <w:tcPr>
            <w:tcW w:w="1058" w:type="dxa"/>
            <w:tcBorders>
              <w:top w:val="single" w:color="000000" w:sz="4" w:space="0"/>
              <w:left w:val="nil"/>
              <w:bottom w:val="single" w:color="000000" w:sz="4" w:space="0"/>
              <w:right w:val="single" w:color="000000" w:sz="4" w:space="0"/>
            </w:tcBorders>
            <w:shd w:val="clear" w:color="auto" w:fill="auto"/>
            <w:vAlign w:val="center"/>
          </w:tcPr>
          <w:p w14:paraId="18751BFC">
            <w:pPr>
              <w:keepNext w:val="0"/>
              <w:keepLines w:val="0"/>
              <w:widowControl/>
              <w:suppressLineNumbers w:val="0"/>
              <w:autoSpaceDE w:val="0"/>
              <w:autoSpaceDN/>
              <w:spacing w:before="0" w:beforeAutospacing="0" w:after="0" w:afterAutospacing="0" w:line="320" w:lineRule="exact"/>
              <w:ind w:left="0" w:right="0"/>
              <w:jc w:val="left"/>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iCs w:val="0"/>
                <w:color w:val="000000"/>
                <w:kern w:val="0"/>
                <w:sz w:val="18"/>
                <w:szCs w:val="18"/>
                <w:lang w:val="en-US" w:eastAsia="zh-CN" w:bidi="ar"/>
              </w:rPr>
              <w:t>%</w:t>
            </w:r>
          </w:p>
        </w:tc>
        <w:tc>
          <w:tcPr>
            <w:tcW w:w="926" w:type="dxa"/>
            <w:tcBorders>
              <w:top w:val="single" w:color="000000" w:sz="4" w:space="0"/>
              <w:left w:val="nil"/>
              <w:bottom w:val="single" w:color="000000" w:sz="4" w:space="0"/>
              <w:right w:val="single" w:color="000000" w:sz="4" w:space="0"/>
            </w:tcBorders>
            <w:shd w:val="clear" w:color="auto" w:fill="auto"/>
            <w:vAlign w:val="center"/>
          </w:tcPr>
          <w:p w14:paraId="68412E0A">
            <w:pPr>
              <w:keepNext w:val="0"/>
              <w:keepLines w:val="0"/>
              <w:widowControl/>
              <w:suppressLineNumbers w:val="0"/>
              <w:autoSpaceDE w:val="0"/>
              <w:autoSpaceDN/>
              <w:spacing w:before="0" w:beforeAutospacing="0" w:after="0" w:afterAutospacing="0" w:line="320" w:lineRule="exact"/>
              <w:ind w:left="0" w:right="0"/>
              <w:jc w:val="left"/>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iCs w:val="0"/>
                <w:color w:val="000000"/>
                <w:kern w:val="0"/>
                <w:sz w:val="18"/>
                <w:szCs w:val="18"/>
                <w:lang w:val="en-US" w:eastAsia="zh-CN" w:bidi="ar"/>
              </w:rPr>
              <w:t>20</w:t>
            </w:r>
          </w:p>
        </w:tc>
        <w:tc>
          <w:tcPr>
            <w:tcW w:w="1113" w:type="dxa"/>
            <w:tcBorders>
              <w:top w:val="single" w:color="000000" w:sz="4" w:space="0"/>
              <w:left w:val="nil"/>
              <w:bottom w:val="single" w:color="000000" w:sz="4" w:space="0"/>
              <w:right w:val="single" w:color="000000" w:sz="4" w:space="0"/>
            </w:tcBorders>
            <w:shd w:val="clear" w:color="auto" w:fill="auto"/>
            <w:vAlign w:val="center"/>
          </w:tcPr>
          <w:p w14:paraId="2E688A52">
            <w:pPr>
              <w:keepNext w:val="0"/>
              <w:keepLines w:val="0"/>
              <w:widowControl/>
              <w:suppressLineNumbers w:val="0"/>
              <w:autoSpaceDE w:val="0"/>
              <w:autoSpaceDN/>
              <w:spacing w:before="0" w:beforeAutospacing="0" w:after="0" w:afterAutospacing="0" w:line="320" w:lineRule="exact"/>
              <w:ind w:left="0" w:right="0"/>
              <w:jc w:val="left"/>
              <w:rPr>
                <w:rFonts w:hint="default" w:ascii="Times New Roman" w:hAnsi="Times New Roman" w:eastAsia="宋体" w:cs="Times New Roman"/>
                <w:i w:val="0"/>
                <w:color w:val="000000"/>
                <w:kern w:val="2"/>
                <w:sz w:val="24"/>
                <w:szCs w:val="24"/>
              </w:rPr>
            </w:pPr>
            <w:r>
              <w:rPr>
                <w:rFonts w:hint="eastAsia" w:ascii="宋体" w:hAnsi="宋体" w:eastAsia="宋体" w:cs="宋体"/>
                <w:i w:val="0"/>
                <w:iCs w:val="0"/>
                <w:color w:val="000000"/>
                <w:kern w:val="0"/>
                <w:sz w:val="18"/>
                <w:szCs w:val="18"/>
                <w:lang w:val="en-US" w:eastAsia="zh-CN" w:bidi="ar"/>
              </w:rPr>
              <w:t>GDP增速3.3%</w:t>
            </w:r>
          </w:p>
        </w:tc>
        <w:tc>
          <w:tcPr>
            <w:tcW w:w="0" w:type="auto"/>
            <w:shd w:val="clear" w:color="auto" w:fill="auto"/>
            <w:vAlign w:val="center"/>
          </w:tcPr>
          <w:p w14:paraId="4A0705FB">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14:paraId="54ECD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tcBorders>
              <w:top w:val="nil"/>
              <w:left w:val="single" w:color="000000" w:sz="4" w:space="0"/>
              <w:bottom w:val="nil"/>
              <w:right w:val="single" w:color="auto" w:sz="4" w:space="0"/>
            </w:tcBorders>
            <w:shd w:val="clear" w:color="auto" w:fill="auto"/>
            <w:vAlign w:val="center"/>
          </w:tcPr>
          <w:p w14:paraId="3C3E7C92">
            <w:pPr>
              <w:keepNext w:val="0"/>
              <w:keepLines w:val="0"/>
              <w:widowControl w:val="0"/>
              <w:suppressLineNumbers w:val="0"/>
              <w:autoSpaceDE w:val="0"/>
              <w:autoSpaceDN/>
              <w:spacing w:before="0" w:beforeAutospacing="0" w:after="0" w:afterAutospacing="0" w:line="320" w:lineRule="exact"/>
              <w:ind w:left="0" w:right="0"/>
              <w:jc w:val="center"/>
              <w:rPr>
                <w:rFonts w:hint="default" w:ascii="Times New Roman" w:hAnsi="Times New Roman" w:eastAsia="宋体" w:cs="Times New Roman"/>
                <w:i w:val="0"/>
                <w:color w:val="000000"/>
                <w:kern w:val="2"/>
                <w:sz w:val="24"/>
                <w:szCs w:val="24"/>
              </w:rPr>
            </w:pPr>
          </w:p>
        </w:tc>
        <w:tc>
          <w:tcPr>
            <w:tcW w:w="1347" w:type="dxa"/>
            <w:tcBorders>
              <w:top w:val="single" w:color="auto" w:sz="4" w:space="0"/>
              <w:left w:val="nil"/>
              <w:bottom w:val="single" w:color="auto" w:sz="4" w:space="0"/>
              <w:right w:val="single" w:color="auto" w:sz="4" w:space="0"/>
            </w:tcBorders>
            <w:shd w:val="clear" w:color="auto" w:fill="auto"/>
            <w:vAlign w:val="center"/>
          </w:tcPr>
          <w:p w14:paraId="1D830050">
            <w:pPr>
              <w:keepNext w:val="0"/>
              <w:keepLines w:val="0"/>
              <w:widowControl/>
              <w:suppressLineNumbers w:val="0"/>
              <w:autoSpaceDE w:val="0"/>
              <w:autoSpaceDN/>
              <w:spacing w:before="0" w:beforeAutospacing="0" w:after="0" w:afterAutospacing="0" w:line="320" w:lineRule="exact"/>
              <w:ind w:left="0" w:right="0"/>
              <w:jc w:val="left"/>
              <w:textAlignment w:val="center"/>
              <w:rPr>
                <w:rFonts w:hint="eastAsia" w:ascii="宋体" w:hAnsi="宋体" w:eastAsia="宋体" w:cs="宋体"/>
                <w:i w:val="0"/>
                <w:iCs w:val="0"/>
                <w:color w:val="000000"/>
                <w:kern w:val="0"/>
                <w:sz w:val="18"/>
                <w:szCs w:val="18"/>
              </w:rPr>
            </w:pPr>
            <w:r>
              <w:rPr>
                <w:rFonts w:hint="eastAsia" w:ascii="宋体" w:hAnsi="宋体" w:eastAsia="宋体" w:cs="宋体"/>
                <w:i w:val="0"/>
                <w:iCs w:val="0"/>
                <w:color w:val="000000"/>
                <w:kern w:val="0"/>
                <w:sz w:val="18"/>
                <w:szCs w:val="18"/>
                <w:lang w:val="en-US" w:eastAsia="zh-CN" w:bidi="ar"/>
              </w:rPr>
              <w:t>满意度指标</w:t>
            </w:r>
          </w:p>
        </w:tc>
        <w:tc>
          <w:tcPr>
            <w:tcW w:w="1106" w:type="dxa"/>
            <w:tcBorders>
              <w:top w:val="single" w:color="auto" w:sz="4" w:space="0"/>
              <w:left w:val="nil"/>
              <w:bottom w:val="single" w:color="auto" w:sz="4" w:space="0"/>
              <w:right w:val="single" w:color="auto" w:sz="4" w:space="0"/>
            </w:tcBorders>
            <w:shd w:val="clear" w:color="auto" w:fill="auto"/>
            <w:vAlign w:val="center"/>
          </w:tcPr>
          <w:p w14:paraId="0E6AFE1C">
            <w:pPr>
              <w:keepNext w:val="0"/>
              <w:keepLines w:val="0"/>
              <w:widowControl/>
              <w:suppressLineNumbers w:val="0"/>
              <w:autoSpaceDE w:val="0"/>
              <w:autoSpaceDN/>
              <w:spacing w:before="0" w:beforeAutospacing="0" w:after="0" w:afterAutospacing="0" w:line="320" w:lineRule="exact"/>
              <w:ind w:left="0" w:right="0"/>
              <w:jc w:val="left"/>
              <w:textAlignment w:val="center"/>
              <w:rPr>
                <w:rFonts w:hint="eastAsia" w:ascii="宋体" w:hAnsi="宋体" w:eastAsia="宋体" w:cs="宋体"/>
                <w:i w:val="0"/>
                <w:iCs w:val="0"/>
                <w:color w:val="000000"/>
                <w:kern w:val="0"/>
                <w:sz w:val="18"/>
                <w:szCs w:val="18"/>
              </w:rPr>
            </w:pPr>
            <w:r>
              <w:rPr>
                <w:rFonts w:hint="eastAsia" w:ascii="宋体" w:hAnsi="宋体" w:eastAsia="宋体" w:cs="宋体"/>
                <w:i w:val="0"/>
                <w:iCs w:val="0"/>
                <w:color w:val="000000"/>
                <w:kern w:val="0"/>
                <w:sz w:val="18"/>
                <w:szCs w:val="18"/>
                <w:lang w:val="en-US" w:eastAsia="zh-CN" w:bidi="ar"/>
              </w:rPr>
              <w:t>服务对象满意度指标</w:t>
            </w:r>
          </w:p>
        </w:tc>
        <w:tc>
          <w:tcPr>
            <w:tcW w:w="1267" w:type="dxa"/>
            <w:tcBorders>
              <w:top w:val="single" w:color="auto" w:sz="4" w:space="0"/>
              <w:left w:val="nil"/>
              <w:bottom w:val="single" w:color="auto" w:sz="4" w:space="0"/>
              <w:right w:val="single" w:color="auto" w:sz="4" w:space="0"/>
            </w:tcBorders>
            <w:shd w:val="clear" w:color="auto" w:fill="auto"/>
            <w:vAlign w:val="center"/>
          </w:tcPr>
          <w:p w14:paraId="04C1B361">
            <w:pPr>
              <w:keepNext w:val="0"/>
              <w:keepLines w:val="0"/>
              <w:widowControl/>
              <w:suppressLineNumbers w:val="0"/>
              <w:autoSpaceDE w:val="0"/>
              <w:autoSpaceDN/>
              <w:spacing w:before="0" w:beforeAutospacing="0" w:after="0" w:afterAutospacing="0" w:line="320" w:lineRule="exact"/>
              <w:ind w:left="0" w:right="0"/>
              <w:jc w:val="left"/>
              <w:textAlignment w:val="center"/>
              <w:rPr>
                <w:rFonts w:hint="eastAsia" w:ascii="宋体" w:hAnsi="宋体" w:eastAsia="宋体" w:cs="宋体"/>
                <w:i w:val="0"/>
                <w:iCs w:val="0"/>
                <w:color w:val="000000"/>
                <w:kern w:val="0"/>
                <w:sz w:val="18"/>
                <w:szCs w:val="18"/>
              </w:rPr>
            </w:pPr>
            <w:r>
              <w:rPr>
                <w:rFonts w:hint="eastAsia" w:ascii="宋体" w:hAnsi="宋体" w:eastAsia="宋体" w:cs="宋体"/>
                <w:i w:val="0"/>
                <w:iCs w:val="0"/>
                <w:color w:val="000000"/>
                <w:kern w:val="0"/>
                <w:sz w:val="18"/>
                <w:szCs w:val="18"/>
                <w:lang w:val="en-US" w:eastAsia="zh-CN" w:bidi="ar"/>
              </w:rPr>
              <w:t>调查对象满意度</w:t>
            </w:r>
          </w:p>
        </w:tc>
        <w:tc>
          <w:tcPr>
            <w:tcW w:w="1145" w:type="dxa"/>
            <w:tcBorders>
              <w:top w:val="single" w:color="000000" w:sz="4" w:space="0"/>
              <w:left w:val="nil"/>
              <w:bottom w:val="single" w:color="000000" w:sz="4" w:space="0"/>
              <w:right w:val="single" w:color="000000" w:sz="4" w:space="0"/>
            </w:tcBorders>
            <w:shd w:val="clear" w:color="auto" w:fill="auto"/>
            <w:vAlign w:val="center"/>
          </w:tcPr>
          <w:p w14:paraId="49E51000">
            <w:pPr>
              <w:keepNext w:val="0"/>
              <w:keepLines w:val="0"/>
              <w:widowControl/>
              <w:suppressLineNumbers w:val="0"/>
              <w:autoSpaceDE w:val="0"/>
              <w:autoSpaceDN/>
              <w:spacing w:before="0" w:beforeAutospacing="0" w:after="0" w:afterAutospacing="0" w:line="320" w:lineRule="exact"/>
              <w:ind w:left="0" w:right="0"/>
              <w:jc w:val="left"/>
              <w:textAlignment w:val="center"/>
              <w:rPr>
                <w:rFonts w:hint="eastAsia" w:ascii="宋体" w:hAnsi="宋体" w:eastAsia="宋体" w:cs="宋体"/>
                <w:i w:val="0"/>
                <w:color w:val="000000"/>
                <w:kern w:val="0"/>
                <w:sz w:val="18"/>
                <w:szCs w:val="18"/>
              </w:rPr>
            </w:pPr>
            <w:r>
              <w:rPr>
                <w:rFonts w:hint="eastAsia" w:ascii="宋体" w:hAnsi="宋体" w:eastAsia="宋体" w:cs="宋体"/>
                <w:i w:val="0"/>
                <w:iCs w:val="0"/>
                <w:color w:val="000000"/>
                <w:kern w:val="0"/>
                <w:sz w:val="18"/>
                <w:szCs w:val="18"/>
                <w:lang w:val="en-US" w:eastAsia="zh-CN" w:bidi="ar"/>
              </w:rPr>
              <w:t>≥</w:t>
            </w:r>
          </w:p>
        </w:tc>
        <w:tc>
          <w:tcPr>
            <w:tcW w:w="1289" w:type="dxa"/>
            <w:tcBorders>
              <w:top w:val="single" w:color="000000" w:sz="4" w:space="0"/>
              <w:left w:val="nil"/>
              <w:bottom w:val="single" w:color="000000" w:sz="4" w:space="0"/>
              <w:right w:val="single" w:color="000000" w:sz="4" w:space="0"/>
            </w:tcBorders>
            <w:shd w:val="clear" w:color="auto" w:fill="auto"/>
            <w:vAlign w:val="center"/>
          </w:tcPr>
          <w:p w14:paraId="357F847C">
            <w:pPr>
              <w:keepNext w:val="0"/>
              <w:keepLines w:val="0"/>
              <w:widowControl/>
              <w:suppressLineNumbers w:val="0"/>
              <w:autoSpaceDE w:val="0"/>
              <w:autoSpaceDN/>
              <w:spacing w:before="0" w:beforeAutospacing="0" w:after="0" w:afterAutospacing="0" w:line="320" w:lineRule="exact"/>
              <w:ind w:left="0" w:right="0"/>
              <w:jc w:val="left"/>
              <w:textAlignment w:val="center"/>
              <w:rPr>
                <w:rFonts w:hint="eastAsia" w:ascii="宋体" w:hAnsi="宋体" w:eastAsia="宋体" w:cs="宋体"/>
                <w:i w:val="0"/>
                <w:color w:val="000000"/>
                <w:kern w:val="0"/>
                <w:sz w:val="18"/>
                <w:szCs w:val="18"/>
              </w:rPr>
            </w:pPr>
            <w:r>
              <w:rPr>
                <w:rFonts w:hint="eastAsia" w:ascii="宋体" w:hAnsi="宋体" w:eastAsia="宋体" w:cs="宋体"/>
                <w:i w:val="0"/>
                <w:iCs w:val="0"/>
                <w:color w:val="000000"/>
                <w:kern w:val="0"/>
                <w:sz w:val="18"/>
                <w:szCs w:val="18"/>
                <w:lang w:val="en-US" w:eastAsia="zh-CN" w:bidi="ar"/>
              </w:rPr>
              <w:t>90</w:t>
            </w:r>
          </w:p>
        </w:tc>
        <w:tc>
          <w:tcPr>
            <w:tcW w:w="1058" w:type="dxa"/>
            <w:tcBorders>
              <w:top w:val="single" w:color="000000" w:sz="4" w:space="0"/>
              <w:left w:val="nil"/>
              <w:bottom w:val="single" w:color="000000" w:sz="4" w:space="0"/>
              <w:right w:val="single" w:color="000000" w:sz="4" w:space="0"/>
            </w:tcBorders>
            <w:shd w:val="clear" w:color="auto" w:fill="auto"/>
            <w:vAlign w:val="center"/>
          </w:tcPr>
          <w:p w14:paraId="51B7F46E">
            <w:pPr>
              <w:keepNext w:val="0"/>
              <w:keepLines w:val="0"/>
              <w:widowControl/>
              <w:suppressLineNumbers w:val="0"/>
              <w:autoSpaceDE w:val="0"/>
              <w:autoSpaceDN/>
              <w:spacing w:before="0" w:beforeAutospacing="0" w:after="0" w:afterAutospacing="0" w:line="320" w:lineRule="exact"/>
              <w:ind w:left="0" w:right="0"/>
              <w:jc w:val="left"/>
              <w:textAlignment w:val="center"/>
              <w:rPr>
                <w:rFonts w:hint="eastAsia" w:ascii="宋体" w:hAnsi="宋体" w:eastAsia="宋体" w:cs="宋体"/>
                <w:i w:val="0"/>
                <w:color w:val="000000"/>
                <w:kern w:val="0"/>
                <w:sz w:val="18"/>
                <w:szCs w:val="18"/>
              </w:rPr>
            </w:pPr>
            <w:r>
              <w:rPr>
                <w:rFonts w:hint="eastAsia" w:ascii="宋体" w:hAnsi="宋体" w:eastAsia="宋体" w:cs="宋体"/>
                <w:i w:val="0"/>
                <w:iCs w:val="0"/>
                <w:color w:val="000000"/>
                <w:kern w:val="0"/>
                <w:sz w:val="18"/>
                <w:szCs w:val="18"/>
                <w:lang w:val="en-US" w:eastAsia="zh-CN" w:bidi="ar"/>
              </w:rPr>
              <w:t>%</w:t>
            </w:r>
          </w:p>
        </w:tc>
        <w:tc>
          <w:tcPr>
            <w:tcW w:w="926" w:type="dxa"/>
            <w:tcBorders>
              <w:top w:val="single" w:color="000000" w:sz="4" w:space="0"/>
              <w:left w:val="nil"/>
              <w:bottom w:val="single" w:color="000000" w:sz="4" w:space="0"/>
              <w:right w:val="single" w:color="000000" w:sz="4" w:space="0"/>
            </w:tcBorders>
            <w:shd w:val="clear" w:color="auto" w:fill="auto"/>
            <w:vAlign w:val="center"/>
          </w:tcPr>
          <w:p w14:paraId="42952530">
            <w:pPr>
              <w:keepNext w:val="0"/>
              <w:keepLines w:val="0"/>
              <w:widowControl/>
              <w:suppressLineNumbers w:val="0"/>
              <w:autoSpaceDE w:val="0"/>
              <w:autoSpaceDN/>
              <w:spacing w:before="0" w:beforeAutospacing="0" w:after="0" w:afterAutospacing="0" w:line="320" w:lineRule="exact"/>
              <w:ind w:left="0" w:right="0"/>
              <w:jc w:val="left"/>
              <w:textAlignment w:val="center"/>
              <w:rPr>
                <w:rFonts w:hint="eastAsia" w:ascii="宋体" w:hAnsi="宋体" w:eastAsia="宋体" w:cs="宋体"/>
                <w:i w:val="0"/>
                <w:color w:val="000000"/>
                <w:kern w:val="0"/>
                <w:sz w:val="18"/>
                <w:szCs w:val="18"/>
              </w:rPr>
            </w:pPr>
            <w:r>
              <w:rPr>
                <w:rFonts w:hint="eastAsia" w:ascii="宋体" w:hAnsi="宋体" w:eastAsia="宋体" w:cs="宋体"/>
                <w:i w:val="0"/>
                <w:iCs w:val="0"/>
                <w:color w:val="000000"/>
                <w:kern w:val="0"/>
                <w:sz w:val="18"/>
                <w:szCs w:val="18"/>
                <w:lang w:val="en-US" w:eastAsia="zh-CN" w:bidi="ar"/>
              </w:rPr>
              <w:t>10</w:t>
            </w:r>
          </w:p>
        </w:tc>
        <w:tc>
          <w:tcPr>
            <w:tcW w:w="1113" w:type="dxa"/>
            <w:tcBorders>
              <w:top w:val="single" w:color="000000" w:sz="4" w:space="0"/>
              <w:left w:val="nil"/>
              <w:bottom w:val="single" w:color="000000" w:sz="4" w:space="0"/>
              <w:right w:val="single" w:color="000000" w:sz="4" w:space="0"/>
            </w:tcBorders>
            <w:shd w:val="clear" w:color="auto" w:fill="auto"/>
            <w:vAlign w:val="center"/>
          </w:tcPr>
          <w:p w14:paraId="09C482FF">
            <w:pPr>
              <w:keepNext w:val="0"/>
              <w:keepLines w:val="0"/>
              <w:widowControl/>
              <w:suppressLineNumbers w:val="0"/>
              <w:autoSpaceDE w:val="0"/>
              <w:autoSpaceDN/>
              <w:spacing w:before="0" w:beforeAutospacing="0" w:after="0" w:afterAutospacing="0" w:line="320" w:lineRule="exact"/>
              <w:ind w:left="0" w:right="0"/>
              <w:jc w:val="left"/>
              <w:rPr>
                <w:rFonts w:hint="default" w:ascii="Times New Roman" w:hAnsi="Times New Roman" w:eastAsia="宋体" w:cs="Times New Roman"/>
                <w:i w:val="0"/>
                <w:color w:val="000000"/>
                <w:kern w:val="2"/>
                <w:sz w:val="24"/>
                <w:szCs w:val="24"/>
              </w:rPr>
            </w:pPr>
            <w:r>
              <w:rPr>
                <w:rFonts w:hint="default" w:ascii="Times New Roman" w:hAnsi="Times New Roman" w:eastAsia="宋体" w:cs="Times New Roman"/>
                <w:i w:val="0"/>
                <w:color w:val="000000"/>
                <w:kern w:val="2"/>
                <w:sz w:val="24"/>
                <w:szCs w:val="24"/>
                <w:lang w:val="en-US" w:eastAsia="zh-CN" w:bidi="ar"/>
              </w:rPr>
              <w:t>95%</w:t>
            </w:r>
          </w:p>
        </w:tc>
        <w:tc>
          <w:tcPr>
            <w:tcW w:w="0" w:type="auto"/>
            <w:shd w:val="clear" w:color="auto" w:fill="auto"/>
            <w:vAlign w:val="center"/>
          </w:tcPr>
          <w:p w14:paraId="5B7F632B">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14:paraId="07E57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tcBorders>
              <w:top w:val="nil"/>
              <w:left w:val="single" w:color="000000" w:sz="4" w:space="0"/>
              <w:bottom w:val="nil"/>
              <w:right w:val="single" w:color="auto" w:sz="4" w:space="0"/>
            </w:tcBorders>
            <w:shd w:val="clear" w:color="auto" w:fill="auto"/>
            <w:vAlign w:val="center"/>
          </w:tcPr>
          <w:p w14:paraId="76717960">
            <w:pPr>
              <w:keepNext w:val="0"/>
              <w:keepLines w:val="0"/>
              <w:widowControl w:val="0"/>
              <w:suppressLineNumbers w:val="0"/>
              <w:autoSpaceDE w:val="0"/>
              <w:autoSpaceDN/>
              <w:spacing w:before="0" w:beforeAutospacing="0" w:after="0" w:afterAutospacing="0" w:line="320" w:lineRule="exact"/>
              <w:ind w:left="0" w:right="0"/>
              <w:jc w:val="center"/>
              <w:rPr>
                <w:rFonts w:hint="default" w:ascii="Times New Roman" w:hAnsi="Times New Roman" w:eastAsia="宋体" w:cs="Times New Roman"/>
                <w:i w:val="0"/>
                <w:color w:val="000000"/>
                <w:kern w:val="2"/>
                <w:sz w:val="24"/>
                <w:szCs w:val="24"/>
              </w:rPr>
            </w:pPr>
          </w:p>
        </w:tc>
        <w:tc>
          <w:tcPr>
            <w:tcW w:w="1347" w:type="dxa"/>
            <w:tcBorders>
              <w:top w:val="single" w:color="auto" w:sz="4" w:space="0"/>
              <w:left w:val="nil"/>
              <w:bottom w:val="single" w:color="auto" w:sz="4" w:space="0"/>
              <w:right w:val="single" w:color="auto" w:sz="4" w:space="0"/>
            </w:tcBorders>
            <w:shd w:val="clear" w:color="auto" w:fill="auto"/>
            <w:vAlign w:val="center"/>
          </w:tcPr>
          <w:p w14:paraId="40EB9216">
            <w:pPr>
              <w:keepNext w:val="0"/>
              <w:keepLines w:val="0"/>
              <w:widowControl/>
              <w:suppressLineNumbers w:val="0"/>
              <w:autoSpaceDE w:val="0"/>
              <w:autoSpaceDN/>
              <w:spacing w:before="0" w:beforeAutospacing="0" w:after="0" w:afterAutospacing="0" w:line="320" w:lineRule="exact"/>
              <w:ind w:left="0" w:right="0"/>
              <w:jc w:val="left"/>
              <w:textAlignment w:val="center"/>
              <w:rPr>
                <w:rFonts w:hint="eastAsia" w:ascii="宋体" w:hAnsi="宋体" w:eastAsia="宋体" w:cs="宋体"/>
                <w:i w:val="0"/>
                <w:iCs w:val="0"/>
                <w:color w:val="000000"/>
                <w:kern w:val="0"/>
                <w:sz w:val="18"/>
                <w:szCs w:val="18"/>
              </w:rPr>
            </w:pPr>
            <w:r>
              <w:rPr>
                <w:rFonts w:hint="eastAsia" w:ascii="宋体" w:hAnsi="宋体" w:eastAsia="宋体" w:cs="宋体"/>
                <w:i w:val="0"/>
                <w:iCs w:val="0"/>
                <w:color w:val="000000"/>
                <w:kern w:val="0"/>
                <w:sz w:val="18"/>
                <w:szCs w:val="18"/>
                <w:lang w:val="en-US" w:eastAsia="zh-CN" w:bidi="ar"/>
              </w:rPr>
              <w:t>成本指标</w:t>
            </w:r>
          </w:p>
        </w:tc>
        <w:tc>
          <w:tcPr>
            <w:tcW w:w="1106" w:type="dxa"/>
            <w:tcBorders>
              <w:top w:val="single" w:color="auto" w:sz="4" w:space="0"/>
              <w:left w:val="nil"/>
              <w:bottom w:val="single" w:color="auto" w:sz="4" w:space="0"/>
              <w:right w:val="single" w:color="auto" w:sz="4" w:space="0"/>
            </w:tcBorders>
            <w:shd w:val="clear" w:color="auto" w:fill="auto"/>
            <w:vAlign w:val="center"/>
          </w:tcPr>
          <w:p w14:paraId="673A2183">
            <w:pPr>
              <w:keepNext w:val="0"/>
              <w:keepLines w:val="0"/>
              <w:widowControl/>
              <w:suppressLineNumbers w:val="0"/>
              <w:autoSpaceDE w:val="0"/>
              <w:autoSpaceDN/>
              <w:spacing w:before="0" w:beforeAutospacing="0" w:after="0" w:afterAutospacing="0" w:line="320" w:lineRule="exact"/>
              <w:ind w:left="0" w:right="0"/>
              <w:jc w:val="left"/>
              <w:textAlignment w:val="center"/>
              <w:rPr>
                <w:rFonts w:hint="eastAsia" w:ascii="宋体" w:hAnsi="宋体" w:eastAsia="宋体" w:cs="宋体"/>
                <w:i w:val="0"/>
                <w:iCs w:val="0"/>
                <w:color w:val="000000"/>
                <w:kern w:val="0"/>
                <w:sz w:val="18"/>
                <w:szCs w:val="18"/>
              </w:rPr>
            </w:pPr>
            <w:r>
              <w:rPr>
                <w:rFonts w:hint="eastAsia" w:ascii="宋体" w:hAnsi="宋体" w:eastAsia="宋体" w:cs="宋体"/>
                <w:i w:val="0"/>
                <w:iCs w:val="0"/>
                <w:color w:val="000000"/>
                <w:kern w:val="0"/>
                <w:sz w:val="18"/>
                <w:szCs w:val="18"/>
                <w:lang w:val="en-US" w:eastAsia="zh-CN" w:bidi="ar"/>
              </w:rPr>
              <w:t>经济成本指标</w:t>
            </w:r>
          </w:p>
        </w:tc>
        <w:tc>
          <w:tcPr>
            <w:tcW w:w="1267" w:type="dxa"/>
            <w:tcBorders>
              <w:top w:val="single" w:color="auto" w:sz="4" w:space="0"/>
              <w:left w:val="nil"/>
              <w:bottom w:val="single" w:color="auto" w:sz="4" w:space="0"/>
              <w:right w:val="single" w:color="auto" w:sz="4" w:space="0"/>
            </w:tcBorders>
            <w:shd w:val="clear" w:color="auto" w:fill="auto"/>
            <w:vAlign w:val="center"/>
          </w:tcPr>
          <w:p w14:paraId="59B102D6">
            <w:pPr>
              <w:keepNext w:val="0"/>
              <w:keepLines w:val="0"/>
              <w:widowControl/>
              <w:suppressLineNumbers w:val="0"/>
              <w:autoSpaceDE w:val="0"/>
              <w:autoSpaceDN/>
              <w:spacing w:before="0" w:beforeAutospacing="0" w:after="0" w:afterAutospacing="0" w:line="320" w:lineRule="exact"/>
              <w:ind w:left="0" w:right="0"/>
              <w:jc w:val="left"/>
              <w:textAlignment w:val="center"/>
              <w:rPr>
                <w:rFonts w:hint="eastAsia" w:ascii="宋体" w:hAnsi="宋体" w:eastAsia="宋体" w:cs="宋体"/>
                <w:i w:val="0"/>
                <w:iCs w:val="0"/>
                <w:color w:val="000000"/>
                <w:kern w:val="0"/>
                <w:sz w:val="18"/>
                <w:szCs w:val="18"/>
              </w:rPr>
            </w:pPr>
            <w:r>
              <w:rPr>
                <w:rFonts w:hint="eastAsia" w:ascii="宋体" w:hAnsi="宋体" w:eastAsia="宋体" w:cs="宋体"/>
                <w:i w:val="0"/>
                <w:iCs w:val="0"/>
                <w:color w:val="000000"/>
                <w:kern w:val="0"/>
                <w:sz w:val="18"/>
                <w:szCs w:val="18"/>
                <w:lang w:val="en-US" w:eastAsia="zh-CN" w:bidi="ar"/>
              </w:rPr>
              <w:t>日常公用经费预算金额</w:t>
            </w:r>
          </w:p>
        </w:tc>
        <w:tc>
          <w:tcPr>
            <w:tcW w:w="1145" w:type="dxa"/>
            <w:tcBorders>
              <w:top w:val="single" w:color="000000" w:sz="4" w:space="0"/>
              <w:left w:val="nil"/>
              <w:bottom w:val="single" w:color="000000" w:sz="4" w:space="0"/>
              <w:right w:val="single" w:color="000000" w:sz="4" w:space="0"/>
            </w:tcBorders>
            <w:shd w:val="clear" w:color="auto" w:fill="auto"/>
            <w:vAlign w:val="center"/>
          </w:tcPr>
          <w:p w14:paraId="1EAF3CD6">
            <w:pPr>
              <w:keepNext w:val="0"/>
              <w:keepLines w:val="0"/>
              <w:widowControl/>
              <w:suppressLineNumbers w:val="0"/>
              <w:autoSpaceDE w:val="0"/>
              <w:autoSpaceDN/>
              <w:spacing w:before="0" w:beforeAutospacing="0" w:after="0" w:afterAutospacing="0" w:line="320" w:lineRule="exact"/>
              <w:ind w:left="0" w:right="0"/>
              <w:jc w:val="left"/>
              <w:textAlignment w:val="center"/>
              <w:rPr>
                <w:rFonts w:hint="eastAsia" w:ascii="宋体" w:hAnsi="宋体" w:eastAsia="宋体" w:cs="宋体"/>
                <w:i w:val="0"/>
                <w:color w:val="000000"/>
                <w:kern w:val="0"/>
                <w:sz w:val="18"/>
                <w:szCs w:val="18"/>
              </w:rPr>
            </w:pPr>
            <w:r>
              <w:rPr>
                <w:rFonts w:hint="eastAsia" w:ascii="宋体" w:hAnsi="宋体" w:eastAsia="宋体" w:cs="宋体"/>
                <w:i w:val="0"/>
                <w:iCs w:val="0"/>
                <w:color w:val="000000"/>
                <w:kern w:val="0"/>
                <w:sz w:val="18"/>
                <w:szCs w:val="18"/>
                <w:lang w:val="en-US" w:eastAsia="zh-CN" w:bidi="ar"/>
              </w:rPr>
              <w:t>≤</w:t>
            </w:r>
          </w:p>
        </w:tc>
        <w:tc>
          <w:tcPr>
            <w:tcW w:w="1289" w:type="dxa"/>
            <w:tcBorders>
              <w:top w:val="single" w:color="000000" w:sz="4" w:space="0"/>
              <w:left w:val="nil"/>
              <w:bottom w:val="single" w:color="000000" w:sz="4" w:space="0"/>
              <w:right w:val="single" w:color="000000" w:sz="4" w:space="0"/>
            </w:tcBorders>
            <w:shd w:val="clear" w:color="auto" w:fill="auto"/>
            <w:vAlign w:val="center"/>
          </w:tcPr>
          <w:p w14:paraId="01091B1C">
            <w:pPr>
              <w:keepNext w:val="0"/>
              <w:keepLines w:val="0"/>
              <w:widowControl/>
              <w:suppressLineNumbers w:val="0"/>
              <w:autoSpaceDE w:val="0"/>
              <w:autoSpaceDN/>
              <w:spacing w:before="0" w:beforeAutospacing="0" w:after="0" w:afterAutospacing="0" w:line="320" w:lineRule="exact"/>
              <w:ind w:left="0" w:right="0"/>
              <w:jc w:val="left"/>
              <w:textAlignment w:val="center"/>
              <w:rPr>
                <w:rFonts w:hint="eastAsia" w:ascii="宋体" w:hAnsi="宋体" w:eastAsia="宋体" w:cs="宋体"/>
                <w:i w:val="0"/>
                <w:color w:val="000000"/>
                <w:kern w:val="0"/>
                <w:sz w:val="18"/>
                <w:szCs w:val="18"/>
              </w:rPr>
            </w:pPr>
            <w:r>
              <w:rPr>
                <w:rFonts w:hint="eastAsia" w:ascii="宋体" w:hAnsi="宋体" w:eastAsia="宋体" w:cs="宋体"/>
                <w:i w:val="0"/>
                <w:iCs w:val="0"/>
                <w:color w:val="000000"/>
                <w:kern w:val="0"/>
                <w:sz w:val="18"/>
                <w:szCs w:val="18"/>
                <w:lang w:val="en-US" w:eastAsia="zh-CN" w:bidi="ar"/>
              </w:rPr>
              <w:t>16</w:t>
            </w:r>
          </w:p>
        </w:tc>
        <w:tc>
          <w:tcPr>
            <w:tcW w:w="1058" w:type="dxa"/>
            <w:tcBorders>
              <w:top w:val="single" w:color="000000" w:sz="4" w:space="0"/>
              <w:left w:val="nil"/>
              <w:bottom w:val="single" w:color="000000" w:sz="4" w:space="0"/>
              <w:right w:val="single" w:color="000000" w:sz="4" w:space="0"/>
            </w:tcBorders>
            <w:shd w:val="clear" w:color="auto" w:fill="auto"/>
            <w:vAlign w:val="center"/>
          </w:tcPr>
          <w:p w14:paraId="51A139B9">
            <w:pPr>
              <w:keepNext w:val="0"/>
              <w:keepLines w:val="0"/>
              <w:widowControl/>
              <w:suppressLineNumbers w:val="0"/>
              <w:autoSpaceDE w:val="0"/>
              <w:autoSpaceDN/>
              <w:spacing w:before="0" w:beforeAutospacing="0" w:after="0" w:afterAutospacing="0" w:line="320" w:lineRule="exact"/>
              <w:ind w:left="0" w:right="0"/>
              <w:jc w:val="left"/>
              <w:textAlignment w:val="center"/>
              <w:rPr>
                <w:rFonts w:hint="eastAsia" w:ascii="宋体" w:hAnsi="宋体" w:eastAsia="宋体" w:cs="宋体"/>
                <w:i w:val="0"/>
                <w:color w:val="000000"/>
                <w:kern w:val="0"/>
                <w:sz w:val="18"/>
                <w:szCs w:val="18"/>
              </w:rPr>
            </w:pPr>
            <w:r>
              <w:rPr>
                <w:rFonts w:hint="eastAsia" w:ascii="宋体" w:hAnsi="宋体" w:eastAsia="宋体" w:cs="宋体"/>
                <w:i w:val="0"/>
                <w:iCs w:val="0"/>
                <w:color w:val="000000"/>
                <w:kern w:val="0"/>
                <w:sz w:val="18"/>
                <w:szCs w:val="18"/>
                <w:lang w:val="en-US" w:eastAsia="zh-CN" w:bidi="ar"/>
              </w:rPr>
              <w:t>万元</w:t>
            </w:r>
          </w:p>
        </w:tc>
        <w:tc>
          <w:tcPr>
            <w:tcW w:w="926" w:type="dxa"/>
            <w:tcBorders>
              <w:top w:val="single" w:color="000000" w:sz="4" w:space="0"/>
              <w:left w:val="nil"/>
              <w:bottom w:val="single" w:color="000000" w:sz="4" w:space="0"/>
              <w:right w:val="single" w:color="000000" w:sz="4" w:space="0"/>
            </w:tcBorders>
            <w:shd w:val="clear" w:color="auto" w:fill="auto"/>
            <w:vAlign w:val="center"/>
          </w:tcPr>
          <w:p w14:paraId="40E241B8">
            <w:pPr>
              <w:keepNext w:val="0"/>
              <w:keepLines w:val="0"/>
              <w:widowControl/>
              <w:suppressLineNumbers w:val="0"/>
              <w:autoSpaceDE w:val="0"/>
              <w:autoSpaceDN/>
              <w:spacing w:before="0" w:beforeAutospacing="0" w:after="0" w:afterAutospacing="0" w:line="320" w:lineRule="exact"/>
              <w:ind w:left="0" w:right="0"/>
              <w:jc w:val="left"/>
              <w:textAlignment w:val="center"/>
              <w:rPr>
                <w:rFonts w:hint="eastAsia" w:ascii="宋体" w:hAnsi="宋体" w:eastAsia="宋体" w:cs="宋体"/>
                <w:i w:val="0"/>
                <w:color w:val="000000"/>
                <w:kern w:val="0"/>
                <w:sz w:val="18"/>
                <w:szCs w:val="18"/>
              </w:rPr>
            </w:pPr>
            <w:r>
              <w:rPr>
                <w:rFonts w:hint="eastAsia" w:ascii="宋体" w:hAnsi="宋体" w:eastAsia="宋体" w:cs="宋体"/>
                <w:i w:val="0"/>
                <w:iCs w:val="0"/>
                <w:color w:val="000000"/>
                <w:kern w:val="0"/>
                <w:sz w:val="18"/>
                <w:szCs w:val="18"/>
                <w:lang w:val="en-US" w:eastAsia="zh-CN" w:bidi="ar"/>
              </w:rPr>
              <w:t>10</w:t>
            </w:r>
          </w:p>
        </w:tc>
        <w:tc>
          <w:tcPr>
            <w:tcW w:w="1113" w:type="dxa"/>
            <w:tcBorders>
              <w:top w:val="single" w:color="000000" w:sz="4" w:space="0"/>
              <w:left w:val="nil"/>
              <w:bottom w:val="single" w:color="000000" w:sz="4" w:space="0"/>
              <w:right w:val="single" w:color="000000" w:sz="4" w:space="0"/>
            </w:tcBorders>
            <w:shd w:val="clear" w:color="auto" w:fill="auto"/>
            <w:vAlign w:val="center"/>
          </w:tcPr>
          <w:p w14:paraId="7AEEB902">
            <w:pPr>
              <w:keepNext w:val="0"/>
              <w:keepLines w:val="0"/>
              <w:widowControl/>
              <w:suppressLineNumbers w:val="0"/>
              <w:autoSpaceDE w:val="0"/>
              <w:autoSpaceDN/>
              <w:spacing w:before="0" w:beforeAutospacing="0" w:after="0" w:afterAutospacing="0" w:line="320" w:lineRule="exact"/>
              <w:ind w:left="0" w:right="0"/>
              <w:jc w:val="left"/>
              <w:rPr>
                <w:rFonts w:hint="default" w:ascii="Times New Roman" w:hAnsi="Times New Roman" w:eastAsia="宋体" w:cs="Times New Roman"/>
                <w:i w:val="0"/>
                <w:color w:val="000000"/>
                <w:kern w:val="2"/>
                <w:sz w:val="24"/>
                <w:szCs w:val="24"/>
              </w:rPr>
            </w:pPr>
            <w:r>
              <w:rPr>
                <w:rFonts w:hint="default" w:ascii="Times New Roman" w:hAnsi="Times New Roman" w:eastAsia="宋体" w:cs="Times New Roman"/>
                <w:i w:val="0"/>
                <w:color w:val="000000"/>
                <w:kern w:val="2"/>
                <w:sz w:val="24"/>
                <w:szCs w:val="24"/>
                <w:lang w:val="en-US" w:eastAsia="zh-CN" w:bidi="ar"/>
              </w:rPr>
              <w:t>14</w:t>
            </w:r>
            <w:r>
              <w:rPr>
                <w:rFonts w:hint="eastAsia" w:ascii="宋体" w:hAnsi="宋体" w:eastAsia="宋体" w:cs="宋体"/>
                <w:i w:val="0"/>
                <w:color w:val="000000"/>
                <w:kern w:val="2"/>
                <w:sz w:val="24"/>
                <w:szCs w:val="24"/>
                <w:lang w:val="en-US" w:eastAsia="zh-CN" w:bidi="ar"/>
              </w:rPr>
              <w:t>万元</w:t>
            </w:r>
          </w:p>
        </w:tc>
        <w:tc>
          <w:tcPr>
            <w:tcW w:w="0" w:type="auto"/>
            <w:shd w:val="clear" w:color="auto" w:fill="auto"/>
            <w:vAlign w:val="center"/>
          </w:tcPr>
          <w:p w14:paraId="5465DE2D">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bl>
    <w:p w14:paraId="5D560F71">
      <w:pPr>
        <w:pStyle w:val="2"/>
        <w:rPr>
          <w:rFonts w:hint="eastAsia"/>
        </w:rPr>
      </w:pPr>
    </w:p>
    <w:p w14:paraId="250D852A">
      <w:pPr>
        <w:pageBreakBefore w:val="0"/>
        <w:kinsoku/>
        <w:wordWrap/>
        <w:overflowPunct/>
        <w:topLinePunct w:val="0"/>
        <w:bidi w:val="0"/>
        <w:spacing w:line="576" w:lineRule="exact"/>
        <w:jc w:val="center"/>
        <w:outlineLvl w:val="0"/>
        <w:rPr>
          <w:rFonts w:hint="eastAsia" w:ascii="黑体" w:hAnsi="黑体" w:eastAsia="黑体"/>
          <w:color w:val="000000"/>
          <w:sz w:val="44"/>
          <w:szCs w:val="44"/>
        </w:rPr>
      </w:pPr>
      <w:bookmarkStart w:id="57" w:name="_Toc15396618"/>
    </w:p>
    <w:p w14:paraId="6E60D4AE">
      <w:pPr>
        <w:pageBreakBefore w:val="0"/>
        <w:kinsoku/>
        <w:wordWrap/>
        <w:overflowPunct/>
        <w:topLinePunct w:val="0"/>
        <w:bidi w:val="0"/>
        <w:spacing w:line="576" w:lineRule="exact"/>
        <w:jc w:val="center"/>
        <w:outlineLvl w:val="0"/>
        <w:rPr>
          <w:rStyle w:val="29"/>
          <w:rFonts w:ascii="黑体" w:hAnsi="黑体" w:eastAsia="黑体"/>
          <w:b w:val="0"/>
        </w:rPr>
      </w:pPr>
      <w:r>
        <w:rPr>
          <w:rFonts w:hint="eastAsia" w:ascii="黑体" w:hAnsi="黑体" w:eastAsia="黑体"/>
          <w:color w:val="000000"/>
          <w:sz w:val="44"/>
          <w:szCs w:val="44"/>
        </w:rPr>
        <w:t>第</w:t>
      </w:r>
      <w:r>
        <w:rPr>
          <w:rStyle w:val="29"/>
          <w:rFonts w:hint="eastAsia" w:ascii="黑体" w:hAnsi="黑体" w:eastAsia="黑体"/>
          <w:b w:val="0"/>
        </w:rPr>
        <w:t>五部分附表</w:t>
      </w:r>
      <w:bookmarkEnd w:id="55"/>
      <w:bookmarkEnd w:id="57"/>
    </w:p>
    <w:p w14:paraId="2CA2695B">
      <w:pPr>
        <w:pageBreakBefore w:val="0"/>
        <w:kinsoku/>
        <w:wordWrap/>
        <w:overflowPunct/>
        <w:topLinePunct w:val="0"/>
        <w:bidi w:val="0"/>
        <w:spacing w:line="576" w:lineRule="exact"/>
        <w:jc w:val="center"/>
        <w:outlineLvl w:val="0"/>
        <w:rPr>
          <w:rFonts w:ascii="仿宋" w:hAnsi="仿宋" w:eastAsia="仿宋"/>
          <w:b/>
          <w:color w:val="000000"/>
          <w:sz w:val="44"/>
          <w:szCs w:val="44"/>
        </w:rPr>
      </w:pPr>
    </w:p>
    <w:p w14:paraId="1F19C72C">
      <w:pPr>
        <w:pStyle w:val="4"/>
        <w:pageBreakBefore w:val="0"/>
        <w:kinsoku/>
        <w:wordWrap/>
        <w:overflowPunct/>
        <w:topLinePunct w:val="0"/>
        <w:bidi w:val="0"/>
        <w:spacing w:line="576" w:lineRule="exact"/>
        <w:rPr>
          <w:rFonts w:ascii="仿宋" w:hAnsi="仿宋" w:eastAsia="仿宋"/>
          <w:color w:val="000000"/>
        </w:rPr>
      </w:pPr>
      <w:bookmarkStart w:id="58" w:name="_Toc15396619"/>
      <w:r>
        <w:rPr>
          <w:rFonts w:hint="eastAsia" w:ascii="仿宋" w:hAnsi="仿宋" w:eastAsia="仿宋"/>
          <w:b w:val="0"/>
          <w:color w:val="000000"/>
        </w:rPr>
        <w:t>一、收</w:t>
      </w:r>
      <w:r>
        <w:rPr>
          <w:rStyle w:val="30"/>
          <w:rFonts w:hint="eastAsia" w:ascii="仿宋" w:hAnsi="仿宋" w:eastAsia="仿宋"/>
          <w:b w:val="0"/>
          <w:bCs w:val="0"/>
        </w:rPr>
        <w:t>入支出决算总表</w:t>
      </w:r>
      <w:bookmarkEnd w:id="58"/>
    </w:p>
    <w:p w14:paraId="767F6CA4">
      <w:pPr>
        <w:pStyle w:val="4"/>
        <w:pageBreakBefore w:val="0"/>
        <w:kinsoku/>
        <w:wordWrap/>
        <w:overflowPunct/>
        <w:topLinePunct w:val="0"/>
        <w:bidi w:val="0"/>
        <w:spacing w:line="576" w:lineRule="exact"/>
        <w:rPr>
          <w:rFonts w:ascii="仿宋" w:hAnsi="仿宋" w:eastAsia="仿宋"/>
          <w:color w:val="000000"/>
        </w:rPr>
      </w:pPr>
      <w:bookmarkStart w:id="59" w:name="_Toc15396620"/>
      <w:r>
        <w:rPr>
          <w:rFonts w:hint="eastAsia" w:ascii="仿宋" w:hAnsi="仿宋" w:eastAsia="仿宋"/>
          <w:b w:val="0"/>
          <w:color w:val="000000"/>
        </w:rPr>
        <w:t>二、收</w:t>
      </w:r>
      <w:r>
        <w:rPr>
          <w:rStyle w:val="30"/>
          <w:rFonts w:hint="eastAsia" w:ascii="仿宋" w:hAnsi="仿宋" w:eastAsia="仿宋"/>
          <w:b w:val="0"/>
          <w:bCs w:val="0"/>
        </w:rPr>
        <w:t>入决算表</w:t>
      </w:r>
      <w:bookmarkEnd w:id="59"/>
    </w:p>
    <w:p w14:paraId="1F4E7304">
      <w:pPr>
        <w:pStyle w:val="4"/>
        <w:pageBreakBefore w:val="0"/>
        <w:kinsoku/>
        <w:wordWrap/>
        <w:overflowPunct/>
        <w:topLinePunct w:val="0"/>
        <w:bidi w:val="0"/>
        <w:spacing w:line="576" w:lineRule="exact"/>
        <w:rPr>
          <w:rFonts w:ascii="仿宋" w:hAnsi="仿宋" w:eastAsia="仿宋"/>
          <w:color w:val="000000"/>
        </w:rPr>
      </w:pPr>
      <w:bookmarkStart w:id="60" w:name="_Toc15396621"/>
      <w:r>
        <w:rPr>
          <w:rStyle w:val="30"/>
          <w:rFonts w:hint="eastAsia" w:ascii="仿宋" w:hAnsi="仿宋" w:eastAsia="仿宋"/>
          <w:b w:val="0"/>
          <w:bCs w:val="0"/>
        </w:rPr>
        <w:t>三、</w:t>
      </w:r>
      <w:r>
        <w:rPr>
          <w:rFonts w:hint="eastAsia" w:ascii="仿宋" w:hAnsi="仿宋" w:eastAsia="仿宋"/>
          <w:b w:val="0"/>
          <w:color w:val="000000"/>
        </w:rPr>
        <w:t>支</w:t>
      </w:r>
      <w:r>
        <w:rPr>
          <w:rStyle w:val="30"/>
          <w:rFonts w:hint="eastAsia" w:ascii="仿宋" w:hAnsi="仿宋" w:eastAsia="仿宋"/>
          <w:b w:val="0"/>
          <w:bCs w:val="0"/>
        </w:rPr>
        <w:t>出决算表</w:t>
      </w:r>
      <w:bookmarkEnd w:id="60"/>
    </w:p>
    <w:p w14:paraId="787BFFDE">
      <w:pPr>
        <w:pStyle w:val="4"/>
        <w:pageBreakBefore w:val="0"/>
        <w:kinsoku/>
        <w:wordWrap/>
        <w:overflowPunct/>
        <w:topLinePunct w:val="0"/>
        <w:bidi w:val="0"/>
        <w:spacing w:line="576" w:lineRule="exact"/>
        <w:rPr>
          <w:rFonts w:ascii="仿宋" w:hAnsi="仿宋" w:eastAsia="仿宋"/>
          <w:b w:val="0"/>
          <w:color w:val="000000"/>
        </w:rPr>
      </w:pPr>
      <w:bookmarkStart w:id="61" w:name="_Toc15396622"/>
      <w:r>
        <w:rPr>
          <w:rStyle w:val="30"/>
          <w:rFonts w:hint="eastAsia" w:ascii="仿宋" w:hAnsi="仿宋" w:eastAsia="仿宋"/>
          <w:b w:val="0"/>
          <w:bCs w:val="0"/>
        </w:rPr>
        <w:t>四、</w:t>
      </w:r>
      <w:r>
        <w:rPr>
          <w:rFonts w:hint="eastAsia" w:ascii="仿宋" w:hAnsi="仿宋" w:eastAsia="仿宋"/>
          <w:b w:val="0"/>
          <w:color w:val="000000"/>
        </w:rPr>
        <w:t>财</w:t>
      </w:r>
      <w:r>
        <w:rPr>
          <w:rStyle w:val="30"/>
          <w:rFonts w:hint="eastAsia" w:ascii="仿宋" w:hAnsi="仿宋" w:eastAsia="仿宋"/>
          <w:b w:val="0"/>
          <w:bCs w:val="0"/>
        </w:rPr>
        <w:t>政拨款收入支出决算总表</w:t>
      </w:r>
      <w:bookmarkEnd w:id="61"/>
    </w:p>
    <w:p w14:paraId="52F79A9E">
      <w:pPr>
        <w:pStyle w:val="4"/>
        <w:pageBreakBefore w:val="0"/>
        <w:kinsoku/>
        <w:wordWrap/>
        <w:overflowPunct/>
        <w:topLinePunct w:val="0"/>
        <w:bidi w:val="0"/>
        <w:spacing w:line="576" w:lineRule="exact"/>
        <w:rPr>
          <w:rStyle w:val="30"/>
          <w:rFonts w:ascii="仿宋" w:hAnsi="仿宋" w:eastAsia="仿宋"/>
          <w:b w:val="0"/>
          <w:bCs w:val="0"/>
        </w:rPr>
      </w:pPr>
      <w:bookmarkStart w:id="62" w:name="_Toc15396623"/>
      <w:r>
        <w:rPr>
          <w:rStyle w:val="30"/>
          <w:rFonts w:hint="eastAsia" w:ascii="仿宋" w:hAnsi="仿宋" w:eastAsia="仿宋"/>
          <w:b w:val="0"/>
          <w:bCs w:val="0"/>
        </w:rPr>
        <w:t>五、</w:t>
      </w:r>
      <w:r>
        <w:rPr>
          <w:rFonts w:hint="eastAsia" w:ascii="仿宋" w:hAnsi="仿宋" w:eastAsia="仿宋"/>
          <w:b w:val="0"/>
          <w:color w:val="000000"/>
        </w:rPr>
        <w:t>财</w:t>
      </w:r>
      <w:r>
        <w:rPr>
          <w:rStyle w:val="30"/>
          <w:rFonts w:hint="eastAsia" w:ascii="仿宋" w:hAnsi="仿宋" w:eastAsia="仿宋"/>
          <w:b w:val="0"/>
          <w:bCs w:val="0"/>
        </w:rPr>
        <w:t>政拨款支出决算明细表</w:t>
      </w:r>
      <w:bookmarkEnd w:id="62"/>
      <w:bookmarkStart w:id="63" w:name="_Toc15396624"/>
    </w:p>
    <w:p w14:paraId="6B537323">
      <w:pPr>
        <w:pStyle w:val="4"/>
        <w:pageBreakBefore w:val="0"/>
        <w:kinsoku/>
        <w:wordWrap/>
        <w:overflowPunct/>
        <w:topLinePunct w:val="0"/>
        <w:bidi w:val="0"/>
        <w:spacing w:line="576" w:lineRule="exact"/>
        <w:rPr>
          <w:rFonts w:ascii="仿宋" w:hAnsi="仿宋" w:eastAsia="仿宋"/>
          <w:color w:val="000000"/>
        </w:rPr>
      </w:pPr>
      <w:r>
        <w:rPr>
          <w:rStyle w:val="30"/>
          <w:rFonts w:hint="eastAsia" w:ascii="仿宋" w:hAnsi="仿宋" w:eastAsia="仿宋"/>
          <w:b w:val="0"/>
          <w:bCs w:val="0"/>
        </w:rPr>
        <w:t>六、</w:t>
      </w:r>
      <w:r>
        <w:rPr>
          <w:rFonts w:hint="eastAsia" w:ascii="仿宋" w:hAnsi="仿宋" w:eastAsia="仿宋"/>
          <w:b w:val="0"/>
          <w:color w:val="000000"/>
        </w:rPr>
        <w:t>一</w:t>
      </w:r>
      <w:r>
        <w:rPr>
          <w:rStyle w:val="30"/>
          <w:rFonts w:hint="eastAsia" w:ascii="仿宋" w:hAnsi="仿宋" w:eastAsia="仿宋"/>
          <w:b w:val="0"/>
          <w:bCs w:val="0"/>
        </w:rPr>
        <w:t>般公共预算财政拨款支出决算表</w:t>
      </w:r>
      <w:bookmarkEnd w:id="63"/>
    </w:p>
    <w:p w14:paraId="5E725B34">
      <w:pPr>
        <w:pStyle w:val="4"/>
        <w:pageBreakBefore w:val="0"/>
        <w:kinsoku/>
        <w:wordWrap/>
        <w:overflowPunct/>
        <w:topLinePunct w:val="0"/>
        <w:bidi w:val="0"/>
        <w:spacing w:line="576" w:lineRule="exact"/>
        <w:rPr>
          <w:rFonts w:ascii="仿宋" w:hAnsi="仿宋" w:eastAsia="仿宋"/>
          <w:color w:val="000000"/>
        </w:rPr>
      </w:pPr>
      <w:bookmarkStart w:id="64" w:name="_Toc15396625"/>
      <w:r>
        <w:rPr>
          <w:rStyle w:val="30"/>
          <w:rFonts w:hint="eastAsia" w:ascii="仿宋" w:hAnsi="仿宋" w:eastAsia="仿宋"/>
          <w:b w:val="0"/>
          <w:bCs w:val="0"/>
        </w:rPr>
        <w:t>七、</w:t>
      </w:r>
      <w:r>
        <w:rPr>
          <w:rFonts w:hint="eastAsia" w:ascii="仿宋" w:hAnsi="仿宋" w:eastAsia="仿宋"/>
          <w:b w:val="0"/>
          <w:color w:val="000000"/>
        </w:rPr>
        <w:t>一</w:t>
      </w:r>
      <w:r>
        <w:rPr>
          <w:rStyle w:val="30"/>
          <w:rFonts w:hint="eastAsia" w:ascii="仿宋" w:hAnsi="仿宋" w:eastAsia="仿宋"/>
          <w:b w:val="0"/>
          <w:bCs w:val="0"/>
        </w:rPr>
        <w:t>般公共预算财政拨款支出决算明细表</w:t>
      </w:r>
      <w:bookmarkEnd w:id="64"/>
    </w:p>
    <w:p w14:paraId="337BC7CB">
      <w:pPr>
        <w:pStyle w:val="4"/>
        <w:pageBreakBefore w:val="0"/>
        <w:kinsoku/>
        <w:wordWrap/>
        <w:overflowPunct/>
        <w:topLinePunct w:val="0"/>
        <w:bidi w:val="0"/>
        <w:spacing w:line="576" w:lineRule="exact"/>
        <w:rPr>
          <w:rFonts w:ascii="仿宋" w:hAnsi="仿宋" w:eastAsia="仿宋"/>
          <w:color w:val="000000"/>
        </w:rPr>
      </w:pPr>
      <w:bookmarkStart w:id="65" w:name="_Toc15396626"/>
      <w:r>
        <w:rPr>
          <w:rStyle w:val="30"/>
          <w:rFonts w:hint="eastAsia" w:ascii="仿宋" w:hAnsi="仿宋" w:eastAsia="仿宋"/>
          <w:b w:val="0"/>
          <w:bCs w:val="0"/>
        </w:rPr>
        <w:t>八、</w:t>
      </w:r>
      <w:r>
        <w:rPr>
          <w:rFonts w:hint="eastAsia" w:ascii="仿宋" w:hAnsi="仿宋" w:eastAsia="仿宋"/>
          <w:b w:val="0"/>
          <w:color w:val="000000"/>
        </w:rPr>
        <w:t>一</w:t>
      </w:r>
      <w:r>
        <w:rPr>
          <w:rStyle w:val="30"/>
          <w:rFonts w:hint="eastAsia" w:ascii="仿宋" w:hAnsi="仿宋" w:eastAsia="仿宋"/>
          <w:b w:val="0"/>
          <w:bCs w:val="0"/>
        </w:rPr>
        <w:t>般公共预算财政拨款基本支出决算表</w:t>
      </w:r>
      <w:bookmarkEnd w:id="65"/>
    </w:p>
    <w:p w14:paraId="27CF9D71">
      <w:pPr>
        <w:pStyle w:val="4"/>
        <w:pageBreakBefore w:val="0"/>
        <w:kinsoku/>
        <w:wordWrap/>
        <w:overflowPunct/>
        <w:topLinePunct w:val="0"/>
        <w:bidi w:val="0"/>
        <w:spacing w:line="576" w:lineRule="exact"/>
        <w:rPr>
          <w:rFonts w:ascii="仿宋" w:hAnsi="仿宋" w:eastAsia="仿宋"/>
          <w:color w:val="000000"/>
        </w:rPr>
      </w:pPr>
      <w:bookmarkStart w:id="66" w:name="_Toc15396627"/>
      <w:r>
        <w:rPr>
          <w:rStyle w:val="30"/>
          <w:rFonts w:hint="eastAsia" w:ascii="仿宋" w:hAnsi="仿宋" w:eastAsia="仿宋"/>
          <w:b w:val="0"/>
          <w:bCs w:val="0"/>
        </w:rPr>
        <w:t>九、</w:t>
      </w:r>
      <w:r>
        <w:rPr>
          <w:rFonts w:hint="eastAsia" w:ascii="仿宋" w:hAnsi="仿宋" w:eastAsia="仿宋"/>
          <w:b w:val="0"/>
          <w:color w:val="000000"/>
        </w:rPr>
        <w:t>一</w:t>
      </w:r>
      <w:r>
        <w:rPr>
          <w:rStyle w:val="30"/>
          <w:rFonts w:hint="eastAsia" w:ascii="仿宋" w:hAnsi="仿宋" w:eastAsia="仿宋"/>
          <w:b w:val="0"/>
          <w:bCs w:val="0"/>
        </w:rPr>
        <w:t>般公共预算财政拨款项目支出决算表</w:t>
      </w:r>
      <w:bookmarkEnd w:id="66"/>
    </w:p>
    <w:p w14:paraId="28B13510">
      <w:pPr>
        <w:pStyle w:val="4"/>
        <w:pageBreakBefore w:val="0"/>
        <w:kinsoku/>
        <w:wordWrap/>
        <w:overflowPunct/>
        <w:topLinePunct w:val="0"/>
        <w:bidi w:val="0"/>
        <w:spacing w:line="576" w:lineRule="exact"/>
        <w:rPr>
          <w:rFonts w:ascii="仿宋" w:hAnsi="仿宋" w:eastAsia="仿宋"/>
          <w:color w:val="000000"/>
        </w:rPr>
      </w:pPr>
      <w:bookmarkStart w:id="67" w:name="_Toc15396628"/>
      <w:r>
        <w:rPr>
          <w:rStyle w:val="30"/>
          <w:rFonts w:hint="eastAsia" w:ascii="仿宋" w:hAnsi="仿宋" w:eastAsia="仿宋"/>
          <w:b w:val="0"/>
          <w:bCs w:val="0"/>
        </w:rPr>
        <w:t>十、</w:t>
      </w:r>
      <w:r>
        <w:rPr>
          <w:rFonts w:hint="eastAsia" w:ascii="仿宋" w:hAnsi="仿宋" w:eastAsia="仿宋"/>
          <w:b w:val="0"/>
          <w:color w:val="000000"/>
        </w:rPr>
        <w:t>一</w:t>
      </w:r>
      <w:r>
        <w:rPr>
          <w:rStyle w:val="30"/>
          <w:rFonts w:hint="eastAsia" w:ascii="仿宋" w:hAnsi="仿宋" w:eastAsia="仿宋"/>
          <w:b w:val="0"/>
          <w:bCs w:val="0"/>
        </w:rPr>
        <w:t>般公共预算财政拨款“三公”经费支出决算表</w:t>
      </w:r>
      <w:bookmarkEnd w:id="67"/>
    </w:p>
    <w:p w14:paraId="47D345B5">
      <w:pPr>
        <w:pStyle w:val="4"/>
        <w:pageBreakBefore w:val="0"/>
        <w:kinsoku/>
        <w:wordWrap/>
        <w:overflowPunct/>
        <w:topLinePunct w:val="0"/>
        <w:bidi w:val="0"/>
        <w:spacing w:line="576" w:lineRule="exact"/>
        <w:rPr>
          <w:rFonts w:ascii="仿宋" w:hAnsi="仿宋" w:eastAsia="仿宋"/>
          <w:color w:val="000000"/>
        </w:rPr>
      </w:pPr>
      <w:bookmarkStart w:id="68" w:name="_Toc15396629"/>
      <w:r>
        <w:rPr>
          <w:rStyle w:val="30"/>
          <w:rFonts w:hint="eastAsia" w:ascii="仿宋" w:hAnsi="仿宋" w:eastAsia="仿宋"/>
          <w:b w:val="0"/>
          <w:bCs w:val="0"/>
        </w:rPr>
        <w:t>十一、</w:t>
      </w:r>
      <w:r>
        <w:rPr>
          <w:rFonts w:hint="eastAsia" w:ascii="仿宋" w:hAnsi="仿宋" w:eastAsia="仿宋"/>
          <w:b w:val="0"/>
          <w:color w:val="000000"/>
        </w:rPr>
        <w:t>政</w:t>
      </w:r>
      <w:r>
        <w:rPr>
          <w:rStyle w:val="30"/>
          <w:rFonts w:hint="eastAsia" w:ascii="仿宋" w:hAnsi="仿宋" w:eastAsia="仿宋"/>
          <w:b w:val="0"/>
          <w:bCs w:val="0"/>
        </w:rPr>
        <w:t>府性基金预算财政拨款收入支出决算表</w:t>
      </w:r>
      <w:bookmarkEnd w:id="68"/>
    </w:p>
    <w:p w14:paraId="6AF8334B">
      <w:pPr>
        <w:pStyle w:val="4"/>
        <w:pageBreakBefore w:val="0"/>
        <w:kinsoku/>
        <w:wordWrap/>
        <w:overflowPunct/>
        <w:topLinePunct w:val="0"/>
        <w:bidi w:val="0"/>
        <w:spacing w:line="576" w:lineRule="exact"/>
        <w:rPr>
          <w:rFonts w:ascii="仿宋" w:hAnsi="仿宋" w:eastAsia="仿宋"/>
          <w:color w:val="000000"/>
        </w:rPr>
      </w:pPr>
      <w:bookmarkStart w:id="69" w:name="_Toc15396630"/>
      <w:r>
        <w:rPr>
          <w:rStyle w:val="30"/>
          <w:rFonts w:hint="eastAsia" w:ascii="仿宋" w:hAnsi="仿宋" w:eastAsia="仿宋"/>
          <w:b w:val="0"/>
          <w:bCs w:val="0"/>
        </w:rPr>
        <w:t>十二、</w:t>
      </w:r>
      <w:r>
        <w:rPr>
          <w:rFonts w:hint="eastAsia" w:ascii="仿宋" w:hAnsi="仿宋" w:eastAsia="仿宋"/>
          <w:b w:val="0"/>
          <w:color w:val="000000"/>
        </w:rPr>
        <w:t>政</w:t>
      </w:r>
      <w:r>
        <w:rPr>
          <w:rStyle w:val="30"/>
          <w:rFonts w:hint="eastAsia" w:ascii="仿宋" w:hAnsi="仿宋" w:eastAsia="仿宋"/>
          <w:b w:val="0"/>
          <w:bCs w:val="0"/>
        </w:rPr>
        <w:t>府性基金预算财政拨款“三公”经费支出决算表</w:t>
      </w:r>
      <w:bookmarkEnd w:id="69"/>
    </w:p>
    <w:p w14:paraId="00D2269E">
      <w:pPr>
        <w:pStyle w:val="4"/>
        <w:pageBreakBefore w:val="0"/>
        <w:kinsoku/>
        <w:wordWrap/>
        <w:overflowPunct/>
        <w:topLinePunct w:val="0"/>
        <w:bidi w:val="0"/>
        <w:spacing w:line="576" w:lineRule="exact"/>
        <w:rPr>
          <w:rFonts w:ascii="仿宋" w:hAnsi="仿宋" w:eastAsia="仿宋"/>
          <w:color w:val="000000" w:themeColor="text1"/>
          <w14:textFill>
            <w14:solidFill>
              <w14:schemeClr w14:val="tx1"/>
            </w14:solidFill>
          </w14:textFill>
        </w:rPr>
      </w:pPr>
      <w:bookmarkStart w:id="70" w:name="_Toc15396631"/>
      <w:r>
        <w:rPr>
          <w:rStyle w:val="30"/>
          <w:rFonts w:hint="eastAsia" w:ascii="仿宋" w:hAnsi="仿宋" w:eastAsia="仿宋"/>
          <w:b w:val="0"/>
          <w:bCs w:val="0"/>
        </w:rPr>
        <w:t>十三、</w:t>
      </w:r>
      <w:r>
        <w:rPr>
          <w:rFonts w:hint="eastAsia" w:ascii="仿宋" w:hAnsi="仿宋" w:eastAsia="仿宋"/>
          <w:b w:val="0"/>
          <w:color w:val="000000"/>
        </w:rPr>
        <w:t>国</w:t>
      </w:r>
      <w:r>
        <w:rPr>
          <w:rStyle w:val="30"/>
          <w:rFonts w:hint="eastAsia" w:ascii="仿宋" w:hAnsi="仿宋" w:eastAsia="仿宋"/>
          <w:b w:val="0"/>
          <w:bCs w:val="0"/>
        </w:rPr>
        <w:t>有资本经营预算支出决算表</w:t>
      </w:r>
      <w:bookmarkEnd w:id="70"/>
    </w:p>
    <w:sectPr>
      <w:headerReference r:id="rId3" w:type="default"/>
      <w:footerReference r:id="rId4" w:type="default"/>
      <w:pgSz w:w="11906" w:h="16838"/>
      <w:pgMar w:top="2098" w:right="1474" w:bottom="1984" w:left="1587"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华文中宋"/>
    <w:panose1 w:val="00000000000000000000"/>
    <w:charset w:val="00"/>
    <w:family w:val="roman"/>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4781956"/>
    </w:sdtPr>
    <w:sdtContent>
      <w:p w14:paraId="1A689ED5">
        <w:pPr>
          <w:pStyle w:val="10"/>
          <w:jc w:val="center"/>
        </w:pPr>
        <w:r>
          <w:fldChar w:fldCharType="begin"/>
        </w:r>
        <w:r>
          <w:instrText xml:space="preserve">PAGE   \* MERGEFORMAT</w:instrText>
        </w:r>
        <w:r>
          <w:fldChar w:fldCharType="separate"/>
        </w:r>
        <w:r>
          <w:rPr>
            <w:lang w:val="zh-CN"/>
          </w:rPr>
          <w:t>18</w:t>
        </w:r>
        <w:r>
          <w:rPr>
            <w:lang w:val="zh-CN"/>
          </w:rPr>
          <w:fldChar w:fldCharType="end"/>
        </w:r>
      </w:p>
    </w:sdtContent>
  </w:sdt>
  <w:p w14:paraId="4621B7C8">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ED147">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799150"/>
    <w:multiLevelType w:val="singleLevel"/>
    <w:tmpl w:val="A8799150"/>
    <w:lvl w:ilvl="0" w:tentative="0">
      <w:start w:val="1"/>
      <w:numFmt w:val="decimal"/>
      <w:lvlText w:val="%1."/>
      <w:lvlJc w:val="left"/>
      <w:pPr>
        <w:tabs>
          <w:tab w:val="left" w:pos="312"/>
        </w:tabs>
      </w:pPr>
    </w:lvl>
  </w:abstractNum>
  <w:abstractNum w:abstractNumId="1">
    <w:nsid w:val="CF652CEC"/>
    <w:multiLevelType w:val="singleLevel"/>
    <w:tmpl w:val="CF652CEC"/>
    <w:lvl w:ilvl="0" w:tentative="0">
      <w:start w:val="9"/>
      <w:numFmt w:val="chineseCounting"/>
      <w:suff w:val="nothing"/>
      <w:lvlText w:val="%1、"/>
      <w:lvlJc w:val="left"/>
      <w:rPr>
        <w:rFonts w:hint="eastAsia"/>
      </w:rPr>
    </w:lvl>
  </w:abstractNum>
  <w:abstractNum w:abstractNumId="2">
    <w:nsid w:val="E2FA047D"/>
    <w:multiLevelType w:val="singleLevel"/>
    <w:tmpl w:val="E2FA047D"/>
    <w:lvl w:ilvl="0" w:tentative="0">
      <w:start w:val="3"/>
      <w:numFmt w:val="chineseCounting"/>
      <w:suff w:val="space"/>
      <w:lvlText w:val="第%1部分"/>
      <w:lvlJc w:val="left"/>
      <w:rPr>
        <w:rFonts w:hint="eastAsia"/>
      </w:rPr>
    </w:lvl>
  </w:abstractNum>
  <w:abstractNum w:abstractNumId="3">
    <w:nsid w:val="F654D1DA"/>
    <w:multiLevelType w:val="singleLevel"/>
    <w:tmpl w:val="F654D1DA"/>
    <w:lvl w:ilvl="0" w:tentative="0">
      <w:start w:val="1"/>
      <w:numFmt w:val="decimal"/>
      <w:lvlText w:val="%1."/>
      <w:lvlJc w:val="left"/>
      <w:pPr>
        <w:tabs>
          <w:tab w:val="left" w:pos="312"/>
        </w:tabs>
      </w:pPr>
    </w:lvl>
  </w:abstractNum>
  <w:abstractNum w:abstractNumId="4">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MwNWQ3MDc2ZGRmODQ4OGNhZDc3N2Q4YTkwMzNhODgifQ=="/>
  </w:docVars>
  <w:rsids>
    <w:rsidRoot w:val="00F1361C"/>
    <w:rsid w:val="000222C6"/>
    <w:rsid w:val="0002549F"/>
    <w:rsid w:val="0003501F"/>
    <w:rsid w:val="00037C99"/>
    <w:rsid w:val="000468DB"/>
    <w:rsid w:val="000471E3"/>
    <w:rsid w:val="0006487A"/>
    <w:rsid w:val="00065F8F"/>
    <w:rsid w:val="00070A43"/>
    <w:rsid w:val="000768F2"/>
    <w:rsid w:val="0009184B"/>
    <w:rsid w:val="00094236"/>
    <w:rsid w:val="0009593C"/>
    <w:rsid w:val="00097322"/>
    <w:rsid w:val="000A6A92"/>
    <w:rsid w:val="000B047F"/>
    <w:rsid w:val="000B0897"/>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254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27034"/>
    <w:rsid w:val="00227F5D"/>
    <w:rsid w:val="00235629"/>
    <w:rsid w:val="00260C38"/>
    <w:rsid w:val="002616C0"/>
    <w:rsid w:val="00265372"/>
    <w:rsid w:val="002662AA"/>
    <w:rsid w:val="00280496"/>
    <w:rsid w:val="00291F37"/>
    <w:rsid w:val="00294DC9"/>
    <w:rsid w:val="00295495"/>
    <w:rsid w:val="002A31DE"/>
    <w:rsid w:val="002B2613"/>
    <w:rsid w:val="002D19B0"/>
    <w:rsid w:val="002D6D05"/>
    <w:rsid w:val="002F1818"/>
    <w:rsid w:val="002F567B"/>
    <w:rsid w:val="003216A9"/>
    <w:rsid w:val="00332761"/>
    <w:rsid w:val="00335A74"/>
    <w:rsid w:val="00351430"/>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3F6619"/>
    <w:rsid w:val="00406254"/>
    <w:rsid w:val="00416CD4"/>
    <w:rsid w:val="004223DE"/>
    <w:rsid w:val="00434489"/>
    <w:rsid w:val="00437085"/>
    <w:rsid w:val="004416A8"/>
    <w:rsid w:val="00443880"/>
    <w:rsid w:val="004464F4"/>
    <w:rsid w:val="00471401"/>
    <w:rsid w:val="00473F31"/>
    <w:rsid w:val="0048263A"/>
    <w:rsid w:val="00487E5D"/>
    <w:rsid w:val="004A318D"/>
    <w:rsid w:val="004A711F"/>
    <w:rsid w:val="004B199D"/>
    <w:rsid w:val="004B4690"/>
    <w:rsid w:val="004E0A2D"/>
    <w:rsid w:val="004E206B"/>
    <w:rsid w:val="004E6DF7"/>
    <w:rsid w:val="004F0FBD"/>
    <w:rsid w:val="004F2D14"/>
    <w:rsid w:val="004F403E"/>
    <w:rsid w:val="00505A47"/>
    <w:rsid w:val="00512FDA"/>
    <w:rsid w:val="00520DA0"/>
    <w:rsid w:val="005664BB"/>
    <w:rsid w:val="00566FFA"/>
    <w:rsid w:val="00567335"/>
    <w:rsid w:val="0057481D"/>
    <w:rsid w:val="00575F0B"/>
    <w:rsid w:val="0058486E"/>
    <w:rsid w:val="00585B33"/>
    <w:rsid w:val="0059014D"/>
    <w:rsid w:val="005B5C64"/>
    <w:rsid w:val="005C6BD0"/>
    <w:rsid w:val="005C6C4C"/>
    <w:rsid w:val="005D1C8B"/>
    <w:rsid w:val="005D468D"/>
    <w:rsid w:val="005D5CED"/>
    <w:rsid w:val="005F1A4C"/>
    <w:rsid w:val="005F4F9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3E1F"/>
    <w:rsid w:val="0071798E"/>
    <w:rsid w:val="00727533"/>
    <w:rsid w:val="007416B6"/>
    <w:rsid w:val="00746F48"/>
    <w:rsid w:val="0075404D"/>
    <w:rsid w:val="0076182A"/>
    <w:rsid w:val="00767B7E"/>
    <w:rsid w:val="007770C3"/>
    <w:rsid w:val="00784D24"/>
    <w:rsid w:val="00785FBA"/>
    <w:rsid w:val="00786E4A"/>
    <w:rsid w:val="007875EB"/>
    <w:rsid w:val="0079426B"/>
    <w:rsid w:val="007C0200"/>
    <w:rsid w:val="007D1682"/>
    <w:rsid w:val="007D312A"/>
    <w:rsid w:val="007D3F19"/>
    <w:rsid w:val="007D7AB1"/>
    <w:rsid w:val="007E23B0"/>
    <w:rsid w:val="007F1991"/>
    <w:rsid w:val="007F2C2F"/>
    <w:rsid w:val="007F55FC"/>
    <w:rsid w:val="007F5665"/>
    <w:rsid w:val="00800112"/>
    <w:rsid w:val="00805D99"/>
    <w:rsid w:val="00813348"/>
    <w:rsid w:val="00823783"/>
    <w:rsid w:val="008253BB"/>
    <w:rsid w:val="00833962"/>
    <w:rsid w:val="0083706E"/>
    <w:rsid w:val="008408F6"/>
    <w:rsid w:val="008423A5"/>
    <w:rsid w:val="00850625"/>
    <w:rsid w:val="00853718"/>
    <w:rsid w:val="00855221"/>
    <w:rsid w:val="00860645"/>
    <w:rsid w:val="00866D4C"/>
    <w:rsid w:val="00871F71"/>
    <w:rsid w:val="008724BB"/>
    <w:rsid w:val="00872FD8"/>
    <w:rsid w:val="00885AF4"/>
    <w:rsid w:val="008939CD"/>
    <w:rsid w:val="008B768C"/>
    <w:rsid w:val="008C0335"/>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A5C80"/>
    <w:rsid w:val="009B2C43"/>
    <w:rsid w:val="009B4EAE"/>
    <w:rsid w:val="009B7573"/>
    <w:rsid w:val="009C22F4"/>
    <w:rsid w:val="009C2E98"/>
    <w:rsid w:val="009C37FB"/>
    <w:rsid w:val="009D3447"/>
    <w:rsid w:val="009D4711"/>
    <w:rsid w:val="009F1185"/>
    <w:rsid w:val="009F18CD"/>
    <w:rsid w:val="009F2A13"/>
    <w:rsid w:val="009F7527"/>
    <w:rsid w:val="00A039ED"/>
    <w:rsid w:val="00A04EB0"/>
    <w:rsid w:val="00A116E4"/>
    <w:rsid w:val="00A13CC1"/>
    <w:rsid w:val="00A16847"/>
    <w:rsid w:val="00A237D8"/>
    <w:rsid w:val="00A268C4"/>
    <w:rsid w:val="00A307CD"/>
    <w:rsid w:val="00A32C1B"/>
    <w:rsid w:val="00A331C8"/>
    <w:rsid w:val="00A35117"/>
    <w:rsid w:val="00A40A00"/>
    <w:rsid w:val="00A4142F"/>
    <w:rsid w:val="00A41D21"/>
    <w:rsid w:val="00A422EB"/>
    <w:rsid w:val="00A458D9"/>
    <w:rsid w:val="00A45BB7"/>
    <w:rsid w:val="00A46438"/>
    <w:rsid w:val="00A56DF2"/>
    <w:rsid w:val="00A56E6E"/>
    <w:rsid w:val="00A67AB5"/>
    <w:rsid w:val="00A733B2"/>
    <w:rsid w:val="00A741C2"/>
    <w:rsid w:val="00A91760"/>
    <w:rsid w:val="00A93B00"/>
    <w:rsid w:val="00A93C21"/>
    <w:rsid w:val="00AB64C9"/>
    <w:rsid w:val="00AC218E"/>
    <w:rsid w:val="00AC3C6A"/>
    <w:rsid w:val="00AD0F83"/>
    <w:rsid w:val="00AD2C1D"/>
    <w:rsid w:val="00AD5620"/>
    <w:rsid w:val="00AD656B"/>
    <w:rsid w:val="00AD7C1B"/>
    <w:rsid w:val="00AE16BA"/>
    <w:rsid w:val="00AE1EBE"/>
    <w:rsid w:val="00AE6D8E"/>
    <w:rsid w:val="00AF37A0"/>
    <w:rsid w:val="00B03C9D"/>
    <w:rsid w:val="00B060AE"/>
    <w:rsid w:val="00B10517"/>
    <w:rsid w:val="00B14E76"/>
    <w:rsid w:val="00B161B8"/>
    <w:rsid w:val="00B2048C"/>
    <w:rsid w:val="00B310B9"/>
    <w:rsid w:val="00B35F3F"/>
    <w:rsid w:val="00B36CBB"/>
    <w:rsid w:val="00B425E0"/>
    <w:rsid w:val="00B438A9"/>
    <w:rsid w:val="00B440AA"/>
    <w:rsid w:val="00B44B70"/>
    <w:rsid w:val="00B53C56"/>
    <w:rsid w:val="00B57DAF"/>
    <w:rsid w:val="00B60F0E"/>
    <w:rsid w:val="00B636A8"/>
    <w:rsid w:val="00B77EA6"/>
    <w:rsid w:val="00B81598"/>
    <w:rsid w:val="00B841F1"/>
    <w:rsid w:val="00B944D6"/>
    <w:rsid w:val="00BB4DF0"/>
    <w:rsid w:val="00BB55DF"/>
    <w:rsid w:val="00BC289F"/>
    <w:rsid w:val="00BC2D50"/>
    <w:rsid w:val="00BC5361"/>
    <w:rsid w:val="00BC5460"/>
    <w:rsid w:val="00BC6B50"/>
    <w:rsid w:val="00BD0E25"/>
    <w:rsid w:val="00BE0833"/>
    <w:rsid w:val="00BF5BD6"/>
    <w:rsid w:val="00C03E31"/>
    <w:rsid w:val="00C065D4"/>
    <w:rsid w:val="00C268B0"/>
    <w:rsid w:val="00C30E69"/>
    <w:rsid w:val="00C33E72"/>
    <w:rsid w:val="00C354B2"/>
    <w:rsid w:val="00C35554"/>
    <w:rsid w:val="00C42709"/>
    <w:rsid w:val="00C533CC"/>
    <w:rsid w:val="00C5751C"/>
    <w:rsid w:val="00C61BFC"/>
    <w:rsid w:val="00C62B85"/>
    <w:rsid w:val="00C65438"/>
    <w:rsid w:val="00C85A6E"/>
    <w:rsid w:val="00C91CBB"/>
    <w:rsid w:val="00C95FC8"/>
    <w:rsid w:val="00CB4E70"/>
    <w:rsid w:val="00CC09B6"/>
    <w:rsid w:val="00CC666F"/>
    <w:rsid w:val="00CD1E3F"/>
    <w:rsid w:val="00CE2723"/>
    <w:rsid w:val="00CE44F6"/>
    <w:rsid w:val="00CE49DA"/>
    <w:rsid w:val="00CE7B61"/>
    <w:rsid w:val="00D00095"/>
    <w:rsid w:val="00D114F0"/>
    <w:rsid w:val="00D179F5"/>
    <w:rsid w:val="00D20620"/>
    <w:rsid w:val="00D2207C"/>
    <w:rsid w:val="00D254F7"/>
    <w:rsid w:val="00D26091"/>
    <w:rsid w:val="00D2685C"/>
    <w:rsid w:val="00D34E7C"/>
    <w:rsid w:val="00D35489"/>
    <w:rsid w:val="00D36AFE"/>
    <w:rsid w:val="00D51276"/>
    <w:rsid w:val="00D7035F"/>
    <w:rsid w:val="00D92C0F"/>
    <w:rsid w:val="00DA634F"/>
    <w:rsid w:val="00DA65AC"/>
    <w:rsid w:val="00DB1913"/>
    <w:rsid w:val="00DC410D"/>
    <w:rsid w:val="00DC5A81"/>
    <w:rsid w:val="00DC68CA"/>
    <w:rsid w:val="00DC7CBA"/>
    <w:rsid w:val="00DD73B7"/>
    <w:rsid w:val="00DE26BF"/>
    <w:rsid w:val="00DF28BC"/>
    <w:rsid w:val="00DF34B9"/>
    <w:rsid w:val="00DF7548"/>
    <w:rsid w:val="00E01053"/>
    <w:rsid w:val="00E07ACF"/>
    <w:rsid w:val="00E331A1"/>
    <w:rsid w:val="00E33202"/>
    <w:rsid w:val="00E336A9"/>
    <w:rsid w:val="00E418CC"/>
    <w:rsid w:val="00E472B1"/>
    <w:rsid w:val="00E50624"/>
    <w:rsid w:val="00E568DF"/>
    <w:rsid w:val="00E64269"/>
    <w:rsid w:val="00E66797"/>
    <w:rsid w:val="00E71CEA"/>
    <w:rsid w:val="00E74BE7"/>
    <w:rsid w:val="00E82267"/>
    <w:rsid w:val="00E853CE"/>
    <w:rsid w:val="00E867B6"/>
    <w:rsid w:val="00E87F08"/>
    <w:rsid w:val="00E91C5F"/>
    <w:rsid w:val="00E9774E"/>
    <w:rsid w:val="00EA010F"/>
    <w:rsid w:val="00EA53F4"/>
    <w:rsid w:val="00EB0082"/>
    <w:rsid w:val="00ED1B63"/>
    <w:rsid w:val="00ED3C1F"/>
    <w:rsid w:val="00ED4085"/>
    <w:rsid w:val="00ED420E"/>
    <w:rsid w:val="00ED6FBE"/>
    <w:rsid w:val="00EE2C39"/>
    <w:rsid w:val="00EE2F57"/>
    <w:rsid w:val="00EE60D5"/>
    <w:rsid w:val="00EF4C34"/>
    <w:rsid w:val="00EF77C6"/>
    <w:rsid w:val="00F05438"/>
    <w:rsid w:val="00F1361C"/>
    <w:rsid w:val="00F156F0"/>
    <w:rsid w:val="00F160C7"/>
    <w:rsid w:val="00F2408F"/>
    <w:rsid w:val="00F240E9"/>
    <w:rsid w:val="00F34C29"/>
    <w:rsid w:val="00F36D8F"/>
    <w:rsid w:val="00F4128E"/>
    <w:rsid w:val="00F417B1"/>
    <w:rsid w:val="00F45853"/>
    <w:rsid w:val="00F602DF"/>
    <w:rsid w:val="00F67F63"/>
    <w:rsid w:val="00F754A1"/>
    <w:rsid w:val="00F81FD9"/>
    <w:rsid w:val="00F841AA"/>
    <w:rsid w:val="00F84A94"/>
    <w:rsid w:val="00F87E96"/>
    <w:rsid w:val="00FA23E8"/>
    <w:rsid w:val="00FC6D22"/>
    <w:rsid w:val="00FD3CC1"/>
    <w:rsid w:val="00FF1E02"/>
    <w:rsid w:val="00FF30B4"/>
    <w:rsid w:val="00FF6E09"/>
    <w:rsid w:val="01F94E64"/>
    <w:rsid w:val="03323E33"/>
    <w:rsid w:val="035639B0"/>
    <w:rsid w:val="044520AB"/>
    <w:rsid w:val="04A629CE"/>
    <w:rsid w:val="04DA53C5"/>
    <w:rsid w:val="04FF0CB9"/>
    <w:rsid w:val="05424139"/>
    <w:rsid w:val="087D1679"/>
    <w:rsid w:val="0B8A02FC"/>
    <w:rsid w:val="0BBC3037"/>
    <w:rsid w:val="0D3D7C96"/>
    <w:rsid w:val="0D6B6FAC"/>
    <w:rsid w:val="0E6E678E"/>
    <w:rsid w:val="0ED615C6"/>
    <w:rsid w:val="0F900551"/>
    <w:rsid w:val="10341FC5"/>
    <w:rsid w:val="10C055FF"/>
    <w:rsid w:val="11123DDF"/>
    <w:rsid w:val="125C2627"/>
    <w:rsid w:val="13514998"/>
    <w:rsid w:val="13545771"/>
    <w:rsid w:val="13DC2BE8"/>
    <w:rsid w:val="14A142A8"/>
    <w:rsid w:val="15D90B3B"/>
    <w:rsid w:val="166A48DA"/>
    <w:rsid w:val="16BB723D"/>
    <w:rsid w:val="16C6702E"/>
    <w:rsid w:val="175673A0"/>
    <w:rsid w:val="185F323C"/>
    <w:rsid w:val="1944506A"/>
    <w:rsid w:val="1964132F"/>
    <w:rsid w:val="19D7758B"/>
    <w:rsid w:val="1A7B1124"/>
    <w:rsid w:val="1A886170"/>
    <w:rsid w:val="1D60794A"/>
    <w:rsid w:val="1FA7425D"/>
    <w:rsid w:val="211713B9"/>
    <w:rsid w:val="220750F6"/>
    <w:rsid w:val="237A6DD8"/>
    <w:rsid w:val="240371BF"/>
    <w:rsid w:val="24672323"/>
    <w:rsid w:val="269D1BE3"/>
    <w:rsid w:val="27A2097D"/>
    <w:rsid w:val="28722A91"/>
    <w:rsid w:val="28731C3A"/>
    <w:rsid w:val="28C30CE9"/>
    <w:rsid w:val="29FD04D3"/>
    <w:rsid w:val="2AFF1355"/>
    <w:rsid w:val="2B3758CC"/>
    <w:rsid w:val="314D6233"/>
    <w:rsid w:val="317D283C"/>
    <w:rsid w:val="319F7F4E"/>
    <w:rsid w:val="32592046"/>
    <w:rsid w:val="3422536C"/>
    <w:rsid w:val="361F713D"/>
    <w:rsid w:val="36A756A9"/>
    <w:rsid w:val="37FC0346"/>
    <w:rsid w:val="38A03BDD"/>
    <w:rsid w:val="38D57906"/>
    <w:rsid w:val="38F479AA"/>
    <w:rsid w:val="397E4056"/>
    <w:rsid w:val="39CE4738"/>
    <w:rsid w:val="3C507A8B"/>
    <w:rsid w:val="3D1B769A"/>
    <w:rsid w:val="3DDF369C"/>
    <w:rsid w:val="3DF44F2A"/>
    <w:rsid w:val="3E907C2F"/>
    <w:rsid w:val="3F013CA7"/>
    <w:rsid w:val="40617C23"/>
    <w:rsid w:val="40DC2D46"/>
    <w:rsid w:val="41315196"/>
    <w:rsid w:val="4266600C"/>
    <w:rsid w:val="42920001"/>
    <w:rsid w:val="43373C7F"/>
    <w:rsid w:val="4638642A"/>
    <w:rsid w:val="4724709D"/>
    <w:rsid w:val="47827860"/>
    <w:rsid w:val="479156E2"/>
    <w:rsid w:val="47F30A2E"/>
    <w:rsid w:val="4812324F"/>
    <w:rsid w:val="48E35832"/>
    <w:rsid w:val="495D296B"/>
    <w:rsid w:val="496132F5"/>
    <w:rsid w:val="4A704E76"/>
    <w:rsid w:val="4A7940A3"/>
    <w:rsid w:val="4ACA3D14"/>
    <w:rsid w:val="4B806C4C"/>
    <w:rsid w:val="4CA2434E"/>
    <w:rsid w:val="4D47653A"/>
    <w:rsid w:val="4D6828C7"/>
    <w:rsid w:val="4E5B0184"/>
    <w:rsid w:val="4ECE2238"/>
    <w:rsid w:val="4F356CFC"/>
    <w:rsid w:val="52A97B2F"/>
    <w:rsid w:val="54102CCD"/>
    <w:rsid w:val="547D4757"/>
    <w:rsid w:val="54F73831"/>
    <w:rsid w:val="55001CD4"/>
    <w:rsid w:val="57D33D9B"/>
    <w:rsid w:val="59142331"/>
    <w:rsid w:val="5A113973"/>
    <w:rsid w:val="5A4B2D78"/>
    <w:rsid w:val="5B9A0EEA"/>
    <w:rsid w:val="5BC620E0"/>
    <w:rsid w:val="5BDD26E6"/>
    <w:rsid w:val="5E6418EB"/>
    <w:rsid w:val="62426FE4"/>
    <w:rsid w:val="62BC26A9"/>
    <w:rsid w:val="63D85771"/>
    <w:rsid w:val="64F84BC3"/>
    <w:rsid w:val="6569254B"/>
    <w:rsid w:val="65C36960"/>
    <w:rsid w:val="67AB464A"/>
    <w:rsid w:val="6A28157E"/>
    <w:rsid w:val="6B9C0376"/>
    <w:rsid w:val="6BB86514"/>
    <w:rsid w:val="6BD43C13"/>
    <w:rsid w:val="6D6E5CF6"/>
    <w:rsid w:val="6DFC63C0"/>
    <w:rsid w:val="6E2F5314"/>
    <w:rsid w:val="6F3A5B02"/>
    <w:rsid w:val="6F6B534D"/>
    <w:rsid w:val="70344159"/>
    <w:rsid w:val="71670B51"/>
    <w:rsid w:val="72734D90"/>
    <w:rsid w:val="73C148C6"/>
    <w:rsid w:val="74894A36"/>
    <w:rsid w:val="75015653"/>
    <w:rsid w:val="75030B71"/>
    <w:rsid w:val="77E06B00"/>
    <w:rsid w:val="78353CA3"/>
    <w:rsid w:val="799D0F26"/>
    <w:rsid w:val="7B102EEB"/>
    <w:rsid w:val="7BD102B8"/>
    <w:rsid w:val="7C411351"/>
    <w:rsid w:val="7C964E3B"/>
    <w:rsid w:val="7D55368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qFormat/>
    <w:uiPriority w:val="0"/>
    <w:pPr>
      <w:spacing w:after="120"/>
      <w:ind w:leftChars="200"/>
    </w:pPr>
    <w:rPr>
      <w:rFonts w:ascii="仿宋_GB2312"/>
      <w:szCs w:val="32"/>
    </w:r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2"/>
    <w:semiHidden/>
    <w:unhideWhenUsed/>
    <w:qFormat/>
    <w:uiPriority w:val="99"/>
    <w:rPr>
      <w:sz w:val="18"/>
      <w:szCs w:val="18"/>
    </w:rPr>
  </w:style>
  <w:style w:type="paragraph" w:styleId="10">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toc 2"/>
    <w:basedOn w:val="1"/>
    <w:next w:val="1"/>
    <w:unhideWhenUsed/>
    <w:qFormat/>
    <w:uiPriority w:val="39"/>
    <w:pPr>
      <w:tabs>
        <w:tab w:val="right" w:leader="dot" w:pos="8296"/>
      </w:tabs>
      <w:ind w:left="420" w:leftChars="200"/>
    </w:pPr>
  </w:style>
  <w:style w:type="paragraph" w:styleId="14">
    <w:name w:val="Normal (Web)"/>
    <w:basedOn w:val="1"/>
    <w:qFormat/>
    <w:uiPriority w:val="99"/>
    <w:pPr>
      <w:spacing w:beforeAutospacing="1" w:afterAutospacing="1"/>
      <w:jc w:val="left"/>
    </w:pPr>
    <w:rPr>
      <w:kern w:val="0"/>
      <w:sz w:val="24"/>
    </w:rPr>
  </w:style>
  <w:style w:type="paragraph" w:styleId="15">
    <w:name w:val="Body Text First Indent 2"/>
    <w:basedOn w:val="7"/>
    <w:unhideWhenUsed/>
    <w:qFormat/>
    <w:uiPriority w:val="99"/>
    <w:pPr>
      <w:ind w:firstLine="420" w:firstLineChars="200"/>
    </w:pPr>
  </w:style>
  <w:style w:type="table" w:styleId="17">
    <w:name w:val="Table Grid"/>
    <w:basedOn w:val="1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character" w:customStyle="1" w:styleId="21">
    <w:name w:val="Header Char"/>
    <w:basedOn w:val="18"/>
    <w:semiHidden/>
    <w:qFormat/>
    <w:uiPriority w:val="99"/>
    <w:rPr>
      <w:rFonts w:ascii="Times New Roman" w:hAnsi="Times New Roman"/>
      <w:sz w:val="18"/>
      <w:szCs w:val="18"/>
    </w:rPr>
  </w:style>
  <w:style w:type="character" w:customStyle="1" w:styleId="22">
    <w:name w:val="页眉 Char"/>
    <w:link w:val="11"/>
    <w:semiHidden/>
    <w:qFormat/>
    <w:locked/>
    <w:uiPriority w:val="99"/>
    <w:rPr>
      <w:sz w:val="18"/>
    </w:rPr>
  </w:style>
  <w:style w:type="character" w:customStyle="1" w:styleId="23">
    <w:name w:val="Footer Char"/>
    <w:basedOn w:val="18"/>
    <w:semiHidden/>
    <w:qFormat/>
    <w:uiPriority w:val="99"/>
    <w:rPr>
      <w:rFonts w:ascii="Times New Roman" w:hAnsi="Times New Roman"/>
      <w:sz w:val="18"/>
      <w:szCs w:val="18"/>
    </w:rPr>
  </w:style>
  <w:style w:type="character" w:customStyle="1" w:styleId="24">
    <w:name w:val="页脚 Char"/>
    <w:link w:val="10"/>
    <w:qFormat/>
    <w:locked/>
    <w:uiPriority w:val="99"/>
    <w:rPr>
      <w:sz w:val="18"/>
    </w:rPr>
  </w:style>
  <w:style w:type="character" w:customStyle="1" w:styleId="25">
    <w:name w:val="Body Text Char"/>
    <w:basedOn w:val="18"/>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8"/>
    <w:link w:val="3"/>
    <w:qFormat/>
    <w:uiPriority w:val="9"/>
    <w:rPr>
      <w:rFonts w:ascii="Times New Roman" w:hAnsi="Times New Roman"/>
      <w:b/>
      <w:bCs/>
      <w:kern w:val="44"/>
      <w:sz w:val="44"/>
      <w:szCs w:val="44"/>
    </w:rPr>
  </w:style>
  <w:style w:type="character" w:customStyle="1" w:styleId="30">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8"/>
    <w:link w:val="9"/>
    <w:semiHidden/>
    <w:qFormat/>
    <w:uiPriority w:val="99"/>
    <w:rPr>
      <w:rFonts w:ascii="Times New Roman" w:hAnsi="Times New Roman"/>
      <w:kern w:val="2"/>
      <w:sz w:val="18"/>
      <w:szCs w:val="18"/>
    </w:rPr>
  </w:style>
  <w:style w:type="character" w:customStyle="1" w:styleId="33">
    <w:name w:val="标题 3 Char"/>
    <w:basedOn w:val="18"/>
    <w:link w:val="5"/>
    <w:qFormat/>
    <w:uiPriority w:val="9"/>
    <w:rPr>
      <w:rFonts w:ascii="Times New Roman" w:hAnsi="Times New Roman"/>
      <w:b/>
      <w:bCs/>
      <w:kern w:val="2"/>
      <w:sz w:val="32"/>
      <w:szCs w:val="32"/>
    </w:rPr>
  </w:style>
  <w:style w:type="paragraph" w:customStyle="1" w:styleId="34">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List Paragraph1"/>
    <w:basedOn w:val="1"/>
    <w:qFormat/>
    <w:uiPriority w:val="0"/>
    <w:pPr>
      <w:ind w:firstLine="420" w:firstLineChars="200"/>
    </w:p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收、支决算总计变动情况图</a:t>
            </a:r>
          </a:p>
        </c:rich>
      </c:tx>
      <c:layout>
        <c:manualLayout>
          <c:xMode val="edge"/>
          <c:yMode val="edge"/>
          <c:x val="0.27024484487201"/>
          <c:y val="0.0509000017944093"/>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delete val="1"/>
          </c:dLbls>
          <c:cat>
            <c:strRef>
              <c:f>Sheet1!$A$2:$A$3</c:f>
              <c:strCache>
                <c:ptCount val="2"/>
                <c:pt idx="0">
                  <c:v>收入总计</c:v>
                </c:pt>
                <c:pt idx="1">
                  <c:v>支出总计</c:v>
                </c:pt>
              </c:strCache>
            </c:strRef>
          </c:cat>
          <c:val>
            <c:numRef>
              <c:f>Sheet1!$B$2:$B$3</c:f>
              <c:numCache>
                <c:formatCode>General</c:formatCode>
                <c:ptCount val="2"/>
                <c:pt idx="0">
                  <c:v>436.42</c:v>
                </c:pt>
                <c:pt idx="1">
                  <c:v>436.37</c:v>
                </c:pt>
              </c:numCache>
            </c:numRef>
          </c:val>
        </c:ser>
        <c:ser>
          <c:idx val="1"/>
          <c:order val="1"/>
          <c:tx>
            <c:strRef>
              <c:f>Sheet1!$C$1</c:f>
              <c:strCache>
                <c:ptCount val="1"/>
                <c:pt idx="0">
                  <c:v>2025年</c:v>
                </c:pt>
              </c:strCache>
            </c:strRef>
          </c:tx>
          <c:spPr>
            <a:solidFill>
              <a:schemeClr val="accent2"/>
            </a:solidFill>
            <a:ln>
              <a:noFill/>
            </a:ln>
            <a:effectLst/>
          </c:spPr>
          <c:invertIfNegative val="0"/>
          <c:dLbls>
            <c:delete val="1"/>
          </c:dLbls>
          <c:cat>
            <c:strRef>
              <c:f>Sheet1!$A$2:$A$3</c:f>
              <c:strCache>
                <c:ptCount val="2"/>
                <c:pt idx="0">
                  <c:v>收入总计</c:v>
                </c:pt>
                <c:pt idx="1">
                  <c:v>支出总计</c:v>
                </c:pt>
              </c:strCache>
            </c:strRef>
          </c:cat>
          <c:val>
            <c:numRef>
              <c:f>Sheet1!$C$2:$C$3</c:f>
              <c:numCache>
                <c:formatCode>General</c:formatCode>
                <c:ptCount val="2"/>
                <c:pt idx="0">
                  <c:v>478.12</c:v>
                </c:pt>
                <c:pt idx="1">
                  <c:v>467.07</c:v>
                </c:pt>
              </c:numCache>
            </c:numRef>
          </c:val>
        </c:ser>
        <c:dLbls>
          <c:showLegendKey val="0"/>
          <c:showVal val="0"/>
          <c:showCatName val="0"/>
          <c:showSerName val="0"/>
          <c:showPercent val="0"/>
          <c:showBubbleSize val="0"/>
        </c:dLbls>
        <c:gapWidth val="219"/>
        <c:overlap val="-27"/>
        <c:axId val="115796608"/>
        <c:axId val="116920704"/>
      </c:barChart>
      <c:catAx>
        <c:axId val="11579660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6920704"/>
        <c:crosses val="autoZero"/>
        <c:auto val="1"/>
        <c:lblAlgn val="ctr"/>
        <c:lblOffset val="100"/>
        <c:noMultiLvlLbl val="0"/>
      </c:catAx>
      <c:valAx>
        <c:axId val="1169207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579660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f835237-5cc4-41bb-a5e1-d3c83d4b2af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343206647176489"/>
          <c:y val="0.0567375886524823"/>
        </c:manualLayout>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收入决算结构图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elete val="1"/>
          </c:dLbls>
          <c:cat>
            <c:strRef>
              <c:f>Sheet1!$A$2:$A$4</c:f>
              <c:strCache>
                <c:ptCount val="3"/>
                <c:pt idx="0">
                  <c:v>一般公共预算财政拨款收入</c:v>
                </c:pt>
                <c:pt idx="1">
                  <c:v>年初结转和结余</c:v>
                </c:pt>
                <c:pt idx="2">
                  <c:v>其他收入</c:v>
                </c:pt>
              </c:strCache>
            </c:strRef>
          </c:cat>
          <c:val>
            <c:numRef>
              <c:f>Sheet1!$B$2:$B$4</c:f>
              <c:numCache>
                <c:formatCode>General</c:formatCode>
                <c:ptCount val="3"/>
                <c:pt idx="0">
                  <c:v>467.07</c:v>
                </c:pt>
                <c:pt idx="1">
                  <c:v>0.05</c:v>
                </c:pt>
                <c:pt idx="2">
                  <c:v>11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763569ed-10d5-403c-b16a-c9e5e746619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支出决算结构图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elete val="1"/>
          </c:dLbls>
          <c:cat>
            <c:strRef>
              <c:f>Sheet1!$A$2:$A$3</c:f>
              <c:strCache>
                <c:ptCount val="2"/>
                <c:pt idx="0">
                  <c:v>基本支出</c:v>
                </c:pt>
                <c:pt idx="1">
                  <c:v>项目支出</c:v>
                </c:pt>
              </c:strCache>
            </c:strRef>
          </c:cat>
          <c:val>
            <c:numRef>
              <c:f>Sheet1!$B$2:$B$3</c:f>
              <c:numCache>
                <c:formatCode>General</c:formatCode>
                <c:ptCount val="2"/>
                <c:pt idx="0">
                  <c:v>396.57</c:v>
                </c:pt>
                <c:pt idx="1">
                  <c:v>70.5</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c63b8a4-4877-46b3-88b0-50760542dc4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收、支决算总计变动情况图</a:t>
            </a:r>
          </a:p>
        </c:rich>
      </c:tx>
      <c:layout>
        <c:manualLayout>
          <c:xMode val="edge"/>
          <c:yMode val="edge"/>
          <c:x val="0.27024484487201"/>
          <c:y val="0.0509000017944093"/>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delete val="1"/>
          </c:dLbls>
          <c:cat>
            <c:strRef>
              <c:f>Sheet1!$A$2</c:f>
              <c:strCache>
                <c:ptCount val="1"/>
                <c:pt idx="0">
                  <c:v>收、支总计</c:v>
                </c:pt>
              </c:strCache>
            </c:strRef>
          </c:cat>
          <c:val>
            <c:numRef>
              <c:f>Sheet1!$B$2</c:f>
              <c:numCache>
                <c:formatCode>General</c:formatCode>
                <c:ptCount val="1"/>
                <c:pt idx="0">
                  <c:v>425.95</c:v>
                </c:pt>
              </c:numCache>
            </c:numRef>
          </c:val>
        </c:ser>
        <c:ser>
          <c:idx val="1"/>
          <c:order val="1"/>
          <c:tx>
            <c:strRef>
              <c:f>Sheet1!$C$1</c:f>
              <c:strCache>
                <c:ptCount val="1"/>
                <c:pt idx="0">
                  <c:v>2025年</c:v>
                </c:pt>
              </c:strCache>
            </c:strRef>
          </c:tx>
          <c:spPr>
            <a:solidFill>
              <a:schemeClr val="accent2"/>
            </a:solidFill>
            <a:ln>
              <a:noFill/>
            </a:ln>
            <a:effectLst/>
          </c:spPr>
          <c:invertIfNegative val="0"/>
          <c:dLbls>
            <c:delete val="1"/>
          </c:dLbls>
          <c:cat>
            <c:strRef>
              <c:f>Sheet1!$A$2</c:f>
              <c:strCache>
                <c:ptCount val="1"/>
                <c:pt idx="0">
                  <c:v>收、支总计</c:v>
                </c:pt>
              </c:strCache>
            </c:strRef>
          </c:cat>
          <c:val>
            <c:numRef>
              <c:f>Sheet1!$C$2</c:f>
              <c:numCache>
                <c:formatCode>General</c:formatCode>
                <c:ptCount val="1"/>
                <c:pt idx="0">
                  <c:v>467.07</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c:f>
              <c:strCache>
                <c:ptCount val="1"/>
                <c:pt idx="0">
                  <c:v>收、支总计</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19"/>
        <c:overlap val="-27"/>
        <c:axId val="59452800"/>
        <c:axId val="59483264"/>
      </c:barChart>
      <c:catAx>
        <c:axId val="5945280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483264"/>
        <c:crosses val="autoZero"/>
        <c:auto val="1"/>
        <c:lblAlgn val="ctr"/>
        <c:lblOffset val="100"/>
        <c:noMultiLvlLbl val="0"/>
      </c:catAx>
      <c:valAx>
        <c:axId val="594832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452800"/>
        <c:crosses val="autoZero"/>
        <c:crossBetween val="between"/>
      </c:valAx>
      <c:spPr>
        <a:noFill/>
        <a:ln>
          <a:noFill/>
        </a:ln>
        <a:effectLst/>
      </c:spPr>
    </c:plotArea>
    <c:legend>
      <c:legendPos val="b"/>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5a64537-23cf-4750-91af-1eb72761139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收、支决算总计变动情况图</a:t>
            </a:r>
          </a:p>
        </c:rich>
      </c:tx>
      <c:layout>
        <c:manualLayout>
          <c:xMode val="edge"/>
          <c:yMode val="edge"/>
          <c:x val="0.27024484487201"/>
          <c:y val="0.0509000017944093"/>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delete val="1"/>
          </c:dLbls>
          <c:cat>
            <c:strRef>
              <c:f>Sheet1!$A$2</c:f>
              <c:strCache>
                <c:ptCount val="1"/>
                <c:pt idx="0">
                  <c:v>收、支总计</c:v>
                </c:pt>
              </c:strCache>
            </c:strRef>
          </c:cat>
          <c:val>
            <c:numRef>
              <c:f>Sheet1!$B$2</c:f>
              <c:numCache>
                <c:formatCode>General</c:formatCode>
                <c:ptCount val="1"/>
                <c:pt idx="0">
                  <c:v>425.95</c:v>
                </c:pt>
              </c:numCache>
            </c:numRef>
          </c:val>
        </c:ser>
        <c:ser>
          <c:idx val="1"/>
          <c:order val="1"/>
          <c:tx>
            <c:strRef>
              <c:f>Sheet1!$C$1</c:f>
              <c:strCache>
                <c:ptCount val="1"/>
                <c:pt idx="0">
                  <c:v>2025年</c:v>
                </c:pt>
              </c:strCache>
            </c:strRef>
          </c:tx>
          <c:spPr>
            <a:solidFill>
              <a:schemeClr val="accent2"/>
            </a:solidFill>
            <a:ln>
              <a:noFill/>
            </a:ln>
            <a:effectLst/>
          </c:spPr>
          <c:invertIfNegative val="0"/>
          <c:dLbls>
            <c:delete val="1"/>
          </c:dLbls>
          <c:cat>
            <c:strRef>
              <c:f>Sheet1!$A$2</c:f>
              <c:strCache>
                <c:ptCount val="1"/>
                <c:pt idx="0">
                  <c:v>收、支总计</c:v>
                </c:pt>
              </c:strCache>
            </c:strRef>
          </c:cat>
          <c:val>
            <c:numRef>
              <c:f>Sheet1!$C$2</c:f>
              <c:numCache>
                <c:formatCode>General</c:formatCode>
                <c:ptCount val="1"/>
                <c:pt idx="0">
                  <c:v>467.07</c:v>
                </c:pt>
              </c:numCache>
            </c:numRef>
          </c:val>
        </c:ser>
        <c:dLbls>
          <c:showLegendKey val="0"/>
          <c:showVal val="0"/>
          <c:showCatName val="0"/>
          <c:showSerName val="0"/>
          <c:showPercent val="0"/>
          <c:showBubbleSize val="0"/>
        </c:dLbls>
        <c:gapWidth val="219"/>
        <c:overlap val="-27"/>
        <c:axId val="61040896"/>
        <c:axId val="61054976"/>
      </c:barChart>
      <c:catAx>
        <c:axId val="6104089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054976"/>
        <c:crosses val="autoZero"/>
        <c:auto val="1"/>
        <c:lblAlgn val="ctr"/>
        <c:lblOffset val="100"/>
        <c:noMultiLvlLbl val="0"/>
      </c:catAx>
      <c:valAx>
        <c:axId val="610549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04089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e8a0a42-646e-473a-a7b5-c66d2f1aef6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支出决算结构图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elete val="1"/>
          </c:dLbls>
          <c:cat>
            <c:strRef>
              <c:f>Sheet1!$A$2:$A$5</c:f>
              <c:strCache>
                <c:ptCount val="4"/>
                <c:pt idx="0">
                  <c:v>一般公共预算财政拨款</c:v>
                </c:pt>
                <c:pt idx="1">
                  <c:v>社会保障和就业</c:v>
                </c:pt>
                <c:pt idx="2">
                  <c:v>卫生健康</c:v>
                </c:pt>
                <c:pt idx="3">
                  <c:v>住房保障</c:v>
                </c:pt>
              </c:strCache>
            </c:strRef>
          </c:cat>
          <c:val>
            <c:numRef>
              <c:f>Sheet1!$B$2:$B$5</c:f>
              <c:numCache>
                <c:formatCode>General</c:formatCode>
                <c:ptCount val="4"/>
                <c:pt idx="0">
                  <c:v>373.09</c:v>
                </c:pt>
                <c:pt idx="1">
                  <c:v>47.6</c:v>
                </c:pt>
                <c:pt idx="2">
                  <c:v>19.82</c:v>
                </c:pt>
                <c:pt idx="3">
                  <c:v>26.56</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ce841df-6838-4963-aac1-a558ec5f816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2333AB-5386-411F-B8E6-64FBC72F7BCD}">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23</Pages>
  <Words>8080</Words>
  <Characters>8765</Characters>
  <Lines>1</Lines>
  <Paragraphs>1</Paragraphs>
  <TotalTime>2</TotalTime>
  <ScaleCrop>false</ScaleCrop>
  <LinksUpToDate>false</LinksUpToDate>
  <CharactersWithSpaces>8805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2020-08-04T01:49:00Z</dcterms:created>
  <dc:creator>曹颖</dc:creator>
  <cp:lastModifiedBy>SpeXial-特琴</cp:lastModifiedBy>
  <cp:lastPrinted>2026-10-14T03:19:00Z</cp:lastPrinted>
  <dcterms:modified xsi:type="dcterms:W3CDTF">2026-10-14T08:23:09Z</dcterms:modified>
  <dc:title>四川省***</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F6D4BF8C864340CEAC528ED7D28C9C08_13</vt:lpwstr>
  </property>
  <property fmtid="{D5CDD505-2E9C-101B-9397-08002B2CF9AE}" pid="4" name="KSOTemplateDocerSaveRecord">
    <vt:lpwstr>eyJoZGlkIjoiNjllZGYyNWVjMDRhZWQ5ZjA5MjRkMDhjMTVkMTIwNDgiLCJ1c2VySWQiOiIzMTE0NDY3NjAifQ==</vt:lpwstr>
  </property>
</Properties>
</file>