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C0121">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bookmarkStart w:id="0" w:name="_Toc15306267"/>
    </w:p>
    <w:p w14:paraId="718606E4">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50E21C6E">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148EE6ED">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bookmarkStart w:id="1" w:name="_Toc15377425"/>
      <w:bookmarkStart w:id="2" w:name="_Toc15377193"/>
      <w:bookmarkStart w:id="3" w:name="_Toc15378441"/>
      <w:bookmarkStart w:id="4" w:name="_Toc15396597"/>
      <w:bookmarkStart w:id="5" w:name="_Toc15396475"/>
      <w:r>
        <w:rPr>
          <w:rFonts w:hint="eastAsia" w:ascii="方正小标宋简体" w:hAnsi="方正小标宋简体" w:eastAsia="方正小标宋简体" w:cs="方正小标宋简体"/>
          <w:sz w:val="52"/>
          <w:szCs w:val="52"/>
          <w:lang w:eastAsia="zh-CN"/>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lang w:eastAsia="zh-CN"/>
        </w:rPr>
        <w:t>年</w:t>
      </w:r>
      <w:r>
        <w:rPr>
          <w:rFonts w:hint="eastAsia" w:ascii="方正小标宋简体" w:hAnsi="方正小标宋简体" w:eastAsia="方正小标宋简体" w:cs="方正小标宋简体"/>
          <w:sz w:val="52"/>
          <w:szCs w:val="52"/>
        </w:rPr>
        <w:t>度</w:t>
      </w:r>
      <w:bookmarkEnd w:id="1"/>
      <w:bookmarkEnd w:id="2"/>
      <w:bookmarkEnd w:id="3"/>
      <w:bookmarkEnd w:id="4"/>
      <w:bookmarkEnd w:id="5"/>
      <w:bookmarkStart w:id="6" w:name="_Toc15378442"/>
      <w:bookmarkStart w:id="7" w:name="_Toc15377194"/>
      <w:bookmarkStart w:id="8" w:name="_Toc15396598"/>
      <w:bookmarkStart w:id="9" w:name="_Toc15396476"/>
      <w:bookmarkStart w:id="10" w:name="_Toc15377426"/>
      <w:r>
        <w:rPr>
          <w:rFonts w:hint="eastAsia" w:ascii="方正小标宋简体" w:hAnsi="方正小标宋简体" w:eastAsia="方正小标宋简体" w:cs="方正小标宋简体"/>
          <w:sz w:val="52"/>
          <w:szCs w:val="52"/>
        </w:rPr>
        <w:t>四川省阿坝州</w:t>
      </w:r>
      <w:bookmarkEnd w:id="0"/>
      <w:bookmarkStart w:id="11" w:name="_Toc15306268"/>
    </w:p>
    <w:p w14:paraId="20C96DCE">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小金县</w:t>
      </w:r>
      <w:r>
        <w:rPr>
          <w:rFonts w:hint="eastAsia" w:ascii="方正小标宋简体" w:hAnsi="方正小标宋简体" w:eastAsia="方正小标宋简体" w:cs="方正小标宋简体"/>
          <w:b w:val="0"/>
          <w:bCs w:val="0"/>
          <w:sz w:val="52"/>
          <w:szCs w:val="52"/>
          <w:lang w:eastAsia="zh-CN"/>
        </w:rPr>
        <w:t>妇女</w:t>
      </w:r>
      <w:r>
        <w:rPr>
          <w:rFonts w:hint="eastAsia" w:ascii="方正小标宋简体" w:hAnsi="方正小标宋简体" w:eastAsia="方正小标宋简体" w:cs="方正小标宋简体"/>
          <w:sz w:val="52"/>
          <w:szCs w:val="52"/>
          <w:lang w:eastAsia="zh-CN"/>
        </w:rPr>
        <w:t>儿童工作中心</w:t>
      </w:r>
      <w:r>
        <w:rPr>
          <w:rFonts w:hint="eastAsia" w:ascii="方正小标宋简体" w:hAnsi="方正小标宋简体" w:eastAsia="方正小标宋简体" w:cs="方正小标宋简体"/>
          <w:sz w:val="52"/>
          <w:szCs w:val="52"/>
        </w:rPr>
        <w:t>部门决算</w:t>
      </w:r>
      <w:bookmarkEnd w:id="6"/>
      <w:bookmarkEnd w:id="7"/>
      <w:bookmarkEnd w:id="8"/>
      <w:bookmarkEnd w:id="9"/>
      <w:bookmarkEnd w:id="10"/>
      <w:bookmarkEnd w:id="11"/>
    </w:p>
    <w:p w14:paraId="04516E23">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简体" w:eastAsia="方正小标宋简体"/>
          <w:color w:val="000000"/>
          <w:sz w:val="36"/>
          <w:szCs w:val="36"/>
        </w:rPr>
      </w:pPr>
    </w:p>
    <w:p w14:paraId="3DD57749">
      <w:pPr>
        <w:pageBreakBefore w:val="0"/>
        <w:kinsoku/>
        <w:wordWrap/>
        <w:overflowPunct/>
        <w:topLinePunct w:val="0"/>
        <w:bidi w:val="0"/>
        <w:spacing w:line="576" w:lineRule="exact"/>
        <w:rPr>
          <w:rFonts w:ascii="方正小标宋简体" w:eastAsia="方正小标宋简体"/>
          <w:sz w:val="36"/>
          <w:szCs w:val="36"/>
        </w:rPr>
      </w:pPr>
    </w:p>
    <w:p w14:paraId="5C17080D">
      <w:pPr>
        <w:pageBreakBefore w:val="0"/>
        <w:kinsoku/>
        <w:wordWrap/>
        <w:overflowPunct/>
        <w:topLinePunct w:val="0"/>
        <w:bidi w:val="0"/>
        <w:spacing w:line="576" w:lineRule="exact"/>
        <w:rPr>
          <w:rFonts w:ascii="方正小标宋简体" w:eastAsia="方正小标宋简体"/>
          <w:sz w:val="36"/>
          <w:szCs w:val="36"/>
        </w:rPr>
      </w:pPr>
    </w:p>
    <w:p w14:paraId="2A69B4C8">
      <w:pPr>
        <w:pageBreakBefore w:val="0"/>
        <w:kinsoku/>
        <w:wordWrap/>
        <w:overflowPunct/>
        <w:topLinePunct w:val="0"/>
        <w:bidi w:val="0"/>
        <w:spacing w:line="576" w:lineRule="exact"/>
        <w:rPr>
          <w:rFonts w:ascii="方正小标宋简体" w:eastAsia="方正小标宋简体"/>
          <w:sz w:val="36"/>
          <w:szCs w:val="36"/>
        </w:rPr>
      </w:pPr>
    </w:p>
    <w:p w14:paraId="046C5631">
      <w:pPr>
        <w:pageBreakBefore w:val="0"/>
        <w:kinsoku/>
        <w:wordWrap/>
        <w:overflowPunct/>
        <w:topLinePunct w:val="0"/>
        <w:bidi w:val="0"/>
        <w:spacing w:line="576" w:lineRule="exact"/>
        <w:rPr>
          <w:rFonts w:ascii="方正小标宋简体" w:eastAsia="方正小标宋简体"/>
          <w:sz w:val="36"/>
          <w:szCs w:val="36"/>
        </w:rPr>
      </w:pPr>
    </w:p>
    <w:p w14:paraId="0C3D3197">
      <w:pPr>
        <w:pageBreakBefore w:val="0"/>
        <w:kinsoku/>
        <w:wordWrap/>
        <w:overflowPunct/>
        <w:topLinePunct w:val="0"/>
        <w:bidi w:val="0"/>
        <w:spacing w:line="576" w:lineRule="exact"/>
        <w:rPr>
          <w:rFonts w:ascii="方正小标宋简体" w:eastAsia="方正小标宋简体"/>
          <w:sz w:val="36"/>
          <w:szCs w:val="36"/>
        </w:rPr>
      </w:pPr>
    </w:p>
    <w:p w14:paraId="00F44ABE">
      <w:pPr>
        <w:pageBreakBefore w:val="0"/>
        <w:kinsoku/>
        <w:wordWrap/>
        <w:overflowPunct/>
        <w:topLinePunct w:val="0"/>
        <w:bidi w:val="0"/>
        <w:spacing w:line="576" w:lineRule="exact"/>
        <w:rPr>
          <w:rFonts w:ascii="方正小标宋简体" w:eastAsia="方正小标宋简体"/>
          <w:sz w:val="36"/>
          <w:szCs w:val="36"/>
        </w:rPr>
      </w:pPr>
    </w:p>
    <w:p w14:paraId="30C36297">
      <w:pPr>
        <w:pageBreakBefore w:val="0"/>
        <w:kinsoku/>
        <w:wordWrap/>
        <w:overflowPunct/>
        <w:topLinePunct w:val="0"/>
        <w:bidi w:val="0"/>
        <w:spacing w:line="576" w:lineRule="exact"/>
        <w:rPr>
          <w:rFonts w:ascii="方正小标宋简体" w:eastAsia="方正小标宋简体"/>
          <w:sz w:val="36"/>
          <w:szCs w:val="36"/>
        </w:rPr>
      </w:pPr>
    </w:p>
    <w:p w14:paraId="012B4A16">
      <w:pPr>
        <w:pageBreakBefore w:val="0"/>
        <w:kinsoku/>
        <w:wordWrap/>
        <w:overflowPunct/>
        <w:topLinePunct w:val="0"/>
        <w:bidi w:val="0"/>
        <w:spacing w:line="576" w:lineRule="exact"/>
        <w:rPr>
          <w:rFonts w:ascii="方正小标宋简体" w:eastAsia="方正小标宋简体"/>
          <w:sz w:val="36"/>
          <w:szCs w:val="36"/>
        </w:rPr>
      </w:pPr>
    </w:p>
    <w:p w14:paraId="08AE804A">
      <w:pPr>
        <w:pageBreakBefore w:val="0"/>
        <w:kinsoku/>
        <w:wordWrap/>
        <w:overflowPunct/>
        <w:topLinePunct w:val="0"/>
        <w:bidi w:val="0"/>
        <w:spacing w:line="576" w:lineRule="exact"/>
        <w:rPr>
          <w:rFonts w:ascii="方正小标宋简体" w:eastAsia="方正小标宋简体"/>
          <w:sz w:val="36"/>
          <w:szCs w:val="36"/>
        </w:rPr>
      </w:pPr>
    </w:p>
    <w:p w14:paraId="5A0E8CB1">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14:paraId="00BBF551">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部门主要负责人审签情况：已审签，同意对外公开</w:t>
      </w:r>
    </w:p>
    <w:p w14:paraId="6F3F426F">
      <w:pPr>
        <w:pageBreakBefore w:val="0"/>
        <w:widowControl/>
        <w:kinsoku/>
        <w:wordWrap/>
        <w:overflowPunct/>
        <w:topLinePunct w:val="0"/>
        <w:bidi w:val="0"/>
        <w:spacing w:line="576" w:lineRule="exact"/>
        <w:jc w:val="center"/>
        <w:rPr>
          <w:rFonts w:hint="eastAsia" w:ascii="仿宋_GB2312" w:hAnsi="仿宋_GB2312" w:eastAsia="仿宋_GB2312" w:cs="仿宋_GB2312"/>
          <w:color w:val="000000"/>
          <w:sz w:val="36"/>
          <w:szCs w:val="36"/>
        </w:rPr>
      </w:pPr>
    </w:p>
    <w:p w14:paraId="509EFD94">
      <w:pPr>
        <w:widowControl/>
        <w:jc w:val="center"/>
        <w:rPr>
          <w:rFonts w:ascii="黑体" w:hAnsi="黑体" w:eastAsia="黑体"/>
          <w:color w:val="000000"/>
          <w:sz w:val="48"/>
          <w:szCs w:val="48"/>
        </w:rPr>
      </w:pPr>
      <w:r>
        <w:rPr>
          <w:rFonts w:ascii="方正小标宋简体" w:eastAsia="方正小标宋简体"/>
          <w:sz w:val="36"/>
          <w:szCs w:val="36"/>
        </w:rPr>
        <w:br w:type="page"/>
      </w:r>
      <w:bookmarkStart w:id="12" w:name="_Toc15377196"/>
      <w:bookmarkStart w:id="13" w:name="_Toc15396599"/>
      <w:r>
        <w:rPr>
          <w:rFonts w:hint="eastAsia" w:ascii="黑体" w:hAnsi="黑体" w:eastAsia="黑体"/>
          <w:color w:val="000000"/>
          <w:sz w:val="48"/>
          <w:szCs w:val="48"/>
        </w:rPr>
        <w:t>目录</w:t>
      </w:r>
    </w:p>
    <w:p w14:paraId="2640409E">
      <w:pPr>
        <w:pStyle w:val="13"/>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16</w:t>
      </w:r>
      <w:r>
        <w:rPr>
          <w:rFonts w:hint="eastAsia" w:hAnsiTheme="minorHAnsi"/>
          <w:b w:val="0"/>
          <w:bCs w:val="0"/>
          <w:sz w:val="24"/>
          <w:szCs w:val="24"/>
        </w:rPr>
        <w:t>日</w:t>
      </w:r>
    </w:p>
    <w:p w14:paraId="13AC6D1D">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i w:val="0"/>
          <w:iCs w:val="0"/>
        </w:rPr>
        <w:t xml:space="preserve">第一部分 </w:t>
      </w:r>
      <w:r>
        <w:rPr>
          <w:rFonts w:ascii="黑体" w:hAnsi="黑体" w:eastAsia="黑体"/>
          <w:b w:val="0"/>
          <w:bCs w:val="0"/>
          <w:i w:val="0"/>
          <w:iCs w:val="0"/>
        </w:rPr>
        <w:t>部门概况</w:t>
      </w:r>
      <w:r>
        <w:rPr>
          <w:i w:val="0"/>
          <w:iCs w:val="0"/>
        </w:rPr>
        <w:tab/>
      </w:r>
      <w:r>
        <w:rPr>
          <w:rFonts w:hint="eastAsia"/>
          <w:i w:val="0"/>
          <w:iCs w:val="0"/>
          <w:lang w:val="en-US" w:eastAsia="zh-CN"/>
        </w:rPr>
        <w:t>4-7</w:t>
      </w:r>
    </w:p>
    <w:p w14:paraId="48E1FCF8">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i w:val="0"/>
          <w:iCs w:val="0"/>
          <w:color w:val="000000"/>
        </w:rPr>
        <w:t>一、基</w:t>
      </w:r>
      <w:r>
        <w:rPr>
          <w:rFonts w:ascii="黑体" w:hAnsi="黑体" w:eastAsia="黑体"/>
          <w:i w:val="0"/>
          <w:iCs w:val="0"/>
        </w:rPr>
        <w:t>本职能及主要工作</w:t>
      </w:r>
      <w:r>
        <w:rPr>
          <w:i w:val="0"/>
          <w:iCs w:val="0"/>
        </w:rPr>
        <w:tab/>
      </w:r>
      <w:r>
        <w:rPr>
          <w:rFonts w:hint="eastAsia"/>
          <w:i w:val="0"/>
          <w:iCs w:val="0"/>
          <w:lang w:val="en-US" w:eastAsia="zh-CN"/>
        </w:rPr>
        <w:t>4</w:t>
      </w:r>
    </w:p>
    <w:p w14:paraId="675EA94A">
      <w:pPr>
        <w:pStyle w:val="8"/>
        <w:tabs>
          <w:tab w:val="right" w:leader="dot" w:pos="8296"/>
        </w:tabs>
        <w:rPr>
          <w:rFonts w:hint="eastAsia" w:eastAsia="汉仪细等线繁"/>
          <w:i w:val="0"/>
          <w:iCs w:val="0"/>
          <w:lang w:val="en-US" w:eastAsia="zh-CN"/>
        </w:rPr>
      </w:pPr>
      <w:r>
        <w:rPr>
          <w:rFonts w:ascii="仿宋" w:hAnsi="仿宋" w:eastAsia="仿宋"/>
          <w:bCs/>
          <w:i w:val="0"/>
          <w:iCs w:val="0"/>
          <w:color w:val="000000"/>
        </w:rPr>
        <w:t>（一）主要职能。</w:t>
      </w:r>
      <w:r>
        <w:rPr>
          <w:i w:val="0"/>
          <w:iCs w:val="0"/>
        </w:rPr>
        <w:tab/>
      </w:r>
      <w:r>
        <w:rPr>
          <w:rFonts w:hint="eastAsia"/>
          <w:i w:val="0"/>
          <w:iCs w:val="0"/>
          <w:lang w:val="en-US" w:eastAsia="zh-CN"/>
        </w:rPr>
        <w:t>4</w:t>
      </w:r>
    </w:p>
    <w:p w14:paraId="2A6C972F">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Cs/>
          <w:i w:val="0"/>
          <w:iCs w:val="0"/>
          <w:color w:val="000000"/>
        </w:rPr>
        <w:t>（二）202</w:t>
      </w:r>
      <w:r>
        <w:rPr>
          <w:rFonts w:hint="eastAsia" w:ascii="仿宋" w:hAnsi="仿宋" w:eastAsia="仿宋"/>
          <w:bCs/>
          <w:i w:val="0"/>
          <w:iCs w:val="0"/>
          <w:color w:val="000000"/>
          <w:lang w:val="en-US" w:eastAsia="zh-CN"/>
        </w:rPr>
        <w:t>1</w:t>
      </w:r>
      <w:r>
        <w:rPr>
          <w:rFonts w:ascii="仿宋" w:hAnsi="仿宋" w:eastAsia="仿宋"/>
          <w:bCs/>
          <w:i w:val="0"/>
          <w:iCs w:val="0"/>
          <w:color w:val="000000"/>
        </w:rPr>
        <w:t>年重点工作完成情况。</w:t>
      </w:r>
      <w:r>
        <w:rPr>
          <w:i w:val="0"/>
          <w:iCs w:val="0"/>
        </w:rPr>
        <w:tab/>
      </w:r>
      <w:r>
        <w:rPr>
          <w:rFonts w:hint="eastAsia"/>
          <w:i w:val="0"/>
          <w:iCs w:val="0"/>
          <w:lang w:val="en-US" w:eastAsia="zh-CN"/>
        </w:rPr>
        <w:t>4-6</w:t>
      </w:r>
    </w:p>
    <w:p w14:paraId="1F9E3A83">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eastAsia="黑体"/>
          <w:i w:val="0"/>
          <w:iCs w:val="0"/>
          <w:color w:val="000000"/>
        </w:rPr>
        <w:t>二、</w:t>
      </w:r>
      <w:r>
        <w:rPr>
          <w:rFonts w:ascii="黑体" w:hAnsi="黑体" w:eastAsia="黑体"/>
          <w:i w:val="0"/>
          <w:iCs w:val="0"/>
          <w:color w:val="000000"/>
        </w:rPr>
        <w:t>机</w:t>
      </w:r>
      <w:r>
        <w:rPr>
          <w:rFonts w:ascii="黑体" w:hAnsi="黑体" w:eastAsia="黑体"/>
          <w:i w:val="0"/>
          <w:iCs w:val="0"/>
        </w:rPr>
        <w:t>构设置</w:t>
      </w:r>
      <w:r>
        <w:rPr>
          <w:i w:val="0"/>
          <w:iCs w:val="0"/>
        </w:rPr>
        <w:tab/>
      </w:r>
      <w:r>
        <w:rPr>
          <w:rFonts w:hint="eastAsia"/>
          <w:i w:val="0"/>
          <w:iCs w:val="0"/>
          <w:lang w:val="en-US" w:eastAsia="zh-CN"/>
        </w:rPr>
        <w:t>7</w:t>
      </w:r>
    </w:p>
    <w:p w14:paraId="7B8F5C62">
      <w:pPr>
        <w:pStyle w:val="8"/>
        <w:tabs>
          <w:tab w:val="left" w:pos="840"/>
          <w:tab w:val="right" w:leader="dot" w:pos="8296"/>
        </w:tabs>
        <w:rPr>
          <w:rFonts w:hint="eastAsia" w:eastAsia="汉仪细等线繁" w:hAnsiTheme="minorHAnsi" w:cstheme="minorBidi"/>
          <w:i w:val="0"/>
          <w:iCs w:val="0"/>
          <w:sz w:val="21"/>
          <w:szCs w:val="22"/>
          <w:lang w:val="en-US" w:eastAsia="zh-CN"/>
        </w:rPr>
      </w:pPr>
      <w:r>
        <w:rPr>
          <w:rFonts w:ascii="仿宋" w:hAnsi="仿宋" w:eastAsia="仿宋"/>
          <w:i w:val="0"/>
          <w:iCs w:val="0"/>
          <w:color w:val="000000"/>
        </w:rPr>
        <w:t>1.</w:t>
      </w:r>
      <w:r>
        <w:rPr>
          <w:rFonts w:hint="eastAsia" w:ascii="仿宋" w:hAnsi="仿宋" w:eastAsia="仿宋"/>
          <w:i w:val="0"/>
          <w:iCs w:val="0"/>
          <w:color w:val="000000"/>
          <w:lang w:eastAsia="zh-CN"/>
        </w:rPr>
        <w:t>小金县工商联机构设置</w:t>
      </w:r>
      <w:r>
        <w:rPr>
          <w:i w:val="0"/>
          <w:iCs w:val="0"/>
        </w:rPr>
        <w:tab/>
      </w:r>
      <w:r>
        <w:rPr>
          <w:rFonts w:hint="eastAsia"/>
          <w:i w:val="0"/>
          <w:iCs w:val="0"/>
          <w:lang w:val="en-US" w:eastAsia="zh-CN"/>
        </w:rPr>
        <w:t>7</w:t>
      </w:r>
    </w:p>
    <w:p w14:paraId="5D369D62">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b w:val="0"/>
          <w:i w:val="0"/>
          <w:iCs w:val="0"/>
          <w:color w:val="000000"/>
        </w:rPr>
        <w:t>第二部分</w:t>
      </w:r>
      <w:r>
        <w:rPr>
          <w:rFonts w:ascii="黑体" w:hAnsi="黑体" w:eastAsia="黑体"/>
          <w:i w:val="0"/>
          <w:iCs w:val="0"/>
          <w:color w:val="000000"/>
        </w:rPr>
        <w:t xml:space="preserve"> </w:t>
      </w:r>
      <w:r>
        <w:rPr>
          <w:rFonts w:ascii="黑体" w:hAnsi="黑体" w:eastAsia="黑体"/>
          <w:b w:val="0"/>
          <w:bCs w:val="0"/>
          <w:i w:val="0"/>
          <w:iCs w:val="0"/>
        </w:rPr>
        <w:t>202</w:t>
      </w:r>
      <w:r>
        <w:rPr>
          <w:rFonts w:hint="eastAsia" w:ascii="黑体" w:hAnsi="黑体" w:eastAsia="黑体"/>
          <w:b w:val="0"/>
          <w:bCs w:val="0"/>
          <w:i w:val="0"/>
          <w:iCs w:val="0"/>
          <w:lang w:val="en-US" w:eastAsia="zh-CN"/>
        </w:rPr>
        <w:t>1</w:t>
      </w:r>
      <w:r>
        <w:rPr>
          <w:rFonts w:ascii="黑体" w:hAnsi="黑体" w:eastAsia="黑体"/>
          <w:b w:val="0"/>
          <w:bCs w:val="0"/>
          <w:i w:val="0"/>
          <w:iCs w:val="0"/>
        </w:rPr>
        <w:t>年度部门决算情况说明</w:t>
      </w:r>
      <w:r>
        <w:rPr>
          <w:i w:val="0"/>
          <w:iCs w:val="0"/>
        </w:rPr>
        <w:tab/>
      </w:r>
      <w:r>
        <w:rPr>
          <w:rFonts w:hint="eastAsia"/>
          <w:i w:val="0"/>
          <w:iCs w:val="0"/>
          <w:lang w:val="en-US" w:eastAsia="zh-CN"/>
        </w:rPr>
        <w:t>8-9</w:t>
      </w:r>
    </w:p>
    <w:p w14:paraId="0DE41C68">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一、</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入支出决算总体情况说明</w:t>
      </w:r>
      <w:r>
        <w:rPr>
          <w:i w:val="0"/>
          <w:iCs w:val="0"/>
        </w:rPr>
        <w:tab/>
      </w:r>
      <w:r>
        <w:rPr>
          <w:rFonts w:hint="eastAsia"/>
          <w:i w:val="0"/>
          <w:iCs w:val="0"/>
          <w:lang w:val="en-US" w:eastAsia="zh-CN"/>
        </w:rPr>
        <w:t>8</w:t>
      </w:r>
    </w:p>
    <w:p w14:paraId="3FB92ADD">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二、</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入决算情况说明</w:t>
      </w:r>
      <w:r>
        <w:rPr>
          <w:i w:val="0"/>
          <w:iCs w:val="0"/>
        </w:rPr>
        <w:tab/>
      </w:r>
      <w:r>
        <w:rPr>
          <w:rFonts w:hint="eastAsia"/>
          <w:i w:val="0"/>
          <w:iCs w:val="0"/>
          <w:lang w:val="en-US" w:eastAsia="zh-CN"/>
        </w:rPr>
        <w:t>8</w:t>
      </w:r>
    </w:p>
    <w:p w14:paraId="7702EA1C">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三、</w:t>
      </w:r>
      <w:r>
        <w:rPr>
          <w:rFonts w:hAnsiTheme="minorHAnsi" w:eastAsiaTheme="minorEastAsia" w:cstheme="minorBidi"/>
          <w:i w:val="0"/>
          <w:iCs w:val="0"/>
          <w:smallCaps w:val="0"/>
          <w:sz w:val="21"/>
          <w:szCs w:val="22"/>
        </w:rPr>
        <w:tab/>
      </w:r>
      <w:r>
        <w:rPr>
          <w:rFonts w:ascii="黑体" w:hAnsi="黑体" w:eastAsia="黑体"/>
          <w:i w:val="0"/>
          <w:iCs w:val="0"/>
          <w:color w:val="000000"/>
        </w:rPr>
        <w:t>支</w:t>
      </w:r>
      <w:r>
        <w:rPr>
          <w:rFonts w:ascii="黑体" w:hAnsi="黑体" w:eastAsia="黑体"/>
          <w:bCs/>
          <w:i w:val="0"/>
          <w:iCs w:val="0"/>
        </w:rPr>
        <w:t>出决算情况说明</w:t>
      </w:r>
      <w:r>
        <w:rPr>
          <w:i w:val="0"/>
          <w:iCs w:val="0"/>
        </w:rPr>
        <w:tab/>
      </w:r>
      <w:r>
        <w:rPr>
          <w:rFonts w:hint="eastAsia"/>
          <w:i w:val="0"/>
          <w:iCs w:val="0"/>
          <w:lang w:val="en-US" w:eastAsia="zh-CN"/>
        </w:rPr>
        <w:t>9</w:t>
      </w:r>
    </w:p>
    <w:p w14:paraId="2E1BD0AC">
      <w:pPr>
        <w:pStyle w:val="16"/>
        <w:tabs>
          <w:tab w:val="right" w:leader="dot" w:pos="8296"/>
        </w:tabs>
        <w:rPr>
          <w:rFonts w:hint="default" w:eastAsia="汉仪细等线繁"/>
          <w:i w:val="0"/>
          <w:iCs w:val="0"/>
          <w:lang w:val="en-US" w:eastAsia="zh-CN"/>
        </w:rPr>
      </w:pPr>
      <w:r>
        <w:rPr>
          <w:rFonts w:ascii="黑体" w:hAnsi="黑体" w:eastAsia="黑体"/>
          <w:i w:val="0"/>
          <w:iCs w:val="0"/>
          <w:color w:val="000000"/>
        </w:rPr>
        <w:t>四、财</w:t>
      </w:r>
      <w:r>
        <w:rPr>
          <w:rFonts w:ascii="黑体" w:hAnsi="黑体" w:eastAsia="黑体"/>
          <w:bCs/>
          <w:i w:val="0"/>
          <w:iCs w:val="0"/>
        </w:rPr>
        <w:t>政拨款收入支出决算总体情况说明</w:t>
      </w:r>
      <w:r>
        <w:rPr>
          <w:i w:val="0"/>
          <w:iCs w:val="0"/>
        </w:rPr>
        <w:tab/>
      </w:r>
      <w:r>
        <w:rPr>
          <w:rFonts w:hint="eastAsia"/>
          <w:i w:val="0"/>
          <w:iCs w:val="0"/>
          <w:lang w:val="en-US" w:eastAsia="zh-CN"/>
        </w:rPr>
        <w:t>10</w:t>
      </w:r>
    </w:p>
    <w:p w14:paraId="2737BA24">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五、</w:t>
      </w:r>
      <w:r>
        <w:rPr>
          <w:rFonts w:ascii="黑体" w:hAnsi="黑体" w:eastAsia="黑体"/>
          <w:b/>
          <w:i w:val="0"/>
          <w:iCs w:val="0"/>
          <w:color w:val="000000"/>
        </w:rPr>
        <w:t>一</w:t>
      </w:r>
      <w:r>
        <w:rPr>
          <w:rFonts w:ascii="黑体" w:hAnsi="黑体" w:eastAsia="黑体"/>
          <w:bCs/>
          <w:i w:val="0"/>
          <w:iCs w:val="0"/>
        </w:rPr>
        <w:t>般公共预算财政拨款支出决算情况说明</w:t>
      </w:r>
      <w:r>
        <w:rPr>
          <w:i w:val="0"/>
          <w:iCs w:val="0"/>
        </w:rPr>
        <w:tab/>
      </w:r>
      <w:r>
        <w:rPr>
          <w:rFonts w:hint="eastAsia"/>
          <w:i w:val="0"/>
          <w:iCs w:val="0"/>
          <w:lang w:val="en-US" w:eastAsia="zh-CN"/>
        </w:rPr>
        <w:t>10-12</w:t>
      </w:r>
    </w:p>
    <w:p w14:paraId="542E339F">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（一）一般公共预算财政拨款支出决算总体情况</w:t>
      </w:r>
      <w:r>
        <w:rPr>
          <w:i w:val="0"/>
          <w:iCs w:val="0"/>
        </w:rPr>
        <w:tab/>
      </w:r>
      <w:r>
        <w:rPr>
          <w:rFonts w:hint="eastAsia"/>
          <w:i w:val="0"/>
          <w:iCs w:val="0"/>
          <w:lang w:val="en-US" w:eastAsia="zh-CN"/>
        </w:rPr>
        <w:t>10</w:t>
      </w:r>
    </w:p>
    <w:p w14:paraId="4F9749C0">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（二）一般公共预算财政拨款支出决算结构情况</w:t>
      </w:r>
      <w:r>
        <w:rPr>
          <w:i w:val="0"/>
          <w:iCs w:val="0"/>
        </w:rPr>
        <w:tab/>
      </w:r>
      <w:r>
        <w:rPr>
          <w:rFonts w:hint="eastAsia"/>
          <w:i w:val="0"/>
          <w:iCs w:val="0"/>
          <w:lang w:val="en-US" w:eastAsia="zh-CN"/>
        </w:rPr>
        <w:t>11</w:t>
      </w:r>
    </w:p>
    <w:p w14:paraId="3A2B98ED">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（三）一般公共预算财政拨款支出决算具体情况</w:t>
      </w:r>
      <w:r>
        <w:rPr>
          <w:i w:val="0"/>
          <w:iCs w:val="0"/>
        </w:rPr>
        <w:tab/>
      </w:r>
      <w:r>
        <w:rPr>
          <w:rFonts w:hint="eastAsia"/>
          <w:i w:val="0"/>
          <w:iCs w:val="0"/>
          <w:lang w:val="en-US" w:eastAsia="zh-CN"/>
        </w:rPr>
        <w:t>12</w:t>
      </w:r>
    </w:p>
    <w:p w14:paraId="70CA5571">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六</w:t>
      </w:r>
      <w:r>
        <w:rPr>
          <w:rFonts w:ascii="黑体" w:eastAsia="黑体"/>
          <w:b/>
          <w:i w:val="0"/>
          <w:iCs w:val="0"/>
          <w:color w:val="000000"/>
        </w:rPr>
        <w:t>、</w:t>
      </w:r>
      <w:r>
        <w:rPr>
          <w:rFonts w:ascii="黑体" w:hAnsi="黑体" w:eastAsia="黑体"/>
          <w:b/>
          <w:i w:val="0"/>
          <w:iCs w:val="0"/>
          <w:color w:val="000000"/>
        </w:rPr>
        <w:t>一</w:t>
      </w:r>
      <w:r>
        <w:rPr>
          <w:rFonts w:ascii="黑体" w:hAnsi="黑体" w:eastAsia="黑体"/>
          <w:bCs/>
          <w:i w:val="0"/>
          <w:iCs w:val="0"/>
        </w:rPr>
        <w:t>般公共预算财政拨款基本支出决算情况说明</w:t>
      </w:r>
      <w:r>
        <w:rPr>
          <w:i w:val="0"/>
          <w:iCs w:val="0"/>
        </w:rPr>
        <w:tab/>
      </w:r>
      <w:r>
        <w:rPr>
          <w:rFonts w:hint="eastAsia"/>
          <w:i w:val="0"/>
          <w:iCs w:val="0"/>
          <w:lang w:val="en-US" w:eastAsia="zh-CN"/>
        </w:rPr>
        <w:t>12-13</w:t>
      </w:r>
    </w:p>
    <w:p w14:paraId="14B6DE68">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七、</w:t>
      </w:r>
      <w:r>
        <w:rPr>
          <w:rFonts w:ascii="黑体" w:hAnsi="黑体" w:eastAsia="黑体"/>
          <w:b/>
          <w:bCs/>
          <w:i w:val="0"/>
          <w:iCs w:val="0"/>
        </w:rPr>
        <w:t>“</w:t>
      </w:r>
      <w:r>
        <w:rPr>
          <w:rFonts w:ascii="黑体" w:hAnsi="黑体" w:eastAsia="黑体"/>
          <w:bCs/>
          <w:i w:val="0"/>
          <w:iCs w:val="0"/>
        </w:rPr>
        <w:t>三公”经费财政拨款支出决算情况说明</w:t>
      </w:r>
      <w:r>
        <w:rPr>
          <w:i w:val="0"/>
          <w:iCs w:val="0"/>
        </w:rPr>
        <w:tab/>
      </w:r>
      <w:r>
        <w:rPr>
          <w:rFonts w:hint="eastAsia"/>
          <w:i w:val="0"/>
          <w:iCs w:val="0"/>
          <w:lang w:val="en-US" w:eastAsia="zh-CN"/>
        </w:rPr>
        <w:t>13-15</w:t>
      </w:r>
    </w:p>
    <w:p w14:paraId="2572B69C">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（一）“三公”经费财政拨款支出决算总体情况说明</w:t>
      </w:r>
      <w:r>
        <w:rPr>
          <w:i w:val="0"/>
          <w:iCs w:val="0"/>
        </w:rPr>
        <w:tab/>
      </w:r>
      <w:r>
        <w:rPr>
          <w:rFonts w:hint="eastAsia"/>
          <w:i w:val="0"/>
          <w:iCs w:val="0"/>
          <w:lang w:val="en-US" w:eastAsia="zh-CN"/>
        </w:rPr>
        <w:t>13</w:t>
      </w:r>
    </w:p>
    <w:p w14:paraId="01AE2554">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（二）“三公”经费财政拨款支出决算具体情况说明</w:t>
      </w:r>
      <w:r>
        <w:rPr>
          <w:i w:val="0"/>
          <w:iCs w:val="0"/>
        </w:rPr>
        <w:tab/>
      </w:r>
      <w:r>
        <w:rPr>
          <w:rFonts w:hint="eastAsia"/>
          <w:i w:val="0"/>
          <w:iCs w:val="0"/>
          <w:lang w:val="en-US" w:eastAsia="zh-CN"/>
        </w:rPr>
        <w:t>14-15</w:t>
      </w:r>
    </w:p>
    <w:p w14:paraId="6548EDD2">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八、</w:t>
      </w:r>
      <w:r>
        <w:rPr>
          <w:rFonts w:ascii="黑体" w:hAnsi="黑体" w:eastAsia="黑体"/>
          <w:bCs/>
          <w:i w:val="0"/>
          <w:iCs w:val="0"/>
        </w:rPr>
        <w:t>政府性基金预算支出决算情况说明</w:t>
      </w:r>
      <w:r>
        <w:rPr>
          <w:i w:val="0"/>
          <w:iCs w:val="0"/>
        </w:rPr>
        <w:tab/>
      </w:r>
      <w:r>
        <w:rPr>
          <w:rFonts w:hint="eastAsia"/>
          <w:i w:val="0"/>
          <w:iCs w:val="0"/>
          <w:lang w:val="en-US" w:eastAsia="zh-CN"/>
        </w:rPr>
        <w:t>15</w:t>
      </w:r>
    </w:p>
    <w:p w14:paraId="0CB84995">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bCs/>
          <w:i w:val="0"/>
          <w:iCs w:val="0"/>
        </w:rPr>
        <w:t>九、 国有资本经营预算支出决算情况说明</w:t>
      </w:r>
      <w:r>
        <w:rPr>
          <w:i w:val="0"/>
          <w:iCs w:val="0"/>
        </w:rPr>
        <w:tab/>
      </w:r>
      <w:r>
        <w:rPr>
          <w:rFonts w:hint="eastAsia"/>
          <w:i w:val="0"/>
          <w:iCs w:val="0"/>
          <w:lang w:val="en-US" w:eastAsia="zh-CN"/>
        </w:rPr>
        <w:t>15</w:t>
      </w:r>
    </w:p>
    <w:p w14:paraId="15624C68">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十</w:t>
      </w:r>
      <w:r>
        <w:rPr>
          <w:rFonts w:ascii="黑体" w:hAnsi="黑体" w:eastAsia="黑体"/>
          <w:b/>
          <w:bCs/>
          <w:i w:val="0"/>
          <w:iCs w:val="0"/>
        </w:rPr>
        <w:t>、</w:t>
      </w:r>
      <w:r>
        <w:rPr>
          <w:rFonts w:ascii="黑体" w:hAnsi="黑体" w:eastAsia="黑体"/>
          <w:bCs/>
          <w:i w:val="0"/>
          <w:iCs w:val="0"/>
        </w:rPr>
        <w:t>其他重要事项的情况说明</w:t>
      </w:r>
      <w:r>
        <w:rPr>
          <w:i w:val="0"/>
          <w:iCs w:val="0"/>
        </w:rPr>
        <w:tab/>
      </w:r>
      <w:r>
        <w:rPr>
          <w:rFonts w:hint="eastAsia"/>
          <w:i w:val="0"/>
          <w:iCs w:val="0"/>
          <w:lang w:val="en-US" w:eastAsia="zh-CN"/>
        </w:rPr>
        <w:t>15-16</w:t>
      </w:r>
    </w:p>
    <w:p w14:paraId="4487D6F9">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（一）机关运行经费支出情况</w:t>
      </w:r>
      <w:r>
        <w:rPr>
          <w:i w:val="0"/>
          <w:iCs w:val="0"/>
        </w:rPr>
        <w:tab/>
      </w:r>
      <w:r>
        <w:rPr>
          <w:rFonts w:hint="eastAsia"/>
          <w:i w:val="0"/>
          <w:iCs w:val="0"/>
          <w:lang w:val="en-US" w:eastAsia="zh-CN"/>
        </w:rPr>
        <w:t>15</w:t>
      </w:r>
    </w:p>
    <w:p w14:paraId="4A72C4FB">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（二）政府采购支出情况</w:t>
      </w:r>
      <w:r>
        <w:rPr>
          <w:i w:val="0"/>
          <w:iCs w:val="0"/>
        </w:rPr>
        <w:tab/>
      </w:r>
      <w:r>
        <w:rPr>
          <w:rFonts w:hint="eastAsia"/>
          <w:i w:val="0"/>
          <w:iCs w:val="0"/>
          <w:lang w:val="en-US" w:eastAsia="zh-CN"/>
        </w:rPr>
        <w:t>16</w:t>
      </w:r>
    </w:p>
    <w:p w14:paraId="60CAE94A">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（三）国有资产占有使用情况</w:t>
      </w:r>
      <w:r>
        <w:rPr>
          <w:i w:val="0"/>
          <w:iCs w:val="0"/>
        </w:rPr>
        <w:tab/>
      </w:r>
      <w:r>
        <w:rPr>
          <w:rFonts w:hint="eastAsia"/>
          <w:i w:val="0"/>
          <w:iCs w:val="0"/>
          <w:lang w:val="en-US" w:eastAsia="zh-CN"/>
        </w:rPr>
        <w:t>16</w:t>
      </w:r>
    </w:p>
    <w:p w14:paraId="6A717B41">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（四）预算绩效管理情况。</w:t>
      </w:r>
      <w:r>
        <w:rPr>
          <w:i w:val="0"/>
          <w:iCs w:val="0"/>
        </w:rPr>
        <w:tab/>
      </w:r>
      <w:r>
        <w:rPr>
          <w:rFonts w:hint="eastAsia"/>
          <w:i w:val="0"/>
          <w:iCs w:val="0"/>
          <w:lang w:val="en-US" w:eastAsia="zh-CN"/>
        </w:rPr>
        <w:t>16</w:t>
      </w:r>
    </w:p>
    <w:p w14:paraId="498F4F47">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kern w:val="44"/>
        </w:rPr>
        <w:t>第三部分</w:t>
      </w:r>
      <w:r>
        <w:rPr>
          <w:rFonts w:ascii="黑体" w:hAnsi="黑体" w:eastAsia="黑体"/>
          <w:i w:val="0"/>
          <w:iCs w:val="0"/>
          <w:color w:val="000000"/>
        </w:rPr>
        <w:t xml:space="preserve"> 名</w:t>
      </w:r>
      <w:r>
        <w:rPr>
          <w:rFonts w:ascii="黑体" w:hAnsi="黑体" w:eastAsia="黑体"/>
          <w:i w:val="0"/>
          <w:iCs w:val="0"/>
          <w:kern w:val="44"/>
        </w:rPr>
        <w:t>词解释</w:t>
      </w:r>
      <w:r>
        <w:rPr>
          <w:i w:val="0"/>
          <w:iCs w:val="0"/>
        </w:rPr>
        <w:tab/>
      </w:r>
      <w:r>
        <w:rPr>
          <w:rFonts w:hint="eastAsia"/>
          <w:i w:val="0"/>
          <w:iCs w:val="0"/>
          <w:lang w:val="en-US" w:eastAsia="zh-CN"/>
        </w:rPr>
        <w:t>17-19</w:t>
      </w:r>
    </w:p>
    <w:p w14:paraId="358A0A68">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color w:val="000000"/>
        </w:rPr>
        <w:t>第</w:t>
      </w:r>
      <w:r>
        <w:rPr>
          <w:rFonts w:ascii="黑体" w:hAnsi="黑体" w:eastAsia="黑体"/>
          <w:i w:val="0"/>
          <w:iCs w:val="0"/>
          <w:kern w:val="44"/>
        </w:rPr>
        <w:t>四部分 附件</w:t>
      </w:r>
      <w:r>
        <w:rPr>
          <w:i w:val="0"/>
          <w:iCs w:val="0"/>
        </w:rPr>
        <w:tab/>
      </w:r>
      <w:r>
        <w:rPr>
          <w:rFonts w:hint="eastAsia"/>
          <w:i w:val="0"/>
          <w:iCs w:val="0"/>
          <w:lang w:val="en-US" w:eastAsia="zh-CN"/>
        </w:rPr>
        <w:t>20-26</w:t>
      </w:r>
    </w:p>
    <w:p w14:paraId="3710D63C">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cs="黑体"/>
          <w:i w:val="0"/>
          <w:iCs w:val="0"/>
        </w:rPr>
        <w:t>附件1</w:t>
      </w:r>
      <w:r>
        <w:rPr>
          <w:i w:val="0"/>
          <w:iCs w:val="0"/>
        </w:rPr>
        <w:tab/>
      </w:r>
      <w:r>
        <w:rPr>
          <w:i w:val="0"/>
          <w:iCs w:val="0"/>
        </w:rPr>
        <w:fldChar w:fldCharType="begin"/>
      </w:r>
      <w:r>
        <w:rPr>
          <w:i w:val="0"/>
          <w:iCs w:val="0"/>
        </w:rPr>
        <w:instrText xml:space="preserve"> PAGEREF _Toc79163881 \h </w:instrText>
      </w:r>
      <w:r>
        <w:rPr>
          <w:i w:val="0"/>
          <w:iCs w:val="0"/>
        </w:rPr>
        <w:fldChar w:fldCharType="separate"/>
      </w:r>
      <w:r>
        <w:rPr>
          <w:i w:val="0"/>
          <w:iCs w:val="0"/>
        </w:rPr>
        <w:t>22</w:t>
      </w:r>
      <w:r>
        <w:rPr>
          <w:i w:val="0"/>
          <w:iCs w:val="0"/>
        </w:rPr>
        <w:fldChar w:fldCharType="end"/>
      </w:r>
      <w:r>
        <w:rPr>
          <w:rFonts w:hint="eastAsia"/>
          <w:i w:val="0"/>
          <w:iCs w:val="0"/>
          <w:lang w:val="en-US" w:eastAsia="zh-CN"/>
        </w:rPr>
        <w:t>-26</w:t>
      </w:r>
    </w:p>
    <w:p w14:paraId="0D492B1E">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方正小标宋简体" w:hAnsi="黑体" w:eastAsia="方正小标宋简体" w:cs="黑体"/>
          <w:i w:val="0"/>
          <w:iCs w:val="0"/>
        </w:rPr>
        <w:t>部门2020年部门整体支出绩效评价报告</w:t>
      </w:r>
      <w:r>
        <w:rPr>
          <w:i w:val="0"/>
          <w:iCs w:val="0"/>
        </w:rPr>
        <w:tab/>
      </w:r>
      <w:r>
        <w:rPr>
          <w:i w:val="0"/>
          <w:iCs w:val="0"/>
        </w:rPr>
        <w:fldChar w:fldCharType="begin"/>
      </w:r>
      <w:r>
        <w:rPr>
          <w:i w:val="0"/>
          <w:iCs w:val="0"/>
        </w:rPr>
        <w:instrText xml:space="preserve"> PAGEREF _Toc79163882 \h </w:instrText>
      </w:r>
      <w:r>
        <w:rPr>
          <w:i w:val="0"/>
          <w:iCs w:val="0"/>
        </w:rPr>
        <w:fldChar w:fldCharType="separate"/>
      </w:r>
      <w:r>
        <w:rPr>
          <w:i w:val="0"/>
          <w:iCs w:val="0"/>
        </w:rPr>
        <w:t>22</w:t>
      </w:r>
      <w:r>
        <w:rPr>
          <w:i w:val="0"/>
          <w:iCs w:val="0"/>
        </w:rPr>
        <w:fldChar w:fldCharType="end"/>
      </w:r>
      <w:r>
        <w:rPr>
          <w:rFonts w:hint="eastAsia"/>
          <w:i w:val="0"/>
          <w:iCs w:val="0"/>
          <w:lang w:val="en-US" w:eastAsia="zh-CN"/>
        </w:rPr>
        <w:t>-26</w:t>
      </w:r>
    </w:p>
    <w:p w14:paraId="324ACEFE">
      <w:pPr>
        <w:pStyle w:val="13"/>
        <w:tabs>
          <w:tab w:val="right" w:leader="dot" w:pos="8296"/>
        </w:tabs>
        <w:rPr>
          <w:rFonts w:hint="default" w:eastAsia="汉仪细等线繁" w:hAnsi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27</w:t>
      </w:r>
    </w:p>
    <w:p w14:paraId="629CC318">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27</w:t>
      </w:r>
    </w:p>
    <w:p w14:paraId="2B325E72">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二、收</w:t>
      </w:r>
      <w:r>
        <w:rPr>
          <w:rFonts w:ascii="仿宋" w:hAnsi="仿宋" w:eastAsia="仿宋"/>
        </w:rPr>
        <w:t>入决算表</w:t>
      </w:r>
      <w:r>
        <w:tab/>
      </w:r>
      <w:r>
        <w:rPr>
          <w:rFonts w:hint="eastAsia"/>
          <w:lang w:val="en-US" w:eastAsia="zh-CN"/>
        </w:rPr>
        <w:t>27</w:t>
      </w:r>
    </w:p>
    <w:p w14:paraId="403DF3DF">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27</w:t>
      </w:r>
    </w:p>
    <w:p w14:paraId="145C1783">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27</w:t>
      </w:r>
    </w:p>
    <w:p w14:paraId="6CEF16E3">
      <w:pPr>
        <w:pStyle w:val="16"/>
        <w:tabs>
          <w:tab w:val="right" w:leader="dot" w:pos="8296"/>
        </w:tabs>
        <w:rPr>
          <w:rFonts w:hint="eastAsia"/>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27</w:t>
      </w:r>
    </w:p>
    <w:p w14:paraId="5A902950">
      <w:pPr>
        <w:pStyle w:val="16"/>
        <w:tabs>
          <w:tab w:val="right" w:leader="dot" w:pos="8296"/>
        </w:tabs>
        <w:rPr>
          <w:rFonts w:hint="default"/>
          <w:lang w:val="en-US" w:eastAsia="zh-CN"/>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27</w:t>
      </w:r>
    </w:p>
    <w:p w14:paraId="4B34DA6E">
      <w:pPr>
        <w:pStyle w:val="16"/>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29</w:t>
      </w:r>
      <w:r>
        <w:fldChar w:fldCharType="end"/>
      </w:r>
    </w:p>
    <w:p w14:paraId="6C0EA503">
      <w:pPr>
        <w:pStyle w:val="16"/>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29</w:t>
      </w:r>
      <w:r>
        <w:fldChar w:fldCharType="end"/>
      </w:r>
    </w:p>
    <w:p w14:paraId="649F24F9">
      <w:pPr>
        <w:pStyle w:val="16"/>
        <w:tabs>
          <w:tab w:val="right" w:leader="dot" w:pos="8296"/>
        </w:tabs>
        <w:rPr>
          <w:rFonts w:hint="eastAsia"/>
          <w:lang w:val="en-US" w:eastAsia="zh-CN"/>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27</w:t>
      </w:r>
    </w:p>
    <w:p w14:paraId="4672A596">
      <w:pPr>
        <w:pStyle w:val="16"/>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29</w:t>
      </w:r>
      <w:r>
        <w:fldChar w:fldCharType="end"/>
      </w:r>
    </w:p>
    <w:p w14:paraId="435821F8">
      <w:pPr>
        <w:pStyle w:val="16"/>
        <w:tabs>
          <w:tab w:val="right" w:leader="dot" w:pos="8296"/>
        </w:tabs>
        <w:rPr>
          <w:rFonts w:hint="eastAsia"/>
          <w:lang w:val="en-US" w:eastAsia="zh-CN"/>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27</w:t>
      </w:r>
    </w:p>
    <w:p w14:paraId="5583CAE1">
      <w:pPr>
        <w:pStyle w:val="16"/>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29</w:t>
      </w:r>
      <w:r>
        <w:fldChar w:fldCharType="end"/>
      </w:r>
    </w:p>
    <w:p w14:paraId="4EEA38F1">
      <w:pPr>
        <w:pStyle w:val="16"/>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有资本经营预算财政拨款支出决算表</w:t>
      </w:r>
      <w:r>
        <w:tab/>
      </w:r>
      <w:r>
        <w:fldChar w:fldCharType="begin"/>
      </w:r>
      <w:r>
        <w:instrText xml:space="preserve"> PAGEREF _Toc79163898 \h </w:instrText>
      </w:r>
      <w:r>
        <w:fldChar w:fldCharType="separate"/>
      </w:r>
      <w:r>
        <w:t>29</w:t>
      </w:r>
      <w:r>
        <w:fldChar w:fldCharType="end"/>
      </w:r>
    </w:p>
    <w:p w14:paraId="5ADE962F">
      <w:pPr>
        <w:pStyle w:val="16"/>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29</w:t>
      </w:r>
      <w:r>
        <w:fldChar w:fldCharType="end"/>
      </w:r>
    </w:p>
    <w:p w14:paraId="51196334">
      <w:pPr>
        <w:pageBreakBefore w:val="0"/>
        <w:widowControl/>
        <w:kinsoku/>
        <w:wordWrap/>
        <w:overflowPunct/>
        <w:topLinePunct w:val="0"/>
        <w:bidi w:val="0"/>
        <w:spacing w:line="576" w:lineRule="exact"/>
        <w:jc w:val="left"/>
        <w:rPr>
          <w:rFonts w:ascii="仿宋" w:eastAsia="仿宋"/>
          <w:bCs/>
          <w:kern w:val="44"/>
          <w:sz w:val="24"/>
        </w:rPr>
      </w:pPr>
      <w:r>
        <w:rPr>
          <w:rFonts w:asciiTheme="minorHAnsi" w:eastAsiaTheme="minorHAnsi"/>
          <w:b/>
          <w:bCs/>
          <w:caps/>
          <w:sz w:val="20"/>
          <w:szCs w:val="20"/>
        </w:rPr>
        <w:fldChar w:fldCharType="end"/>
      </w:r>
    </w:p>
    <w:p w14:paraId="0F19F87F">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bookmarkStart w:id="14" w:name="_Toc79163851"/>
      <w:bookmarkStart w:id="15" w:name="_Toc79163601"/>
    </w:p>
    <w:p w14:paraId="42A5766F">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5C902479">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347C67D6">
      <w:pPr>
        <w:rPr>
          <w:rFonts w:hint="eastAsia" w:ascii="方正黑体_GBK" w:hAnsi="方正黑体_GBK" w:eastAsia="方正黑体_GBK" w:cs="方正黑体_GBK"/>
          <w:b w:val="0"/>
          <w:sz w:val="32"/>
          <w:szCs w:val="32"/>
        </w:rPr>
      </w:pPr>
    </w:p>
    <w:p w14:paraId="7325767C">
      <w:pPr>
        <w:pStyle w:val="6"/>
        <w:rPr>
          <w:rFonts w:hint="eastAsia" w:ascii="方正黑体_GBK" w:hAnsi="方正黑体_GBK" w:eastAsia="方正黑体_GBK" w:cs="方正黑体_GBK"/>
          <w:b w:val="0"/>
          <w:sz w:val="32"/>
          <w:szCs w:val="32"/>
        </w:rPr>
      </w:pPr>
    </w:p>
    <w:p w14:paraId="17AAB824">
      <w:pPr>
        <w:rPr>
          <w:rFonts w:hint="eastAsia"/>
        </w:rPr>
      </w:pPr>
    </w:p>
    <w:p w14:paraId="324B3051">
      <w:pPr>
        <w:rPr>
          <w:rFonts w:hint="eastAsia" w:ascii="方正黑体_GBK" w:hAnsi="方正黑体_GBK" w:eastAsia="方正黑体_GBK" w:cs="方正黑体_GBK"/>
          <w:b w:val="0"/>
          <w:sz w:val="32"/>
          <w:szCs w:val="32"/>
        </w:rPr>
      </w:pPr>
    </w:p>
    <w:p w14:paraId="17B5F6BA">
      <w:pPr>
        <w:pStyle w:val="6"/>
        <w:rPr>
          <w:rFonts w:hint="eastAsia"/>
        </w:rPr>
      </w:pPr>
    </w:p>
    <w:p w14:paraId="5864A491">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Style w:val="23"/>
          <w:rFonts w:hint="eastAsia" w:ascii="方正小标宋简体" w:hAnsi="方正小标宋简体" w:eastAsia="方正小标宋简体" w:cs="方正小标宋简体"/>
          <w:b/>
          <w:bCs w:val="0"/>
          <w:sz w:val="32"/>
          <w:szCs w:val="32"/>
        </w:rPr>
      </w:pPr>
      <w:r>
        <w:rPr>
          <w:rFonts w:hint="eastAsia" w:ascii="方正小标宋简体" w:hAnsi="方正小标宋简体" w:eastAsia="方正小标宋简体" w:cs="方正小标宋简体"/>
          <w:b w:val="0"/>
          <w:sz w:val="32"/>
          <w:szCs w:val="32"/>
        </w:rPr>
        <w:t xml:space="preserve">第一部分 </w:t>
      </w:r>
      <w:r>
        <w:rPr>
          <w:rStyle w:val="23"/>
          <w:rFonts w:hint="eastAsia" w:ascii="方正小标宋简体" w:hAnsi="方正小标宋简体" w:eastAsia="方正小标宋简体" w:cs="方正小标宋简体"/>
          <w:b w:val="0"/>
          <w:bCs w:val="0"/>
          <w:sz w:val="32"/>
          <w:szCs w:val="32"/>
        </w:rPr>
        <w:t>部门概况</w:t>
      </w:r>
      <w:bookmarkEnd w:id="12"/>
      <w:bookmarkEnd w:id="13"/>
      <w:bookmarkEnd w:id="14"/>
      <w:bookmarkEnd w:id="15"/>
    </w:p>
    <w:p w14:paraId="76F48A29">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16" w:name="_Toc79163602"/>
      <w:bookmarkStart w:id="17" w:name="_Toc15396600"/>
      <w:bookmarkStart w:id="18" w:name="_Toc15377197"/>
      <w:bookmarkStart w:id="19" w:name="_Toc79163852"/>
      <w:r>
        <w:rPr>
          <w:rFonts w:hint="eastAsia" w:ascii="方正楷体_GBK" w:hAnsi="方正楷体_GBK" w:eastAsia="方正楷体_GBK" w:cs="方正楷体_GBK"/>
          <w:b/>
          <w:bCs w:val="0"/>
          <w:color w:val="000000"/>
          <w:kern w:val="10"/>
          <w:sz w:val="32"/>
        </w:rPr>
        <w:t>一、基</w:t>
      </w:r>
      <w:r>
        <w:rPr>
          <w:rStyle w:val="24"/>
          <w:rFonts w:hint="eastAsia" w:ascii="方正楷体_GBK" w:hAnsi="方正楷体_GBK" w:eastAsia="方正楷体_GBK" w:cs="方正楷体_GBK"/>
          <w:b/>
          <w:bCs w:val="0"/>
          <w:kern w:val="10"/>
          <w:sz w:val="32"/>
        </w:rPr>
        <w:t>本职能及主要工作</w:t>
      </w:r>
      <w:bookmarkEnd w:id="16"/>
      <w:bookmarkEnd w:id="17"/>
      <w:bookmarkEnd w:id="18"/>
      <w:bookmarkEnd w:id="19"/>
    </w:p>
    <w:p w14:paraId="5F8755A4">
      <w:pPr>
        <w:pStyle w:val="3"/>
        <w:pageBreakBefore w:val="0"/>
        <w:widowControl w:val="0"/>
        <w:kinsoku/>
        <w:wordWrap/>
        <w:overflowPunct/>
        <w:topLinePunct w:val="0"/>
        <w:autoSpaceDE/>
        <w:autoSpaceDN/>
        <w:bidi w:val="0"/>
        <w:adjustRightInd/>
        <w:snapToGrid/>
        <w:spacing w:before="0" w:after="0" w:line="576" w:lineRule="exact"/>
        <w:ind w:firstLine="675" w:firstLineChars="200"/>
        <w:textAlignment w:val="auto"/>
        <w:rPr>
          <w:rFonts w:hint="eastAsia" w:ascii="方正仿宋_GBK" w:hAnsi="方正仿宋_GBK" w:eastAsia="方正仿宋_GBK" w:cs="方正仿宋_GBK"/>
          <w:spacing w:val="8"/>
          <w:kern w:val="10"/>
          <w:sz w:val="32"/>
          <w:szCs w:val="32"/>
        </w:rPr>
      </w:pPr>
      <w:bookmarkStart w:id="20" w:name="_Toc79163604"/>
      <w:bookmarkStart w:id="21" w:name="_Toc79163854"/>
      <w:bookmarkStart w:id="22" w:name="_Toc15377199"/>
      <w:bookmarkStart w:id="23" w:name="_Toc15378446"/>
      <w:r>
        <w:rPr>
          <w:rFonts w:hint="eastAsia" w:ascii="方正仿宋_GBK" w:hAnsi="方正仿宋_GBK" w:eastAsia="方正仿宋_GBK" w:cs="方正仿宋_GBK"/>
          <w:b/>
          <w:bCs/>
          <w:spacing w:val="8"/>
          <w:kern w:val="10"/>
          <w:sz w:val="32"/>
          <w:szCs w:val="32"/>
        </w:rPr>
        <w:t>（一）主要职能</w:t>
      </w:r>
      <w:r>
        <w:rPr>
          <w:rFonts w:hint="eastAsia" w:ascii="方正仿宋_GBK" w:hAnsi="方正仿宋_GBK" w:eastAsia="方正仿宋_GBK" w:cs="方正仿宋_GBK"/>
          <w:spacing w:val="8"/>
          <w:kern w:val="10"/>
          <w:sz w:val="32"/>
          <w:szCs w:val="32"/>
        </w:rPr>
        <w:t>。</w:t>
      </w:r>
    </w:p>
    <w:p w14:paraId="08DA5C01">
      <w:pPr>
        <w:ind w:firstLine="640" w:firstLineChars="200"/>
        <w:rPr>
          <w:rFonts w:hint="eastAsia" w:ascii="仿宋_GB2312" w:hAnsi="仿宋_GB2312" w:eastAsia="仿宋_GB2312" w:cs="仿宋_GB2312"/>
          <w:color w:val="313131"/>
          <w:kern w:val="0"/>
          <w:sz w:val="32"/>
          <w:szCs w:val="32"/>
          <w:lang w:val="en-US" w:eastAsia="zh-CN" w:bidi="ar-SA"/>
        </w:rPr>
      </w:pPr>
      <w:r>
        <w:rPr>
          <w:rFonts w:hint="eastAsia" w:ascii="仿宋_GB2312" w:hAnsi="仿宋_GB2312" w:eastAsia="仿宋_GB2312" w:cs="仿宋_GB2312"/>
          <w:color w:val="313131"/>
          <w:kern w:val="0"/>
          <w:sz w:val="32"/>
          <w:szCs w:val="32"/>
          <w:lang w:val="en-US" w:eastAsia="zh-CN" w:bidi="ar-SA"/>
        </w:rPr>
        <w:t>小金县妇女儿童工作中心是县妇女联合会下属单位。主要工作职能: 一是团结、动员妇女投身改革开放和社会主义现代化建设，促进经济发展和社会全面进步；二是教育、引导广大妇女发扬自尊、自信、自立、自强的精神，提高综合素质，促进全面发展；三是代表妇女参与国家和社会事务的民主决策、民主管理、民主监督，参与有关妇女儿童法律、法规、规章和政策的制定，推动全县妇女、儿童发展纲要的实施，维护妇女儿童合法权益，指导基层妇女工作；四是为妇女、儿童服务，加强与社会各界的联系，协调和推动社会各界为妇女儿童办实事；五是配合组织部门，加强对妇女干部的培养、推荐力度，促进妇女干部成长；六是巩固和扩大各族各界妇女的大团结，加强妇女组织的联谊，增进了解、友谊和合作；七是完成县委县政府授权承办的其他工作。</w:t>
      </w:r>
    </w:p>
    <w:bookmarkEnd w:id="20"/>
    <w:bookmarkEnd w:id="21"/>
    <w:bookmarkEnd w:id="22"/>
    <w:bookmarkEnd w:id="23"/>
    <w:p w14:paraId="732C3CDD">
      <w:pPr>
        <w:pStyle w:val="6"/>
        <w:keepNext w:val="0"/>
        <w:keepLines w:val="0"/>
        <w:pageBreakBefore w:val="0"/>
        <w:kinsoku/>
        <w:wordWrap/>
        <w:overflowPunct/>
        <w:topLinePunct w:val="0"/>
        <w:autoSpaceDE/>
        <w:autoSpaceDN/>
        <w:bidi w:val="0"/>
        <w:adjustRightInd w:val="0"/>
        <w:snapToGrid w:val="0"/>
        <w:spacing w:before="93" w:beforeLines="0" w:line="576" w:lineRule="exact"/>
        <w:ind w:firstLine="671" w:firstLineChars="209"/>
        <w:textAlignment w:val="auto"/>
        <w:outlineLvl w:val="2"/>
        <w:rPr>
          <w:rFonts w:hint="eastAsia" w:ascii="方正仿宋_GBK" w:hAnsi="方正仿宋_GBK" w:eastAsia="方正仿宋_GBK" w:cs="方正仿宋_GBK"/>
          <w:b/>
          <w:bCs w:val="0"/>
          <w:color w:val="000000"/>
          <w:sz w:val="32"/>
          <w:szCs w:val="32"/>
        </w:rPr>
      </w:pPr>
      <w:bookmarkStart w:id="24" w:name="_Toc15377200"/>
      <w:bookmarkStart w:id="25" w:name="_Toc15396601"/>
      <w:bookmarkStart w:id="26" w:name="_Toc79163855"/>
      <w:bookmarkStart w:id="27" w:name="_Toc79163605"/>
      <w:r>
        <w:rPr>
          <w:rFonts w:hint="eastAsia" w:ascii="方正仿宋_GBK" w:hAnsi="方正仿宋_GBK" w:eastAsia="方正仿宋_GBK" w:cs="方正仿宋_GBK"/>
          <w:b/>
          <w:bCs w:val="0"/>
          <w:color w:val="000000"/>
          <w:sz w:val="32"/>
          <w:szCs w:val="32"/>
        </w:rPr>
        <w:t>（二）</w:t>
      </w:r>
      <w:r>
        <w:rPr>
          <w:rFonts w:hint="eastAsia" w:ascii="方正仿宋_GBK" w:hAnsi="方正仿宋_GBK" w:eastAsia="方正仿宋_GBK" w:cs="方正仿宋_GBK"/>
          <w:b/>
          <w:bCs w:val="0"/>
          <w:color w:val="000000"/>
          <w:sz w:val="32"/>
          <w:szCs w:val="32"/>
          <w:lang w:eastAsia="zh-CN"/>
        </w:rPr>
        <w:t>202</w:t>
      </w:r>
      <w:r>
        <w:rPr>
          <w:rFonts w:hint="eastAsia" w:ascii="方正仿宋_GBK" w:hAnsi="方正仿宋_GBK" w:eastAsia="方正仿宋_GBK" w:cs="方正仿宋_GBK"/>
          <w:b/>
          <w:bCs w:val="0"/>
          <w:color w:val="000000"/>
          <w:sz w:val="32"/>
          <w:szCs w:val="32"/>
          <w:lang w:val="en-US" w:eastAsia="zh-CN"/>
        </w:rPr>
        <w:t>5</w:t>
      </w:r>
      <w:r>
        <w:rPr>
          <w:rFonts w:hint="eastAsia" w:ascii="方正仿宋_GBK" w:hAnsi="方正仿宋_GBK" w:eastAsia="方正仿宋_GBK" w:cs="方正仿宋_GBK"/>
          <w:b/>
          <w:bCs w:val="0"/>
          <w:color w:val="000000"/>
          <w:sz w:val="32"/>
          <w:szCs w:val="32"/>
          <w:lang w:eastAsia="zh-CN"/>
        </w:rPr>
        <w:t>年</w:t>
      </w:r>
      <w:r>
        <w:rPr>
          <w:rFonts w:hint="eastAsia" w:ascii="方正仿宋_GBK" w:hAnsi="方正仿宋_GBK" w:eastAsia="方正仿宋_GBK" w:cs="方正仿宋_GBK"/>
          <w:b/>
          <w:bCs w:val="0"/>
          <w:color w:val="000000"/>
          <w:sz w:val="32"/>
          <w:szCs w:val="32"/>
        </w:rPr>
        <w:t>重点工作完成情况。</w:t>
      </w:r>
    </w:p>
    <w:p w14:paraId="0C5C1E5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巾帼铸魂行动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，筑牢妇女思想引领根基</w:t>
      </w:r>
    </w:p>
    <w:p w14:paraId="6D3F396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思想政治引领是妇联组织的首要政治任务。2025年，县妇联坚持把党的创新理论武装贯穿妇女工作全过程，以多样化、接地气的方式推动党的声音直达妇女群众心中，实现思想共识、情感共鸣、行动共振。</w:t>
      </w:r>
    </w:p>
    <w:p w14:paraId="25F4B24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强化理论武装凝共识。</w:t>
      </w:r>
      <w:r>
        <w:rPr>
          <w:rFonts w:hint="eastAsia" w:ascii="仿宋_GB2312" w:hAnsi="仿宋_GB2312" w:eastAsia="仿宋_GB2312" w:cs="仿宋_GB2312"/>
          <w:sz w:val="32"/>
          <w:szCs w:val="32"/>
        </w:rPr>
        <w:t>始终把学习宣传贯彻党的二十届三中、四中全会精神、习近平总书记在世界妇女峰会的主旨讲话精神作为核心政治任务，统筹推进党纪学习教育、中央八项规定精神学习教育落地见效。</w:t>
      </w:r>
      <w:r>
        <w:rPr>
          <w:rFonts w:hint="eastAsia" w:ascii="仿宋_GB2312" w:hAnsi="仿宋_GB2312" w:eastAsia="仿宋_GB2312" w:cs="仿宋_GB2312"/>
          <w:sz w:val="32"/>
          <w:szCs w:val="32"/>
          <w:lang w:eastAsia="zh-CN"/>
        </w:rPr>
        <w:t>积极向州妇联争取“</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”思想引领项目</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线上+线下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立体化宣讲格局，在“三新领域”、文旅行业、乡镇、村（社区）基层、县域内中小学校开展“雪域玫瑰</w:t>
      </w:r>
      <w:r>
        <w:rPr>
          <w:rFonts w:hint="eastAsia" w:ascii="仿宋_GB2312" w:hAnsi="仿宋_GB2312" w:eastAsia="仿宋_GB2312" w:cs="仿宋_GB2312"/>
          <w:sz w:val="32"/>
          <w:szCs w:val="32"/>
          <w:lang w:eastAsia="zh-CN"/>
        </w:rPr>
        <w:t>巾帼</w:t>
      </w:r>
      <w:r>
        <w:rPr>
          <w:rFonts w:hint="eastAsia" w:ascii="仿宋_GB2312" w:hAnsi="仿宋_GB2312" w:eastAsia="仿宋_GB2312" w:cs="仿宋_GB2312"/>
          <w:sz w:val="32"/>
          <w:szCs w:val="32"/>
        </w:rPr>
        <w:t>大宣讲”，覆盖妇女人数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人次，通过原原本本学、结合实际讲，引导广大妇女深刻领悟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两个确立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的决定性意义，增强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四个意识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四个自信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两个维护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，切实把思想和行动统一到党中央决策部署上来。</w:t>
      </w:r>
    </w:p>
    <w:p w14:paraId="2834EDF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丰富活动载体聚人心。</w:t>
      </w:r>
      <w:r>
        <w:rPr>
          <w:rFonts w:hint="eastAsia" w:ascii="仿宋_GB2312" w:hAnsi="仿宋_GB2312" w:eastAsia="仿宋_GB2312" w:cs="仿宋_GB2312"/>
          <w:sz w:val="32"/>
          <w:szCs w:val="32"/>
        </w:rPr>
        <w:t>以纪念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国际劳动妇女节第115周年为契机，成功举办表扬大会暨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巾帼聚力 共谋发展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座谈会，对全县优秀女性代表、先进集体进行隆重表彰，激励广大妇女见贤思齐、争当先进。同步开展优秀女性交流分享、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春花绽放——女性'她'力量沙龙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等特色活动，为女性搭建思想碰撞、经验交流、情感联结的平台。常态化推进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巾帼普法乡村行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巾帼志愿关爱行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等品牌活动，将理论宣传、政策解读、情感关怀融入活动全过程，让广大妇女在参与中感受到党和政府的温暖关怀，体会到妇联组织的娘家温情。</w:t>
      </w:r>
    </w:p>
    <w:p w14:paraId="3D00D4E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典型示范引领聚力量。</w:t>
      </w:r>
      <w:r>
        <w:rPr>
          <w:rFonts w:hint="eastAsia" w:ascii="仿宋_GB2312" w:hAnsi="仿宋_GB2312" w:eastAsia="仿宋_GB2312" w:cs="仿宋_GB2312"/>
          <w:sz w:val="32"/>
          <w:szCs w:val="32"/>
        </w:rPr>
        <w:t>坚持以先进典型为标杆，充分发挥榜样的示范带动作用。在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节期间集中表扬优秀巾帼团体、优秀女性，用身边事教育身边人，激发妇女群众的干事热情。依托微信公众号、乡村宣传栏等宣传阵地，全方位、多角度宣传妇女先进典型事迹，讲好小金女性奋斗故事，弘扬自尊、自信、自立、自强的新时代女性精神。全年培育选树州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2户（郑泽东家庭、白超义家庭），以家庭文明新风尚引领社会文明进步，凝聚起巾帼心向党、奋进新征程的强大精神力量。</w:t>
      </w:r>
    </w:p>
    <w:p w14:paraId="036798F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巾帼暖心行动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，精准帮扶困境妇儿群体</w:t>
      </w:r>
    </w:p>
    <w:p w14:paraId="7DFBEA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县妇联始终坚持以人民为中心的发展思想，聚焦妇女儿童急难愁盼问题，精准对接需求、精准链接资源、精准开展服务，用实打实的举措为困境妇儿撑起一片蓝天，让关爱服务更有温度、更具精度。</w:t>
      </w:r>
    </w:p>
    <w:p w14:paraId="72C84A3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民生实事落地见效。</w:t>
      </w:r>
      <w:r>
        <w:rPr>
          <w:rFonts w:hint="eastAsia" w:ascii="仿宋_GB2312" w:hAnsi="仿宋_GB2312" w:eastAsia="仿宋_GB2312" w:cs="仿宋_GB2312"/>
          <w:sz w:val="32"/>
          <w:szCs w:val="32"/>
        </w:rPr>
        <w:t>扎实推进阿坝州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十大民生工程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，切实为妇女群众纾困解难。为220名困境单亲母亲购买女性安康疾病保险，每人每年投保100元，同步发放关爱帮扶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(价值400元/人)</w:t>
      </w:r>
      <w:r>
        <w:rPr>
          <w:rFonts w:hint="eastAsia" w:ascii="仿宋_GB2312" w:hAnsi="仿宋_GB2312" w:eastAsia="仿宋_GB2312" w:cs="仿宋_GB2312"/>
          <w:sz w:val="32"/>
          <w:szCs w:val="32"/>
        </w:rPr>
        <w:t>，为单亲母亲群体筑牢健康保障和生活救助防线；对8名患重特大疾病的低收入妇女实施专项救助，每人一次性发放救助金3000元，有效缓解患病妇女家庭经济压力。</w:t>
      </w:r>
      <w:r>
        <w:rPr>
          <w:rFonts w:hint="eastAsia" w:ascii="仿宋_GB2312" w:hAnsi="仿宋_GB2312" w:eastAsia="仿宋_GB2312" w:cs="仿宋_GB2312"/>
          <w:sz w:val="32"/>
          <w:szCs w:val="32"/>
          <w:lang w:eastAsia="zh-CN"/>
        </w:rPr>
        <w:t>争取</w:t>
      </w:r>
      <w:r>
        <w:rPr>
          <w:rFonts w:hint="eastAsia" w:ascii="仿宋_GB2312" w:hAnsi="仿宋_GB2312" w:eastAsia="仿宋_GB2312" w:cs="仿宋_GB2312"/>
          <w:sz w:val="32"/>
          <w:szCs w:val="32"/>
        </w:rPr>
        <w:t>阿坝州“爱润阿坝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净土春晖”关爱困境妇女儿童基金</w:t>
      </w:r>
      <w:r>
        <w:rPr>
          <w:rFonts w:hint="eastAsia" w:ascii="仿宋_GB2312" w:hAnsi="仿宋_GB2312" w:eastAsia="仿宋_GB2312" w:cs="仿宋_GB2312"/>
          <w:sz w:val="32"/>
          <w:szCs w:val="32"/>
          <w:lang w:val="en-US" w:eastAsia="zh-CN"/>
        </w:rPr>
        <w:t>2.4万元，惠及7名困境儿童。</w:t>
      </w:r>
      <w:r>
        <w:rPr>
          <w:rFonts w:hint="eastAsia" w:ascii="仿宋_GB2312" w:hAnsi="仿宋_GB2312" w:eastAsia="仿宋_GB2312" w:cs="仿宋_GB2312"/>
          <w:sz w:val="32"/>
          <w:szCs w:val="32"/>
        </w:rPr>
        <w:t>持续深化妇女健康关爱工作，常态化开展城乡妇女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免费筛查，广泛普及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防治知识，开展健康知识讲座3场，多渠道提升女性健康意识和自我防护能力；持续推进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健康阿妈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救助工作，</w:t>
      </w:r>
      <w:r>
        <w:rPr>
          <w:rFonts w:hint="eastAsia" w:ascii="仿宋_GB2312" w:hAnsi="仿宋_GB2312" w:eastAsia="仿宋_GB2312" w:cs="仿宋_GB2312"/>
          <w:sz w:val="32"/>
          <w:szCs w:val="32"/>
          <w:lang w:val="en-US" w:eastAsia="zh-CN"/>
        </w:rPr>
        <w:t>2025年上半年共救助患病妇女19名，发放救助金2.8万元，</w:t>
      </w:r>
      <w:r>
        <w:rPr>
          <w:rFonts w:hint="eastAsia" w:ascii="仿宋_GB2312" w:hAnsi="仿宋_GB2312" w:eastAsia="仿宋_GB2312" w:cs="仿宋_GB2312"/>
          <w:sz w:val="32"/>
          <w:szCs w:val="32"/>
        </w:rPr>
        <w:t>定期对因病因灾导致生活困难的妇女家庭开展摸底调查，详细掌握生活状况、身体情况及实际困难，每季度汇总申报并落实后续帮扶措施，切实把民生关怀送到妇女群众心坎上。</w:t>
      </w:r>
    </w:p>
    <w:p w14:paraId="245EAF9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困境儿童关爱有力。</w:t>
      </w:r>
      <w:r>
        <w:rPr>
          <w:rFonts w:hint="eastAsia" w:ascii="仿宋_GB2312" w:hAnsi="仿宋_GB2312" w:eastAsia="仿宋_GB2312" w:cs="仿宋_GB2312"/>
          <w:sz w:val="32"/>
          <w:szCs w:val="32"/>
        </w:rPr>
        <w:t>深化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群众工作爱心爸妈行动，创新构建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心理+法治+生活+情感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多维度关爱模式，为特殊群体儿童提供全方位、精细化呵护，让孩子们在爱与陪伴中增强安全感、幸福感和获得感。目前全县293名困境儿童均实现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结对帮扶全覆盖，县妇联联合各部门协同发力，常态化组织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开展入户走访、关爱帮扶活动，织密织牢困境儿童关爱保护网。</w:t>
      </w:r>
      <w:r>
        <w:rPr>
          <w:rFonts w:hint="eastAsia" w:ascii="仿宋_GB2312" w:hAnsi="仿宋_GB2312" w:eastAsia="仿宋_GB2312" w:cs="仿宋_GB2312"/>
          <w:sz w:val="32"/>
          <w:szCs w:val="32"/>
          <w:lang w:eastAsia="zh-CN"/>
        </w:rPr>
        <w:t>组织</w:t>
      </w:r>
      <w:r>
        <w:rPr>
          <w:rFonts w:hint="eastAsia" w:ascii="Times New Roman" w:hAnsi="Times New Roman" w:eastAsia="方正仿宋_GBK" w:cs="Times New Roman"/>
          <w:sz w:val="32"/>
          <w:szCs w:val="32"/>
          <w:lang w:val="en-US" w:eastAsia="zh-CN"/>
        </w:rPr>
        <w:t>开展“爱心爸妈”线上线下赋能培训12场次，</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开展特色关爱活动，在城关二小举办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 情暖童心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亲子活动，在特教学校开展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童心同梦同行·真诚尊重平等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结对关爱主题活动，让困境儿童充分感受到社会大家庭的温暖。</w:t>
      </w:r>
    </w:p>
    <w:p w14:paraId="3680C2A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爱心资源精准对接。</w:t>
      </w:r>
      <w:r>
        <w:rPr>
          <w:rFonts w:hint="eastAsia" w:ascii="仿宋_GB2312" w:hAnsi="仿宋_GB2312" w:eastAsia="仿宋_GB2312" w:cs="仿宋_GB2312"/>
          <w:sz w:val="32"/>
          <w:szCs w:val="32"/>
        </w:rPr>
        <w:t>主动担当作为，积极链接</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外爱心资源，为困境妇儿争取更多帮扶力量。成功对接新津区对口支援帮扶资金8.82万元，购置并发放困境儿童暖心包294份；联动德清妇联及爱心企业，为全县17所幼儿园女童捐赠爱心衣物550件；对接浙江对口帮扶资源，争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浙爱暖心行囊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70套，精准惠及县内困境儿童；协调德清爱心人士对3名困境儿童进行长期资助，帮扶直至大学毕业；通过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天府同心 温暖童行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关爱行动，筹集社会善款</w:t>
      </w:r>
      <w:r>
        <w:rPr>
          <w:rFonts w:hint="eastAsia" w:ascii="仿宋_GB2312" w:hAnsi="仿宋_GB2312" w:eastAsia="仿宋_GB2312" w:cs="仿宋_GB2312"/>
          <w:sz w:val="32"/>
          <w:szCs w:val="32"/>
          <w:lang w:val="en-US" w:eastAsia="zh-CN"/>
        </w:rPr>
        <w:t>0.78万</w:t>
      </w:r>
      <w:r>
        <w:rPr>
          <w:rFonts w:hint="eastAsia" w:ascii="仿宋_GB2312" w:hAnsi="仿宋_GB2312" w:eastAsia="仿宋_GB2312" w:cs="仿宋_GB2312"/>
          <w:sz w:val="32"/>
          <w:szCs w:val="32"/>
        </w:rPr>
        <w:t>元，以生活学习补助金和暖心包形式惠及6名留守及困境儿童；</w:t>
      </w:r>
      <w:r>
        <w:rPr>
          <w:rFonts w:hint="eastAsia" w:ascii="仿宋_GB2312" w:hAnsi="仿宋_GB2312" w:eastAsia="仿宋_GB2312" w:cs="仿宋_GB2312"/>
          <w:sz w:val="32"/>
          <w:szCs w:val="32"/>
          <w:lang w:val="en-US" w:eastAsia="zh-CN"/>
        </w:rPr>
        <w:t>携手四川华焱集团在小金开展捐资助学活动，为16名品学兼优且家庭困难的初、高中学生每人发放2000元助学金，共计3.2万元。</w:t>
      </w:r>
      <w:r>
        <w:rPr>
          <w:rFonts w:hint="eastAsia" w:ascii="仿宋_GB2312" w:hAnsi="仿宋_GB2312" w:eastAsia="仿宋_GB2312" w:cs="仿宋_GB2312"/>
          <w:sz w:val="32"/>
          <w:szCs w:val="32"/>
        </w:rPr>
        <w:t>争取中国人寿马尔康市支公司捐赠价值110万元的女性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爱心保险；对接粉红丝带爱心大使、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珠峰玫瑰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孙宁女士链接爱心企业，捐赠护理佳卫生巾70箱、冬季衣物160套、内衣1000件，总价值9.8万元。各类爱心资源精准用于困境妇女健康关爱、生活救助及困境儿童学业支持、成长关怀等领域，切实解决了部分群体的实际困难，彰显了妇联组织的责任与担当。</w:t>
      </w:r>
    </w:p>
    <w:p w14:paraId="3DEE52C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巾帼建功行动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，赋能女性助力发展大局</w:t>
      </w:r>
    </w:p>
    <w:p w14:paraId="1C288CD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围绕县委、县政府中心工作，县妇联立足职能定位，聚焦创业就业、乡村振兴等重点领域，精准赋能女性发展，引导广大妇女在经济社会发展主战场建功立业，展现新时代女性的担当与作为。</w:t>
      </w:r>
    </w:p>
    <w:p w14:paraId="253A3FE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助力女性创业就业。</w:t>
      </w:r>
      <w:r>
        <w:rPr>
          <w:rFonts w:hint="eastAsia" w:ascii="仿宋_GB2312" w:hAnsi="仿宋_GB2312" w:eastAsia="仿宋_GB2312" w:cs="仿宋_GB2312"/>
          <w:sz w:val="32"/>
          <w:szCs w:val="32"/>
        </w:rPr>
        <w:t>坚持把促进女性就业创业作为服务妇女发展的重要抓手，整合资源、搭建平台、强化赋能。年初联合县就业局等部门开展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春风行动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现场招聘会，为广大妇女群众送岗位、送信息、送服务，搭建企业与女性求职者的对接桥梁。针对女性就业需求，</w:t>
      </w:r>
      <w:r>
        <w:rPr>
          <w:rFonts w:hint="eastAsia" w:ascii="仿宋_GB2312" w:hAnsi="仿宋_GB2312" w:eastAsia="仿宋_GB2312" w:cs="仿宋_GB2312"/>
          <w:sz w:val="32"/>
          <w:szCs w:val="32"/>
          <w:lang w:eastAsia="zh-CN"/>
        </w:rPr>
        <w:t>联合就业局</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巾帼赋能促就业 巧厨娘烹饪培训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家门口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缝纫工专项培训等技能提升活动，切实提高女性就业竞争力，帮助妇女实现就近就地就业，以技能赋能拓宽女性增收渠道，激发女性创业就业内生动力。</w:t>
      </w:r>
    </w:p>
    <w:p w14:paraId="525C296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衔接助力乡村振兴。</w:t>
      </w:r>
      <w:r>
        <w:rPr>
          <w:rFonts w:hint="eastAsia" w:ascii="仿宋_GB2312" w:hAnsi="仿宋_GB2312" w:eastAsia="仿宋_GB2312" w:cs="仿宋_GB2312"/>
          <w:sz w:val="32"/>
          <w:szCs w:val="32"/>
        </w:rPr>
        <w:t>紧扣乡村振兴战略部署，立足小金县农业产业发展实际，积极申报妇女居家灵活就业示范项目，以项目带动妇女参与产业发展、实现增收致富。2025年成功申报州级妇女居家灵活就业示范项目2个，分别为小金县矮化密植车厘子+粮经复合立体农业种植推广示范基地建设项目、小金县高半山区羌活、大黄规范化种植推广与产地初加工示范基地建设项目。通过项目实施，带动周边妇女参与特色种植、农产品初加工等产业，有效拓宽妇女增收路径，助力农业产业提质增效，为乡村振兴注入巾帼活力。</w:t>
      </w:r>
    </w:p>
    <w:p w14:paraId="612A979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家风润州行动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，深化家庭家教家风建设</w:t>
      </w:r>
    </w:p>
    <w:p w14:paraId="7345433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家庭是社会的基本细胞，家庭家教家风建设是妇联组织的传统优势和工作重点。2025年，县妇联以培育和践行社会主义核心价值观为引领，深入推进家庭文明建设，以好家风涵养好民风、引领好社风。</w:t>
      </w:r>
    </w:p>
    <w:p w14:paraId="7579673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深化移风易俗树新风。</w:t>
      </w:r>
      <w:r>
        <w:rPr>
          <w:rFonts w:hint="eastAsia" w:ascii="仿宋_GB2312" w:hAnsi="仿宋_GB2312" w:eastAsia="仿宋_GB2312" w:cs="仿宋_GB2312"/>
          <w:sz w:val="32"/>
          <w:szCs w:val="32"/>
        </w:rPr>
        <w:t>以破除陈规陋习、弘扬文明新风为目标，拿出实打实的举措推进移风易俗工作走深走实。聚焦高价彩礼、大操大办、厚葬薄养等群众高度关切的问题，组建巾帼宣讲队深入乡镇、村（社区）开展专题宣讲，用通俗易懂的语言解读文明理念，引导群众转变思想观念。依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妇女之家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新时代文明实践站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等阵地，广泛开展最美家庭评选、好媳妇好婆婆表彰等活动，以榜样力量引领群众自觉践行文明新风，推动形成婚事新办、丧事简办、节俭养德、孝老爱亲的良好社会风尚。</w:t>
      </w:r>
    </w:p>
    <w:p w14:paraId="0C8EF94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普及家庭教育提素养。</w:t>
      </w:r>
      <w:r>
        <w:rPr>
          <w:rFonts w:hint="eastAsia" w:ascii="仿宋_GB2312" w:hAnsi="仿宋_GB2312" w:eastAsia="仿宋_GB2312" w:cs="仿宋_GB2312"/>
          <w:sz w:val="32"/>
          <w:szCs w:val="32"/>
        </w:rPr>
        <w:t>坚持把家庭教育作为立德树人的重要基础，常态化开展家庭教育宣讲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活动（进农村、进企业、进校园、进社区、进家庭），全年开展宣讲活动20余场，惠及群众近3000人次，有效提升家长科学育儿能力。</w:t>
      </w:r>
      <w:r>
        <w:rPr>
          <w:rFonts w:hint="eastAsia" w:ascii="仿宋_GB2312" w:hAnsi="仿宋_GB2312" w:eastAsia="仿宋_GB2312" w:cs="仿宋_GB2312"/>
          <w:sz w:val="32"/>
          <w:szCs w:val="32"/>
          <w:lang w:eastAsia="zh-CN"/>
        </w:rPr>
        <w:t>坚持推进</w:t>
      </w:r>
      <w:r>
        <w:rPr>
          <w:rFonts w:hint="eastAsia" w:ascii="仿宋_GB2312" w:hAnsi="仿宋_GB2312" w:eastAsia="仿宋_GB2312" w:cs="仿宋_GB2312"/>
          <w:sz w:val="32"/>
          <w:szCs w:val="32"/>
          <w:lang w:val="en-US" w:eastAsia="zh-CN"/>
        </w:rPr>
        <w:t>“爱在开端·0-6岁科学育儿社区家庭支持推广”项目，于11月顺利通过省级专家项目督导，县妇联联合县机关幼儿园，精心举办“爱在开端，育在当下-携手亲子共成长”专题活动，特邀省级督导专家杨秀蓉老师授课，讲座聚焦0-6岁儿童成长关键期的育儿痛点、难点，传递科学育儿知识与实用技巧，吸引80余名家长参与。</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5.15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国际家庭日期间，联合县文明办在小金县家风馆开展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石榴花开·我为妈妈送祝福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暨家庭故事分享活动，邀请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书香家庭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代表、优秀教师、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代表分享孝老爱亲、勤俭持家、教书育人的家风故事及好家训、好家规，引导广大家庭传承优良家风、培育家庭美德，推动形成家校社协同育人的良好格局。</w:t>
      </w:r>
    </w:p>
    <w:p w14:paraId="03FFC77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巾帼维权行动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，筑牢妇女儿童权益防线</w:t>
      </w:r>
    </w:p>
    <w:p w14:paraId="44922D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县妇联始终把维护妇女儿童合法权益作为工作的重中之重，不断健全维权机制、强化宣传引导、提升服务效能，切实为妇女儿童保驾护航，让法治阳光照亮每一个角落。</w:t>
      </w:r>
    </w:p>
    <w:p w14:paraId="709CD5D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健全维权工作机制。</w:t>
      </w:r>
      <w:r>
        <w:rPr>
          <w:rFonts w:hint="eastAsia" w:ascii="仿宋_GB2312" w:hAnsi="仿宋_GB2312" w:eastAsia="仿宋_GB2312" w:cs="仿宋_GB2312"/>
          <w:sz w:val="32"/>
          <w:szCs w:val="32"/>
        </w:rPr>
        <w:t>持续深化妇女儿童维权服务中心、妇女儿童工作中心建设，推动建立政法委、法院、检察院、公安局、司法局、民政局、教育局等多部门联动的婚姻家庭纠纷化解机制，形成齐抓共管、协同发力的维权工作格局。全年开展妇女儿童维权工作业务培训2期，提升妇联干部及基层维权人员的专业能力和服务水平。畅通维权诉求渠道，认真接待妇女群众来信来访，做到事事有回应、件件有落实，2025年共接待来信来访妇女23人次，调处率达100%，切实把矛盾化解在基层、解决在萌芽状态。</w:t>
      </w:r>
    </w:p>
    <w:p w14:paraId="3104485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强化法治宣传教育。</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权周、国际反家庭暴力日等特殊节点为契机，开展主题宣传活动10余期，通过现场讲解、发放宣传资料、案例分析等方式，向妇女群众普及《妇女权益保障法》《反家庭暴力法》《家庭教育促进法》等法律法规知识，覆盖群众1万余人次，切实提升妇女群众的法治意识和维权能力。创新宣传方式，将法律知识融入巾帼大宣讲、文艺演出等活动，让法治宣传更接地气、更具实效，引导妇女群众自觉学法、懂法、守法、用法。</w:t>
      </w:r>
    </w:p>
    <w:p w14:paraId="1E559B0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精准开展维权赋能。</w:t>
      </w:r>
      <w:r>
        <w:rPr>
          <w:rFonts w:hint="eastAsia" w:ascii="仿宋_GB2312" w:hAnsi="仿宋_GB2312" w:eastAsia="仿宋_GB2312" w:cs="仿宋_GB2312"/>
          <w:sz w:val="32"/>
          <w:szCs w:val="32"/>
        </w:rPr>
        <w:t>针对单亲妈妈这一特殊群体，委托小金县绿洲社工服务中心承办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暖心相伴·筑梦前行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单亲妈妈维权关爱赋能活动，创新采用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主题讲座+手工工作坊+交流分享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的多元模式，将心理疏导、法律维权、技能赋能与情感联结深度融合，为单亲妈妈群体提供全方位的支持与帮助，帮助她们缓解心理压力、提升维权能力、增强生活信心，切实感受到社会的关怀与温暖。</w:t>
      </w:r>
    </w:p>
    <w:p w14:paraId="7DA7D66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巾帼夯基行动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，深化妇联组织改革创新</w:t>
      </w:r>
    </w:p>
    <w:p w14:paraId="762B7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以深化妇联改革为动力，聚焦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强基层、补短板、增活力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目标，充分发挥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字优势，不断拓宽组织覆盖面、提升队伍战斗力，为妇女工作高质量发展筑牢组织根基。</w:t>
      </w:r>
    </w:p>
    <w:p w14:paraId="4EC5E7A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拓展组织覆盖范围。</w:t>
      </w:r>
      <w:r>
        <w:rPr>
          <w:rFonts w:hint="eastAsia" w:ascii="仿宋_GB2312" w:hAnsi="仿宋_GB2312" w:eastAsia="仿宋_GB2312" w:cs="仿宋_GB2312"/>
          <w:sz w:val="32"/>
          <w:szCs w:val="32"/>
        </w:rPr>
        <w:t>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领域（新经济组织、新社会组织、新就业群体）妇女组织建设，突破传统组织边界，</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30余</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两新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组织建立妇联组织，</w:t>
      </w:r>
      <w:r>
        <w:rPr>
          <w:rFonts w:hint="eastAsia" w:ascii="仿宋_GB2312" w:hAnsi="仿宋_GB2312" w:eastAsia="仿宋_GB2312" w:cs="仿宋_GB2312"/>
          <w:sz w:val="32"/>
          <w:szCs w:val="32"/>
        </w:rPr>
        <w:t>实现妇联工作在新兴领域的有效覆盖。加强与县委社会工作部的沟通协作，对全县新兴领域妇女群体数据进行全面摸排，建立健全工作台账，精准掌握妇女分布及需求情况，不断拓宽基层妇联组织覆盖面，延伸工作触角，让妇联组织的服务延伸到妇女群众生产生活的各个角落。</w:t>
      </w:r>
    </w:p>
    <w:p w14:paraId="5B3EFA6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凝聚多方工作合力。</w:t>
      </w: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党建带妇建、妇建服务党建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原则，加强与各部门、各单位的协同联动，形成工作合力。联合县委社会工作部在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格桑花开——雪域玫瑰巾帼大宣讲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活动，深入解读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三新领域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妇联组织建设的重要意义和具体要求，凝聚各方共识，推动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领域妇联组织规范化建设。充分发挥巾帼志愿者、女性社会组织等力量的作用，构建多方参与、协同发力的妇女工作格局，切实提升妇联组织的凝聚力、影响力和服务能力。</w:t>
      </w:r>
    </w:p>
    <w:p w14:paraId="16183696">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二、机构设置</w:t>
      </w:r>
      <w:bookmarkEnd w:id="24"/>
      <w:bookmarkEnd w:id="25"/>
      <w:bookmarkEnd w:id="26"/>
      <w:bookmarkEnd w:id="27"/>
    </w:p>
    <w:p w14:paraId="258B41F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olor w:val="000000"/>
          <w:kern w:val="0"/>
          <w:sz w:val="32"/>
          <w:szCs w:val="32"/>
          <w:lang w:val="en-US"/>
        </w:rPr>
      </w:pPr>
      <w:r>
        <w:rPr>
          <w:rFonts w:hint="eastAsia" w:ascii="仿宋_GB2312" w:hAnsi="仿宋_GB2312" w:eastAsia="仿宋_GB2312" w:cs="仿宋_GB2312"/>
          <w:sz w:val="32"/>
          <w:szCs w:val="32"/>
          <w:lang w:val="en-US" w:eastAsia="zh-CN"/>
        </w:rPr>
        <w:t>小金县妇女儿童工作中心属小金县妇女联合会二级单位属事业单位，事业编制3名。属纳入2025年度部门决算编制范围的二级预算单位。现有工作人员3人。</w:t>
      </w:r>
    </w:p>
    <w:p w14:paraId="1998D28C">
      <w:pPr>
        <w:pageBreakBefore w:val="0"/>
        <w:widowControl/>
        <w:kinsoku/>
        <w:wordWrap/>
        <w:overflowPunct/>
        <w:topLinePunct w:val="0"/>
        <w:autoSpaceDE/>
        <w:autoSpaceDN/>
        <w:bidi w:val="0"/>
        <w:spacing w:line="576" w:lineRule="exact"/>
        <w:ind w:firstLine="640" w:firstLineChars="200"/>
        <w:jc w:val="left"/>
        <w:textAlignment w:val="auto"/>
        <w:rPr>
          <w:rFonts w:ascii="仿宋" w:eastAsia="仿宋"/>
          <w:color w:val="000000"/>
          <w:kern w:val="0"/>
          <w:sz w:val="32"/>
          <w:szCs w:val="32"/>
        </w:rPr>
      </w:pPr>
      <w:r>
        <w:rPr>
          <w:rFonts w:ascii="仿宋" w:eastAsia="仿宋"/>
          <w:color w:val="000000"/>
          <w:sz w:val="32"/>
          <w:szCs w:val="32"/>
        </w:rPr>
        <w:br w:type="page"/>
      </w:r>
    </w:p>
    <w:p w14:paraId="438086B7">
      <w:pPr>
        <w:pStyle w:val="2"/>
        <w:pageBreakBefore w:val="0"/>
        <w:kinsoku/>
        <w:wordWrap/>
        <w:overflowPunct/>
        <w:topLinePunct w:val="0"/>
        <w:bidi w:val="0"/>
        <w:spacing w:line="576" w:lineRule="exact"/>
        <w:ind w:right="440"/>
        <w:jc w:val="right"/>
        <w:rPr>
          <w:rStyle w:val="23"/>
          <w:rFonts w:hint="eastAsia" w:ascii="方正黑体_GBK" w:hAnsi="方正黑体_GBK" w:eastAsia="方正黑体_GBK" w:cs="方正黑体_GBK"/>
          <w:b w:val="0"/>
          <w:bCs w:val="0"/>
        </w:rPr>
      </w:pPr>
      <w:bookmarkStart w:id="28" w:name="_Toc15396602"/>
      <w:bookmarkStart w:id="29" w:name="_Toc79163609"/>
      <w:bookmarkStart w:id="30" w:name="_Toc79163859"/>
      <w:bookmarkStart w:id="31" w:name="_Toc15377204"/>
      <w:r>
        <w:rPr>
          <w:rFonts w:hint="eastAsia" w:ascii="方正黑体_GBK" w:hAnsi="方正黑体_GBK" w:eastAsia="方正黑体_GBK" w:cs="方正黑体_GBK"/>
          <w:b w:val="0"/>
          <w:color w:val="000000"/>
        </w:rPr>
        <w:t>第二部分</w:t>
      </w:r>
      <w:r>
        <w:rPr>
          <w:rFonts w:hint="eastAsia" w:ascii="方正黑体_GBK" w:hAnsi="方正黑体_GBK" w:eastAsia="方正黑体_GBK" w:cs="方正黑体_GBK"/>
          <w:color w:val="000000"/>
        </w:rPr>
        <w:t xml:space="preserve"> </w:t>
      </w:r>
      <w:r>
        <w:rPr>
          <w:rStyle w:val="23"/>
          <w:rFonts w:hint="eastAsia" w:ascii="方正黑体_GBK" w:hAnsi="方正黑体_GBK" w:eastAsia="方正黑体_GBK" w:cs="方正黑体_GBK"/>
          <w:b w:val="0"/>
          <w:bCs w:val="0"/>
          <w:lang w:eastAsia="zh-CN"/>
        </w:rPr>
        <w:t>202</w:t>
      </w:r>
      <w:r>
        <w:rPr>
          <w:rStyle w:val="23"/>
          <w:rFonts w:hint="eastAsia" w:ascii="方正黑体_GBK" w:hAnsi="方正黑体_GBK" w:eastAsia="方正黑体_GBK" w:cs="方正黑体_GBK"/>
          <w:b w:val="0"/>
          <w:bCs w:val="0"/>
          <w:lang w:val="en-US" w:eastAsia="zh-CN"/>
        </w:rPr>
        <w:t>5</w:t>
      </w:r>
      <w:r>
        <w:rPr>
          <w:rStyle w:val="23"/>
          <w:rFonts w:hint="eastAsia" w:ascii="方正黑体_GBK" w:hAnsi="方正黑体_GBK" w:eastAsia="方正黑体_GBK" w:cs="方正黑体_GBK"/>
          <w:b w:val="0"/>
          <w:bCs w:val="0"/>
          <w:lang w:eastAsia="zh-CN"/>
        </w:rPr>
        <w:t>年</w:t>
      </w:r>
      <w:r>
        <w:rPr>
          <w:rStyle w:val="23"/>
          <w:rFonts w:hint="eastAsia" w:ascii="方正黑体_GBK" w:hAnsi="方正黑体_GBK" w:eastAsia="方正黑体_GBK" w:cs="方正黑体_GBK"/>
          <w:b w:val="0"/>
          <w:bCs w:val="0"/>
        </w:rPr>
        <w:t>度部门决算情况说明</w:t>
      </w:r>
      <w:bookmarkEnd w:id="28"/>
      <w:bookmarkEnd w:id="29"/>
      <w:bookmarkEnd w:id="30"/>
      <w:bookmarkEnd w:id="31"/>
    </w:p>
    <w:p w14:paraId="31713171">
      <w:pPr>
        <w:pageBreakBefore w:val="0"/>
        <w:kinsoku/>
        <w:wordWrap/>
        <w:overflowPunct/>
        <w:topLinePunct w:val="0"/>
        <w:bidi w:val="0"/>
        <w:spacing w:line="576" w:lineRule="exact"/>
      </w:pPr>
    </w:p>
    <w:p w14:paraId="185D4B91">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32" w:name="_Toc79163860"/>
      <w:bookmarkStart w:id="33" w:name="_Toc15377205"/>
      <w:bookmarkStart w:id="34" w:name="_Toc79163610"/>
      <w:bookmarkStart w:id="35" w:name="_Toc15396603"/>
      <w:r>
        <w:rPr>
          <w:rFonts w:hint="eastAsia" w:ascii="方正楷体_GBK" w:hAnsi="方正楷体_GBK" w:eastAsia="方正楷体_GBK" w:cs="方正楷体_GBK"/>
          <w:b/>
          <w:bCs w:val="0"/>
          <w:color w:val="000000"/>
          <w:kern w:val="10"/>
          <w:sz w:val="32"/>
          <w:lang w:eastAsia="zh-CN"/>
        </w:rPr>
        <w:t>一、</w:t>
      </w:r>
      <w:r>
        <w:rPr>
          <w:rFonts w:hint="eastAsia" w:ascii="方正楷体_GBK" w:hAnsi="方正楷体_GBK" w:eastAsia="方正楷体_GBK" w:cs="方正楷体_GBK"/>
          <w:b/>
          <w:bCs w:val="0"/>
          <w:color w:val="000000"/>
          <w:kern w:val="10"/>
          <w:sz w:val="32"/>
        </w:rPr>
        <w:t>收入支出决算总体情况说明</w:t>
      </w:r>
      <w:bookmarkEnd w:id="32"/>
      <w:bookmarkEnd w:id="33"/>
      <w:bookmarkEnd w:id="34"/>
      <w:bookmarkEnd w:id="35"/>
    </w:p>
    <w:p w14:paraId="045004F0">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度收</w:t>
      </w:r>
      <w:r>
        <w:rPr>
          <w:rFonts w:hint="eastAsia" w:ascii="方正仿宋_GBK" w:hAnsi="方正仿宋_GBK" w:eastAsia="方正仿宋_GBK" w:cs="方正仿宋_GBK"/>
          <w:color w:val="000000"/>
          <w:sz w:val="32"/>
          <w:szCs w:val="32"/>
          <w:lang w:eastAsia="zh-CN"/>
        </w:rPr>
        <w:t>入</w:t>
      </w:r>
      <w:r>
        <w:rPr>
          <w:rFonts w:hint="eastAsia" w:ascii="方正仿宋_GBK" w:hAnsi="方正仿宋_GBK" w:eastAsia="方正仿宋_GBK" w:cs="方正仿宋_GBK"/>
          <w:color w:val="000000"/>
          <w:sz w:val="32"/>
          <w:szCs w:val="32"/>
        </w:rPr>
        <w:t>总计</w:t>
      </w:r>
      <w:r>
        <w:rPr>
          <w:rFonts w:hint="eastAsia" w:ascii="方正仿宋_GBK" w:hAnsi="方正仿宋_GBK" w:eastAsia="方正仿宋_GBK" w:cs="方正仿宋_GBK"/>
          <w:color w:val="000000"/>
          <w:sz w:val="32"/>
          <w:szCs w:val="32"/>
          <w:lang w:val="en-US" w:eastAsia="zh-CN"/>
        </w:rPr>
        <w:t>59.38万元</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出总计</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0.08</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0.13</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0.08万元，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0.13%，</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人员变动、工资保险基数调整。</w:t>
      </w:r>
    </w:p>
    <w:p w14:paraId="7BB62278">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77C3ED3A">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0288" behindDoc="0" locked="0" layoutInCell="1" allowOverlap="1">
            <wp:simplePos x="0" y="0"/>
            <wp:positionH relativeFrom="column">
              <wp:posOffset>497205</wp:posOffset>
            </wp:positionH>
            <wp:positionV relativeFrom="paragraph">
              <wp:posOffset>185420</wp:posOffset>
            </wp:positionV>
            <wp:extent cx="3367405" cy="2381250"/>
            <wp:effectExtent l="4445" t="5080" r="19050" b="13970"/>
            <wp:wrapSquare wrapText="bothSides"/>
            <wp:docPr id="6" name="图表 6"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677008CC">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4236BD4E">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47699586">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5B74D4E1">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4936E87A">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43E580F5">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176D6E6D">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p>
    <w:p w14:paraId="7FBD1448">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（图1：收、支决算总计变动情况图）（柱状图）</w:t>
      </w:r>
    </w:p>
    <w:p w14:paraId="3DA255D0">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36" w:name="_Toc79163611"/>
      <w:bookmarkStart w:id="37" w:name="_Toc79163861"/>
      <w:bookmarkStart w:id="38" w:name="_Toc15396604"/>
      <w:bookmarkStart w:id="39" w:name="_Toc15377206"/>
      <w:r>
        <w:rPr>
          <w:rFonts w:hint="eastAsia" w:ascii="方正楷体_GBK" w:hAnsi="方正楷体_GBK" w:eastAsia="方正楷体_GBK" w:cs="方正楷体_GBK"/>
          <w:b/>
          <w:bCs w:val="0"/>
          <w:color w:val="000000"/>
          <w:kern w:val="10"/>
          <w:sz w:val="32"/>
          <w:lang w:eastAsia="zh-CN"/>
        </w:rPr>
        <w:t>二、</w:t>
      </w:r>
      <w:r>
        <w:rPr>
          <w:rFonts w:hint="eastAsia" w:ascii="方正楷体_GBK" w:hAnsi="方正楷体_GBK" w:eastAsia="方正楷体_GBK" w:cs="方正楷体_GBK"/>
          <w:b/>
          <w:bCs w:val="0"/>
          <w:color w:val="000000"/>
          <w:kern w:val="10"/>
          <w:sz w:val="32"/>
        </w:rPr>
        <w:t>收入决算情况说明</w:t>
      </w:r>
      <w:bookmarkEnd w:id="36"/>
      <w:bookmarkEnd w:id="37"/>
      <w:bookmarkEnd w:id="38"/>
      <w:bookmarkEnd w:id="39"/>
    </w:p>
    <w:p w14:paraId="28448892">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本年收入合计</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万元，其中：一般公共预算财政拨款收入</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%；政府性基金预算财政拨款收入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%；上级补助收入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%；事业收入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%；附属单位上缴收入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%；其他收入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65553CC0">
      <w:pPr>
        <w:pageBreakBefore w:val="0"/>
        <w:kinsoku/>
        <w:wordWrap/>
        <w:overflowPunct/>
        <w:topLinePunct w:val="0"/>
        <w:bidi w:val="0"/>
        <w:spacing w:line="576" w:lineRule="exact"/>
        <w:ind w:firstLine="640" w:firstLineChars="200"/>
        <w:rPr>
          <w:rFonts w:hint="eastAsia" w:ascii="仿宋_GB2312" w:eastAsia="仿宋_GB2312"/>
          <w:color w:val="FF0000"/>
          <w:sz w:val="32"/>
          <w:szCs w:val="32"/>
          <w:lang w:eastAsia="zh-CN"/>
        </w:rPr>
      </w:pPr>
      <w:r>
        <w:rPr>
          <w:rFonts w:hint="eastAsia" w:ascii="仿宋_GB2312" w:eastAsia="仿宋_GB2312"/>
          <w:color w:val="FF0000"/>
          <w:sz w:val="32"/>
          <w:szCs w:val="32"/>
          <w:lang w:eastAsia="zh-CN"/>
        </w:rPr>
        <w:drawing>
          <wp:anchor distT="0" distB="0" distL="114300" distR="114300" simplePos="0" relativeHeight="251661312" behindDoc="0" locked="0" layoutInCell="1" allowOverlap="1">
            <wp:simplePos x="0" y="0"/>
            <wp:positionH relativeFrom="column">
              <wp:posOffset>476885</wp:posOffset>
            </wp:positionH>
            <wp:positionV relativeFrom="page">
              <wp:posOffset>2013585</wp:posOffset>
            </wp:positionV>
            <wp:extent cx="3538855" cy="2344420"/>
            <wp:effectExtent l="4445" t="4445" r="19050" b="1333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0084548">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C7616F1">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6FA4ACA">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p>
    <w:p w14:paraId="552033B6">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0FBC022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1233F53">
      <w:pPr>
        <w:pageBreakBefore w:val="0"/>
        <w:kinsoku/>
        <w:wordWrap/>
        <w:overflowPunct/>
        <w:topLinePunct w:val="0"/>
        <w:bidi w:val="0"/>
        <w:spacing w:line="576" w:lineRule="exact"/>
        <w:rPr>
          <w:rFonts w:hint="eastAsia" w:ascii="仿宋" w:eastAsia="仿宋"/>
          <w:color w:val="000000"/>
          <w:sz w:val="32"/>
          <w:szCs w:val="32"/>
        </w:rPr>
      </w:pPr>
    </w:p>
    <w:p w14:paraId="2BE662EA">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0D2E9BE6">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2</w:t>
      </w:r>
      <w:r>
        <w:rPr>
          <w:rFonts w:hint="eastAsia" w:ascii="仿宋" w:eastAsia="仿宋"/>
          <w:color w:val="000000"/>
          <w:sz w:val="32"/>
          <w:szCs w:val="32"/>
        </w:rPr>
        <w:t>：收入决算结构图）（饼状图）</w:t>
      </w:r>
    </w:p>
    <w:p w14:paraId="2396BC32">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40" w:name="_Toc79163612"/>
      <w:bookmarkStart w:id="41" w:name="_Toc15377207"/>
      <w:bookmarkStart w:id="42" w:name="_Toc15396605"/>
      <w:bookmarkStart w:id="43" w:name="_Toc79163862"/>
      <w:r>
        <w:rPr>
          <w:rFonts w:hint="eastAsia" w:ascii="方正楷体_GBK" w:hAnsi="方正楷体_GBK" w:eastAsia="方正楷体_GBK" w:cs="方正楷体_GBK"/>
          <w:b/>
          <w:bCs w:val="0"/>
          <w:color w:val="000000"/>
          <w:kern w:val="10"/>
          <w:sz w:val="32"/>
        </w:rPr>
        <w:t>三、支出决算情况说明</w:t>
      </w:r>
      <w:bookmarkEnd w:id="40"/>
      <w:bookmarkEnd w:id="41"/>
      <w:bookmarkEnd w:id="42"/>
      <w:bookmarkEnd w:id="43"/>
    </w:p>
    <w:p w14:paraId="6A1BA36E">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本年支出合计</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万元，其中：基本支出</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%；项目支出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%；上缴上级支出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%；对附属单位补助支出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569002BA">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791845</wp:posOffset>
            </wp:positionH>
            <wp:positionV relativeFrom="page">
              <wp:posOffset>6994525</wp:posOffset>
            </wp:positionV>
            <wp:extent cx="3204845" cy="2341880"/>
            <wp:effectExtent l="4445" t="4445" r="10160" b="1587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D9C4C5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9504D64">
      <w:pPr>
        <w:pageBreakBefore w:val="0"/>
        <w:kinsoku/>
        <w:wordWrap/>
        <w:overflowPunct/>
        <w:topLinePunct w:val="0"/>
        <w:bidi w:val="0"/>
        <w:spacing w:line="576" w:lineRule="exact"/>
        <w:ind w:firstLine="640" w:firstLineChars="200"/>
        <w:rPr>
          <w:rFonts w:hint="eastAsia" w:ascii="仿宋" w:eastAsia="仿宋"/>
          <w:color w:val="000000"/>
          <w:sz w:val="32"/>
          <w:szCs w:val="32"/>
          <w:lang w:eastAsia="zh-CN"/>
        </w:rPr>
      </w:pPr>
    </w:p>
    <w:p w14:paraId="5B0910A1">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8FB1EA5">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38A547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9CFFC6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B966668">
      <w:pPr>
        <w:pageBreakBefore w:val="0"/>
        <w:kinsoku/>
        <w:wordWrap/>
        <w:overflowPunct/>
        <w:topLinePunct w:val="0"/>
        <w:bidi w:val="0"/>
        <w:spacing w:line="576" w:lineRule="exact"/>
        <w:ind w:firstLine="1280" w:firstLineChars="400"/>
        <w:rPr>
          <w:rFonts w:hint="eastAsia" w:ascii="仿宋" w:eastAsia="仿宋"/>
          <w:color w:val="000000"/>
          <w:sz w:val="32"/>
          <w:szCs w:val="32"/>
        </w:rPr>
      </w:pPr>
    </w:p>
    <w:p w14:paraId="60637365">
      <w:pPr>
        <w:pageBreakBefore w:val="0"/>
        <w:kinsoku/>
        <w:wordWrap/>
        <w:overflowPunct/>
        <w:topLinePunct w:val="0"/>
        <w:bidi w:val="0"/>
        <w:spacing w:line="576" w:lineRule="exact"/>
        <w:ind w:firstLine="1280" w:firstLineChars="4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3</w:t>
      </w:r>
      <w:r>
        <w:rPr>
          <w:rFonts w:hint="eastAsia" w:ascii="仿宋" w:eastAsia="仿宋"/>
          <w:color w:val="000000"/>
          <w:sz w:val="32"/>
          <w:szCs w:val="32"/>
        </w:rPr>
        <w:t>：支出决算结构图）（饼状图）</w:t>
      </w:r>
    </w:p>
    <w:p w14:paraId="4133D76D">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44" w:name="_Toc15377208"/>
      <w:bookmarkStart w:id="45" w:name="_Toc79163863"/>
      <w:bookmarkStart w:id="46" w:name="_Toc15396606"/>
      <w:bookmarkStart w:id="47" w:name="_Toc79163613"/>
      <w:r>
        <w:rPr>
          <w:rFonts w:hint="eastAsia" w:ascii="方正楷体_GBK" w:hAnsi="方正楷体_GBK" w:eastAsia="方正楷体_GBK" w:cs="方正楷体_GBK"/>
          <w:b/>
          <w:bCs w:val="0"/>
          <w:color w:val="000000"/>
          <w:kern w:val="10"/>
          <w:sz w:val="32"/>
        </w:rPr>
        <w:t>四、财政拨款收入支出决算总体情况说明</w:t>
      </w:r>
      <w:bookmarkEnd w:id="44"/>
      <w:bookmarkEnd w:id="45"/>
      <w:bookmarkEnd w:id="46"/>
      <w:bookmarkEnd w:id="47"/>
    </w:p>
    <w:p w14:paraId="768C9315">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财政拨款收、支总计</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0.08</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0.13</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0.08万元，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0.13%，</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工资基数变动。</w:t>
      </w:r>
    </w:p>
    <w:p w14:paraId="40B6CF08">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5408" behindDoc="0" locked="0" layoutInCell="1" allowOverlap="1">
            <wp:simplePos x="0" y="0"/>
            <wp:positionH relativeFrom="column">
              <wp:posOffset>539750</wp:posOffset>
            </wp:positionH>
            <wp:positionV relativeFrom="paragraph">
              <wp:posOffset>154940</wp:posOffset>
            </wp:positionV>
            <wp:extent cx="3367405" cy="2381250"/>
            <wp:effectExtent l="4445" t="5080" r="19050" b="13970"/>
            <wp:wrapSquare wrapText="bothSides"/>
            <wp:docPr id="3" name="图表 3"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1EF345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73369D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28D979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25F5901">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04831FD">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2D3B6961">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24C446AE">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4</w:t>
      </w:r>
      <w:r>
        <w:rPr>
          <w:rFonts w:hint="eastAsia" w:ascii="仿宋" w:eastAsia="仿宋"/>
          <w:color w:val="000000"/>
          <w:sz w:val="32"/>
          <w:szCs w:val="32"/>
        </w:rPr>
        <w:t>：财政拨款收、支决算总计变动情况）（柱状图）</w:t>
      </w:r>
    </w:p>
    <w:p w14:paraId="715A4163">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48" w:name="_Toc15377209"/>
      <w:bookmarkStart w:id="49" w:name="_Toc15396607"/>
      <w:bookmarkStart w:id="50" w:name="_Toc79163614"/>
      <w:bookmarkStart w:id="51" w:name="_Toc79163864"/>
      <w:r>
        <w:rPr>
          <w:rFonts w:hint="eastAsia" w:ascii="方正楷体_GBK" w:hAnsi="方正楷体_GBK" w:eastAsia="方正楷体_GBK" w:cs="方正楷体_GBK"/>
          <w:b/>
          <w:bCs w:val="0"/>
          <w:color w:val="000000"/>
          <w:kern w:val="10"/>
          <w:sz w:val="32"/>
        </w:rPr>
        <w:t>五、一般公共预算财政拨款支出决算情况说明</w:t>
      </w:r>
      <w:bookmarkEnd w:id="48"/>
      <w:bookmarkEnd w:id="49"/>
      <w:bookmarkEnd w:id="50"/>
      <w:bookmarkEnd w:id="51"/>
    </w:p>
    <w:p w14:paraId="0F33414E">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2" w:name="_Toc15377210"/>
      <w:bookmarkStart w:id="53" w:name="_Toc79163615"/>
      <w:bookmarkStart w:id="54" w:name="_Toc79163865"/>
      <w:r>
        <w:rPr>
          <w:rFonts w:hint="eastAsia" w:ascii="方正仿宋_GBK" w:hAnsi="方正仿宋_GBK" w:eastAsia="方正仿宋_GBK" w:cs="方正仿宋_GBK"/>
          <w:b/>
          <w:bCs w:val="0"/>
          <w:sz w:val="32"/>
          <w:szCs w:val="32"/>
          <w:lang w:val="zh-CN"/>
        </w:rPr>
        <w:t>（一）一般公共预算财政拨款支出决算总体情况</w:t>
      </w:r>
      <w:bookmarkEnd w:id="52"/>
      <w:bookmarkEnd w:id="53"/>
      <w:bookmarkEnd w:id="54"/>
    </w:p>
    <w:p w14:paraId="16FE0DBD">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一般公共预算财政拨款支出</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万元，占本年支出合计的</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年相比，一般公共预算财政拨款</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0.08</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0.13</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人员变动、工资、保险等基数调整。</w:t>
      </w:r>
    </w:p>
    <w:p w14:paraId="1C906D6F">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173BCE8">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BE537AB">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val="en-US" w:eastAsia="zh-CN"/>
        </w:rPr>
        <w:drawing>
          <wp:anchor distT="0" distB="0" distL="114300" distR="114300" simplePos="0" relativeHeight="251662336" behindDoc="0" locked="0" layoutInCell="1" allowOverlap="1">
            <wp:simplePos x="0" y="0"/>
            <wp:positionH relativeFrom="column">
              <wp:posOffset>477520</wp:posOffset>
            </wp:positionH>
            <wp:positionV relativeFrom="page">
              <wp:posOffset>1450975</wp:posOffset>
            </wp:positionV>
            <wp:extent cx="4081145" cy="2134870"/>
            <wp:effectExtent l="4445" t="4445" r="10160" b="1333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49498B2">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310A847">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BB717AA">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E593457">
      <w:pPr>
        <w:pageBreakBefore w:val="0"/>
        <w:kinsoku/>
        <w:wordWrap/>
        <w:overflowPunct/>
        <w:topLinePunct w:val="0"/>
        <w:bidi w:val="0"/>
        <w:spacing w:line="576" w:lineRule="exact"/>
        <w:rPr>
          <w:rFonts w:hint="eastAsia" w:ascii="仿宋" w:eastAsia="仿宋"/>
          <w:color w:val="000000"/>
          <w:sz w:val="32"/>
          <w:szCs w:val="32"/>
        </w:rPr>
      </w:pPr>
    </w:p>
    <w:p w14:paraId="2ACC73B8">
      <w:pPr>
        <w:pageBreakBefore w:val="0"/>
        <w:kinsoku/>
        <w:wordWrap/>
        <w:overflowPunct/>
        <w:topLinePunct w:val="0"/>
        <w:bidi w:val="0"/>
        <w:spacing w:line="576" w:lineRule="exact"/>
        <w:rPr>
          <w:rFonts w:hint="eastAsia" w:ascii="仿宋" w:eastAsia="仿宋"/>
          <w:color w:val="000000"/>
          <w:sz w:val="32"/>
          <w:szCs w:val="32"/>
        </w:rPr>
      </w:pPr>
    </w:p>
    <w:p w14:paraId="239A9E44">
      <w:pPr>
        <w:pageBreakBefore w:val="0"/>
        <w:kinsoku/>
        <w:wordWrap/>
        <w:overflowPunct/>
        <w:topLinePunct w:val="0"/>
        <w:bidi w:val="0"/>
        <w:spacing w:line="576" w:lineRule="exact"/>
        <w:rPr>
          <w:rFonts w:hint="eastAsia" w:ascii="仿宋" w:eastAsia="仿宋"/>
          <w:color w:val="000000"/>
          <w:sz w:val="32"/>
          <w:szCs w:val="32"/>
        </w:rPr>
      </w:pPr>
    </w:p>
    <w:p w14:paraId="3B11DA75">
      <w:pPr>
        <w:pageBreakBefore w:val="0"/>
        <w:kinsoku/>
        <w:wordWrap/>
        <w:overflowPunct/>
        <w:topLinePunct w:val="0"/>
        <w:bidi w:val="0"/>
        <w:spacing w:line="576" w:lineRule="exact"/>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5</w:t>
      </w:r>
      <w:r>
        <w:rPr>
          <w:rFonts w:hint="eastAsia" w:ascii="仿宋" w:eastAsia="仿宋"/>
          <w:color w:val="000000"/>
          <w:sz w:val="32"/>
          <w:szCs w:val="32"/>
        </w:rPr>
        <w:t>：一般公共预算财政拨款支出决算变动情况）（柱状图）</w:t>
      </w:r>
    </w:p>
    <w:p w14:paraId="1B2180C3">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5" w:name="_Toc15377211"/>
      <w:bookmarkStart w:id="56" w:name="_Toc79163866"/>
      <w:bookmarkStart w:id="57" w:name="_Toc79163616"/>
      <w:r>
        <w:rPr>
          <w:rFonts w:hint="eastAsia" w:ascii="方正仿宋_GBK" w:hAnsi="方正仿宋_GBK" w:eastAsia="方正仿宋_GBK" w:cs="方正仿宋_GBK"/>
          <w:b/>
          <w:bCs w:val="0"/>
          <w:sz w:val="32"/>
          <w:szCs w:val="32"/>
          <w:lang w:val="zh-CN"/>
        </w:rPr>
        <w:t>（二）一般公共预算财政拨款支出决算结构情况</w:t>
      </w:r>
      <w:bookmarkEnd w:id="55"/>
      <w:bookmarkEnd w:id="56"/>
      <w:bookmarkEnd w:id="57"/>
    </w:p>
    <w:p w14:paraId="407C1928">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年一般公共预算财政拨款支出</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rPr>
        <w:t>万元，主要用于以下方面:</w:t>
      </w:r>
      <w:r>
        <w:rPr>
          <w:rFonts w:hint="eastAsia" w:ascii="方正仿宋_GBK" w:hAnsi="方正仿宋_GBK" w:eastAsia="方正仿宋_GBK" w:cs="方正仿宋_GBK"/>
          <w:b/>
          <w:bCs/>
          <w:color w:val="000000"/>
          <w:sz w:val="32"/>
          <w:szCs w:val="32"/>
        </w:rPr>
        <w:t>一般公共服务（201</w:t>
      </w:r>
      <w:r>
        <w:rPr>
          <w:rFonts w:hint="eastAsia" w:ascii="方正仿宋_GBK" w:hAnsi="方正仿宋_GBK" w:eastAsia="方正仿宋_GBK" w:cs="方正仿宋_GBK"/>
          <w:b/>
          <w:bCs/>
          <w:color w:val="000000"/>
          <w:sz w:val="32"/>
          <w:szCs w:val="32"/>
          <w:lang w:val="en-US" w:eastAsia="zh-CN"/>
        </w:rPr>
        <w:t>2950</w:t>
      </w:r>
      <w:r>
        <w:rPr>
          <w:rFonts w:hint="eastAsia" w:ascii="方正仿宋_GBK" w:hAnsi="方正仿宋_GBK" w:eastAsia="方正仿宋_GBK" w:cs="方正仿宋_GBK"/>
          <w:b/>
          <w:bCs/>
          <w:color w:val="000000"/>
          <w:sz w:val="32"/>
          <w:szCs w:val="32"/>
        </w:rPr>
        <w:t>）</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42.41</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71</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教育支出（类）0</w:t>
      </w:r>
      <w:r>
        <w:rPr>
          <w:rFonts w:hint="eastAsia" w:ascii="方正仿宋_GBK" w:hAnsi="方正仿宋_GBK" w:eastAsia="方正仿宋_GBK" w:cs="方正仿宋_GBK"/>
          <w:color w:val="000000"/>
          <w:sz w:val="32"/>
          <w:szCs w:val="32"/>
        </w:rPr>
        <w:t>万元，占0%；</w:t>
      </w:r>
      <w:r>
        <w:rPr>
          <w:rFonts w:hint="eastAsia" w:ascii="方正仿宋_GBK" w:hAnsi="方正仿宋_GBK" w:eastAsia="方正仿宋_GBK" w:cs="方正仿宋_GBK"/>
          <w:b/>
          <w:bCs/>
          <w:color w:val="000000"/>
          <w:sz w:val="32"/>
          <w:szCs w:val="32"/>
        </w:rPr>
        <w:t>科学技术（类）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文化旅游体育与传媒（类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社会保障和就业（2080505）、（2080506）</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8.72</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15</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卫生健康支出（210110</w:t>
      </w:r>
      <w:r>
        <w:rPr>
          <w:rFonts w:hint="eastAsia" w:ascii="方正仿宋_GBK" w:hAnsi="方正仿宋_GBK" w:eastAsia="方正仿宋_GBK" w:cs="方正仿宋_GBK"/>
          <w:b/>
          <w:bCs/>
          <w:color w:val="000000"/>
          <w:sz w:val="32"/>
          <w:szCs w:val="32"/>
          <w:lang w:val="en-US" w:eastAsia="zh-CN"/>
        </w:rPr>
        <w:t>2、2101199</w:t>
      </w:r>
      <w:r>
        <w:rPr>
          <w:rFonts w:hint="eastAsia" w:ascii="方正仿宋_GBK" w:hAnsi="方正仿宋_GBK" w:eastAsia="方正仿宋_GBK" w:cs="方正仿宋_GBK"/>
          <w:b/>
          <w:bCs/>
          <w:color w:val="000000"/>
          <w:sz w:val="32"/>
          <w:szCs w:val="32"/>
        </w:rPr>
        <w:t>）</w:t>
      </w:r>
      <w:r>
        <w:rPr>
          <w:rFonts w:hint="eastAsia" w:ascii="方正仿宋_GBK" w:hAnsi="方正仿宋_GBK" w:eastAsia="方正仿宋_GBK" w:cs="方正仿宋_GBK"/>
          <w:color w:val="000000"/>
          <w:sz w:val="32"/>
          <w:szCs w:val="32"/>
          <w:lang w:val="en-US" w:eastAsia="zh-CN"/>
        </w:rPr>
        <w:t>3.33</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住房保障支出（2210201）</w:t>
      </w:r>
      <w:r>
        <w:rPr>
          <w:rFonts w:hint="eastAsia" w:ascii="方正仿宋_GBK" w:hAnsi="方正仿宋_GBK" w:eastAsia="方正仿宋_GBK" w:cs="方正仿宋_GBK"/>
          <w:color w:val="000000"/>
          <w:sz w:val="32"/>
          <w:szCs w:val="32"/>
          <w:lang w:val="en-US" w:eastAsia="zh-CN"/>
        </w:rPr>
        <w:t>4.92</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8</w:t>
      </w:r>
      <w:r>
        <w:rPr>
          <w:rFonts w:hint="eastAsia" w:ascii="方正仿宋_GBK" w:hAnsi="方正仿宋_GBK" w:eastAsia="方正仿宋_GBK" w:cs="方正仿宋_GBK"/>
          <w:color w:val="000000"/>
          <w:sz w:val="32"/>
          <w:szCs w:val="32"/>
        </w:rPr>
        <w:t>%。</w:t>
      </w:r>
    </w:p>
    <w:p w14:paraId="1E8FD62B">
      <w:pPr>
        <w:pageBreakBefore w:val="0"/>
        <w:kinsoku/>
        <w:wordWrap/>
        <w:overflowPunct/>
        <w:topLinePunct w:val="0"/>
        <w:bidi w:val="0"/>
        <w:spacing w:line="576" w:lineRule="exact"/>
        <w:ind w:firstLine="640"/>
        <w:rPr>
          <w:rFonts w:ascii="仿宋" w:eastAsia="仿宋"/>
          <w:color w:val="000000"/>
          <w:sz w:val="32"/>
          <w:szCs w:val="32"/>
        </w:rPr>
      </w:pPr>
      <w:r>
        <w:rPr>
          <w:rFonts w:hint="eastAsia" w:asci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732790</wp:posOffset>
            </wp:positionH>
            <wp:positionV relativeFrom="page">
              <wp:posOffset>7467600</wp:posOffset>
            </wp:positionV>
            <wp:extent cx="4206875" cy="2677160"/>
            <wp:effectExtent l="4445" t="4445" r="17780" b="2349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CFB2C08">
      <w:pPr>
        <w:pageBreakBefore w:val="0"/>
        <w:kinsoku/>
        <w:wordWrap/>
        <w:overflowPunct/>
        <w:topLinePunct w:val="0"/>
        <w:bidi w:val="0"/>
        <w:spacing w:line="576" w:lineRule="exact"/>
        <w:ind w:firstLine="640"/>
        <w:rPr>
          <w:rFonts w:ascii="仿宋" w:eastAsia="仿宋"/>
          <w:color w:val="000000"/>
          <w:sz w:val="32"/>
          <w:szCs w:val="32"/>
        </w:rPr>
      </w:pPr>
    </w:p>
    <w:p w14:paraId="345254AF">
      <w:pPr>
        <w:pageBreakBefore w:val="0"/>
        <w:kinsoku/>
        <w:wordWrap/>
        <w:overflowPunct/>
        <w:topLinePunct w:val="0"/>
        <w:bidi w:val="0"/>
        <w:spacing w:line="576" w:lineRule="exact"/>
        <w:ind w:firstLine="640"/>
        <w:rPr>
          <w:rFonts w:ascii="仿宋" w:eastAsia="仿宋"/>
          <w:color w:val="000000"/>
          <w:sz w:val="32"/>
          <w:szCs w:val="32"/>
        </w:rPr>
      </w:pPr>
    </w:p>
    <w:p w14:paraId="4B8541C3">
      <w:pPr>
        <w:pageBreakBefore w:val="0"/>
        <w:kinsoku/>
        <w:wordWrap/>
        <w:overflowPunct/>
        <w:topLinePunct w:val="0"/>
        <w:bidi w:val="0"/>
        <w:spacing w:line="576" w:lineRule="exact"/>
        <w:rPr>
          <w:rFonts w:hint="eastAsia" w:ascii="仿宋" w:eastAsia="仿宋"/>
          <w:color w:val="000000"/>
          <w:sz w:val="32"/>
          <w:szCs w:val="32"/>
        </w:rPr>
      </w:pPr>
    </w:p>
    <w:p w14:paraId="453DE225">
      <w:pPr>
        <w:pageBreakBefore w:val="0"/>
        <w:kinsoku/>
        <w:wordWrap/>
        <w:overflowPunct/>
        <w:topLinePunct w:val="0"/>
        <w:bidi w:val="0"/>
        <w:spacing w:line="576" w:lineRule="exact"/>
        <w:rPr>
          <w:rFonts w:hint="eastAsia" w:ascii="仿宋" w:eastAsia="仿宋"/>
          <w:color w:val="000000"/>
          <w:sz w:val="32"/>
          <w:szCs w:val="32"/>
        </w:rPr>
      </w:pPr>
    </w:p>
    <w:p w14:paraId="3F9AD1A6">
      <w:pPr>
        <w:pageBreakBefore w:val="0"/>
        <w:kinsoku/>
        <w:wordWrap/>
        <w:overflowPunct/>
        <w:topLinePunct w:val="0"/>
        <w:bidi w:val="0"/>
        <w:spacing w:line="576" w:lineRule="exact"/>
        <w:rPr>
          <w:rFonts w:hint="eastAsia" w:ascii="仿宋" w:eastAsia="仿宋"/>
          <w:color w:val="000000"/>
          <w:sz w:val="32"/>
          <w:szCs w:val="32"/>
        </w:rPr>
      </w:pPr>
    </w:p>
    <w:p w14:paraId="23F53588">
      <w:pPr>
        <w:pageBreakBefore w:val="0"/>
        <w:kinsoku/>
        <w:wordWrap/>
        <w:overflowPunct/>
        <w:topLinePunct w:val="0"/>
        <w:bidi w:val="0"/>
        <w:spacing w:line="576" w:lineRule="exact"/>
        <w:rPr>
          <w:rFonts w:ascii="仿宋" w:eastAsia="仿宋"/>
          <w:color w:val="000000"/>
          <w:sz w:val="32"/>
          <w:szCs w:val="32"/>
        </w:rPr>
      </w:pPr>
      <w:r>
        <w:rPr>
          <w:rFonts w:hint="eastAsia" w:ascii="仿宋" w:eastAsia="仿宋"/>
          <w:color w:val="000000"/>
          <w:sz w:val="32"/>
          <w:szCs w:val="32"/>
        </w:rPr>
        <w:t>（</w:t>
      </w:r>
      <w:r>
        <w:rPr>
          <w:rFonts w:hint="eastAsia" w:ascii="方正仿宋_GBK" w:hAnsi="方正仿宋_GBK" w:eastAsia="方正仿宋_GBK" w:cs="方正仿宋_GBK"/>
          <w:color w:val="000000"/>
          <w:sz w:val="32"/>
          <w:szCs w:val="32"/>
        </w:rPr>
        <w:t>图6：一般公共预算财政拨款支出决算结构）（饼状图）</w:t>
      </w:r>
    </w:p>
    <w:p w14:paraId="05BAA347">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8" w:name="_Toc15377212"/>
      <w:bookmarkStart w:id="59" w:name="_Toc79163867"/>
      <w:bookmarkStart w:id="60" w:name="_Toc79163617"/>
      <w:r>
        <w:rPr>
          <w:rFonts w:hint="eastAsia" w:ascii="方正仿宋_GBK" w:hAnsi="方正仿宋_GBK" w:eastAsia="方正仿宋_GBK" w:cs="方正仿宋_GBK"/>
          <w:b/>
          <w:bCs w:val="0"/>
          <w:sz w:val="32"/>
          <w:szCs w:val="32"/>
          <w:lang w:val="zh-CN"/>
        </w:rPr>
        <w:t>（三）一般公共预算财政拨款支出决算具体情况</w:t>
      </w:r>
      <w:bookmarkEnd w:id="58"/>
      <w:bookmarkEnd w:id="59"/>
      <w:bookmarkEnd w:id="60"/>
    </w:p>
    <w:p w14:paraId="0D140FA0">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bookmarkStart w:id="61" w:name="_Toc15377213"/>
      <w:bookmarkStart w:id="62" w:name="_Toc15378460"/>
      <w:bookmarkStart w:id="63" w:name="_Toc15377444"/>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年一般公共预算支出决算数为</w:t>
      </w:r>
      <w:r>
        <w:rPr>
          <w:rFonts w:hint="eastAsia" w:ascii="方正仿宋_GBK" w:hAnsi="方正仿宋_GBK" w:eastAsia="方正仿宋_GBK" w:cs="方正仿宋_GBK"/>
          <w:color w:val="000000"/>
          <w:sz w:val="32"/>
          <w:szCs w:val="32"/>
          <w:lang w:val="en-US" w:eastAsia="zh-CN"/>
        </w:rPr>
        <w:t>59.38万元</w:t>
      </w:r>
      <w:r>
        <w:rPr>
          <w:rFonts w:hint="eastAsia" w:ascii="方正仿宋_GBK" w:hAnsi="方正仿宋_GBK" w:eastAsia="方正仿宋_GBK" w:cs="方正仿宋_GBK"/>
          <w:color w:val="000000"/>
          <w:sz w:val="32"/>
          <w:szCs w:val="32"/>
        </w:rPr>
        <w:t>，完成预算</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%。其中：</w:t>
      </w:r>
      <w:bookmarkEnd w:id="61"/>
      <w:bookmarkEnd w:id="62"/>
      <w:bookmarkEnd w:id="63"/>
    </w:p>
    <w:p w14:paraId="7B666C61">
      <w:pPr>
        <w:spacing w:line="600" w:lineRule="exact"/>
        <w:ind w:firstLine="643" w:firstLineChars="200"/>
        <w:rPr>
          <w:rFonts w:ascii="仿宋" w:hAnsi="仿宋" w:eastAsia="仿宋"/>
          <w:b/>
          <w:color w:val="000000"/>
          <w:sz w:val="32"/>
          <w:szCs w:val="32"/>
        </w:rPr>
      </w:pPr>
      <w:r>
        <w:rPr>
          <w:rStyle w:val="21"/>
          <w:rFonts w:ascii="仿宋" w:hAnsi="仿宋" w:eastAsia="仿宋"/>
          <w:bCs/>
          <w:color w:val="000000"/>
          <w:sz w:val="32"/>
          <w:szCs w:val="32"/>
        </w:rPr>
        <w:t>1.</w:t>
      </w:r>
      <w:r>
        <w:rPr>
          <w:rStyle w:val="21"/>
          <w:rFonts w:hint="eastAsia" w:ascii="仿宋" w:hAnsi="仿宋" w:eastAsia="仿宋"/>
          <w:bCs/>
          <w:color w:val="000000"/>
          <w:sz w:val="32"/>
          <w:szCs w:val="32"/>
        </w:rPr>
        <w:t>一般公共服务</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50</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42.41</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5573FD0E">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06</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8.72</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5E3567D2">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3</w:t>
      </w:r>
      <w:r>
        <w:rPr>
          <w:rStyle w:val="21"/>
          <w:rFonts w:ascii="仿宋" w:hAnsi="仿宋" w:eastAsia="仿宋"/>
          <w:bCs/>
          <w:color w:val="000000"/>
          <w:sz w:val="32"/>
          <w:szCs w:val="32"/>
        </w:rPr>
        <w:t>.</w:t>
      </w:r>
      <w:r>
        <w:rPr>
          <w:rFonts w:hint="eastAsia" w:ascii="仿宋" w:hAnsi="仿宋" w:eastAsia="仿宋"/>
          <w:b/>
          <w:bCs/>
          <w:color w:val="000000"/>
          <w:sz w:val="32"/>
          <w:szCs w:val="32"/>
        </w:rPr>
        <w:t>卫生健康</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3.33</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3816E603">
      <w:pPr>
        <w:ind w:firstLine="520"/>
        <w:rPr>
          <w:rFonts w:ascii="仿宋" w:eastAsia="仿宋"/>
          <w:b/>
          <w:color w:val="000000"/>
          <w:sz w:val="32"/>
          <w:szCs w:val="32"/>
        </w:rPr>
      </w:pPr>
      <w:r>
        <w:rPr>
          <w:rStyle w:val="21"/>
          <w:rFonts w:hint="eastAsia" w:ascii="仿宋" w:hAnsi="仿宋" w:eastAsia="仿宋"/>
          <w:b w:val="0"/>
          <w:bCs/>
          <w:color w:val="000000"/>
          <w:sz w:val="32"/>
          <w:szCs w:val="32"/>
          <w:lang w:val="en-US" w:eastAsia="zh-CN"/>
        </w:rPr>
        <w:t xml:space="preserve"> </w:t>
      </w:r>
      <w:r>
        <w:rPr>
          <w:rStyle w:val="21"/>
          <w:rFonts w:hint="eastAsia" w:ascii="仿宋" w:hAnsi="仿宋" w:eastAsia="仿宋"/>
          <w:bCs/>
          <w:color w:val="000000"/>
          <w:sz w:val="32"/>
          <w:szCs w:val="32"/>
          <w:lang w:val="en-US" w:eastAsia="zh-CN"/>
        </w:rPr>
        <w:t>4</w:t>
      </w:r>
      <w:r>
        <w:rPr>
          <w:rStyle w:val="21"/>
          <w:rFonts w:ascii="仿宋" w:hAnsi="仿宋" w:eastAsia="仿宋"/>
          <w:bCs/>
          <w:color w:val="000000"/>
          <w:sz w:val="32"/>
          <w:szCs w:val="32"/>
        </w:rPr>
        <w:t>.</w:t>
      </w:r>
      <w:r>
        <w:rPr>
          <w:rFonts w:hint="eastAsia" w:ascii="仿宋" w:hAnsi="仿宋" w:eastAsia="仿宋"/>
          <w:b/>
          <w:bCs/>
          <w:color w:val="000000"/>
          <w:sz w:val="32"/>
          <w:szCs w:val="32"/>
          <w:lang w:eastAsia="zh-CN"/>
        </w:rPr>
        <w:t>住房保障</w:t>
      </w:r>
      <w:r>
        <w:rPr>
          <w:rFonts w:hint="eastAsia" w:ascii="仿宋" w:hAnsi="仿宋" w:eastAsia="仿宋"/>
          <w:b/>
          <w:bCs/>
          <w:color w:val="000000"/>
          <w:sz w:val="32"/>
          <w:szCs w:val="32"/>
          <w:lang w:val="en-US" w:eastAsia="zh-CN"/>
        </w:rPr>
        <w:t>221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4.92</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2CBEBD53">
      <w:pPr>
        <w:pageBreakBefore w:val="0"/>
        <w:tabs>
          <w:tab w:val="right" w:pos="8306"/>
        </w:tabs>
        <w:kinsoku/>
        <w:wordWrap/>
        <w:overflowPunct/>
        <w:topLinePunct w:val="0"/>
        <w:bidi w:val="0"/>
        <w:spacing w:line="576" w:lineRule="exact"/>
        <w:ind w:firstLine="640"/>
        <w:outlineLvl w:val="1"/>
        <w:rPr>
          <w:rStyle w:val="24"/>
          <w:rFonts w:hint="eastAsia" w:ascii="方正小标宋简体" w:hAnsi="方正小标宋简体" w:eastAsia="方正小标宋简体" w:cs="方正小标宋简体"/>
        </w:rPr>
      </w:pPr>
      <w:bookmarkStart w:id="64" w:name="_Toc15396608"/>
      <w:bookmarkStart w:id="65" w:name="_Toc15377214"/>
      <w:bookmarkStart w:id="66" w:name="_Toc79163868"/>
      <w:bookmarkStart w:id="67" w:name="_Toc79163618"/>
      <w:r>
        <w:rPr>
          <w:rFonts w:hint="eastAsia" w:ascii="方正小标宋简体" w:hAnsi="方正小标宋简体" w:eastAsia="方正小标宋简体" w:cs="方正小标宋简体"/>
          <w:b/>
          <w:bCs w:val="0"/>
          <w:color w:val="000000"/>
          <w:kern w:val="10"/>
          <w:sz w:val="32"/>
          <w:szCs w:val="32"/>
          <w:lang w:val="en-US" w:eastAsia="zh-CN" w:bidi="ar-SA"/>
        </w:rPr>
        <w:t>六、一般公共预算财政拨款基本支出决算情况说明</w:t>
      </w:r>
      <w:bookmarkEnd w:id="64"/>
      <w:bookmarkEnd w:id="65"/>
      <w:bookmarkEnd w:id="66"/>
      <w:bookmarkEnd w:id="67"/>
      <w:r>
        <w:rPr>
          <w:rStyle w:val="24"/>
          <w:rFonts w:hint="eastAsia" w:ascii="方正小标宋简体" w:hAnsi="方正小标宋简体" w:eastAsia="方正小标宋简体" w:cs="方正小标宋简体"/>
          <w:b w:val="0"/>
        </w:rPr>
        <w:tab/>
      </w:r>
    </w:p>
    <w:p w14:paraId="7B4EE150">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年一般公共预算财政拨款基本支出</w:t>
      </w:r>
      <w:r>
        <w:rPr>
          <w:rFonts w:hint="eastAsia" w:ascii="方正仿宋_GBK" w:hAnsi="方正仿宋_GBK" w:eastAsia="方正仿宋_GBK" w:cs="方正仿宋_GBK"/>
          <w:color w:val="000000"/>
          <w:sz w:val="32"/>
          <w:szCs w:val="32"/>
          <w:lang w:val="en-US" w:eastAsia="zh-CN"/>
        </w:rPr>
        <w:t>59.38</w:t>
      </w:r>
      <w:r>
        <w:rPr>
          <w:rFonts w:hint="eastAsia" w:ascii="方正仿宋_GBK" w:hAnsi="方正仿宋_GBK" w:eastAsia="方正仿宋_GBK" w:cs="方正仿宋_GBK"/>
          <w:color w:val="000000"/>
          <w:sz w:val="32"/>
          <w:szCs w:val="32"/>
          <w:lang w:eastAsia="zh-CN"/>
        </w:rPr>
        <w:t>万元，其中：</w:t>
      </w:r>
    </w:p>
    <w:p w14:paraId="23418F27">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人员经费</w:t>
      </w:r>
      <w:r>
        <w:rPr>
          <w:rFonts w:hint="eastAsia" w:ascii="方正仿宋_GBK" w:hAnsi="方正仿宋_GBK" w:eastAsia="方正仿宋_GBK" w:cs="方正仿宋_GBK"/>
          <w:color w:val="000000"/>
          <w:sz w:val="32"/>
          <w:szCs w:val="32"/>
          <w:lang w:val="en-US" w:eastAsia="zh-CN"/>
        </w:rPr>
        <w:t>56.46</w:t>
      </w:r>
      <w:r>
        <w:rPr>
          <w:rFonts w:hint="eastAsia" w:ascii="方正仿宋_GBK" w:hAnsi="方正仿宋_GBK" w:eastAsia="方正仿宋_GBK" w:cs="方正仿宋_GBK"/>
          <w:color w:val="000000"/>
          <w:sz w:val="32"/>
          <w:szCs w:val="32"/>
          <w:lang w:eastAsia="zh-CN"/>
        </w:rPr>
        <w:t>万元，主要包括：</w:t>
      </w:r>
      <w:r>
        <w:rPr>
          <w:rFonts w:hint="eastAsia" w:ascii="方正仿宋_GBK" w:hAnsi="方正仿宋_GBK" w:eastAsia="方正仿宋_GBK" w:cs="方正仿宋_GBK"/>
          <w:b/>
          <w:bCs/>
          <w:color w:val="000000"/>
          <w:sz w:val="32"/>
          <w:szCs w:val="32"/>
          <w:lang w:eastAsia="zh-CN"/>
        </w:rPr>
        <w:t>基本工资（</w:t>
      </w:r>
      <w:r>
        <w:rPr>
          <w:rFonts w:hint="eastAsia" w:ascii="方正仿宋_GBK" w:hAnsi="方正仿宋_GBK" w:eastAsia="方正仿宋_GBK" w:cs="方正仿宋_GBK"/>
          <w:b/>
          <w:bCs/>
          <w:color w:val="000000"/>
          <w:sz w:val="32"/>
          <w:szCs w:val="32"/>
          <w:lang w:val="en-US" w:eastAsia="zh-CN"/>
        </w:rPr>
        <w:t>30101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13.11万元</w:t>
      </w:r>
      <w:r>
        <w:rPr>
          <w:rFonts w:hint="eastAsia" w:ascii="方正仿宋_GBK" w:hAnsi="方正仿宋_GBK" w:eastAsia="方正仿宋_GBK" w:cs="方正仿宋_GBK"/>
          <w:color w:val="000000"/>
          <w:sz w:val="32"/>
          <w:szCs w:val="32"/>
        </w:rPr>
        <w:t>、津</w:t>
      </w:r>
      <w:r>
        <w:rPr>
          <w:rFonts w:hint="eastAsia" w:ascii="方正仿宋_GBK" w:hAnsi="方正仿宋_GBK" w:eastAsia="方正仿宋_GBK" w:cs="方正仿宋_GBK"/>
          <w:b/>
          <w:bCs/>
          <w:color w:val="000000"/>
          <w:sz w:val="32"/>
          <w:szCs w:val="32"/>
          <w:lang w:eastAsia="zh-CN"/>
        </w:rPr>
        <w:t>贴补贴（</w:t>
      </w:r>
      <w:r>
        <w:rPr>
          <w:rFonts w:hint="eastAsia" w:ascii="方正仿宋_GBK" w:hAnsi="方正仿宋_GBK" w:eastAsia="方正仿宋_GBK" w:cs="方正仿宋_GBK"/>
          <w:b/>
          <w:bCs/>
          <w:color w:val="000000"/>
          <w:sz w:val="32"/>
          <w:szCs w:val="32"/>
          <w:lang w:val="en-US" w:eastAsia="zh-CN"/>
        </w:rPr>
        <w:t>30102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5.51万元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奖</w:t>
      </w:r>
      <w:r>
        <w:rPr>
          <w:rFonts w:hint="eastAsia" w:ascii="方正仿宋_GBK" w:hAnsi="方正仿宋_GBK" w:eastAsia="方正仿宋_GBK" w:cs="方正仿宋_GBK"/>
          <w:b/>
          <w:bCs/>
          <w:color w:val="000000"/>
          <w:sz w:val="32"/>
          <w:szCs w:val="32"/>
          <w:lang w:eastAsia="zh-CN"/>
        </w:rPr>
        <w:t>金（</w:t>
      </w:r>
      <w:r>
        <w:rPr>
          <w:rFonts w:hint="eastAsia" w:ascii="方正仿宋_GBK" w:hAnsi="方正仿宋_GBK" w:eastAsia="方正仿宋_GBK" w:cs="方正仿宋_GBK"/>
          <w:b/>
          <w:bCs/>
          <w:color w:val="000000"/>
          <w:sz w:val="32"/>
          <w:szCs w:val="32"/>
          <w:lang w:val="en-US" w:eastAsia="zh-CN"/>
        </w:rPr>
        <w:t>30103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14.22</w:t>
      </w: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、伙食补助费、</w:t>
      </w:r>
      <w:r>
        <w:rPr>
          <w:rFonts w:hint="eastAsia" w:ascii="方正仿宋_GBK" w:hAnsi="方正仿宋_GBK" w:eastAsia="方正仿宋_GBK" w:cs="方正仿宋_GBK"/>
          <w:b/>
          <w:bCs/>
          <w:color w:val="000000"/>
          <w:sz w:val="32"/>
          <w:szCs w:val="32"/>
          <w:lang w:eastAsia="zh-CN"/>
        </w:rPr>
        <w:t>绩效</w:t>
      </w:r>
      <w:r>
        <w:rPr>
          <w:rFonts w:hint="eastAsia" w:ascii="方正仿宋_GBK" w:hAnsi="方正仿宋_GBK" w:eastAsia="方正仿宋_GBK" w:cs="方正仿宋_GBK"/>
          <w:b/>
          <w:bCs/>
          <w:color w:val="000000"/>
          <w:sz w:val="32"/>
          <w:szCs w:val="32"/>
        </w:rPr>
        <w:t>工资</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30107</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6.36万元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机关事业单位基本养老保险缴费（</w:t>
      </w:r>
      <w:r>
        <w:rPr>
          <w:rFonts w:hint="eastAsia" w:ascii="方正仿宋_GBK" w:hAnsi="方正仿宋_GBK" w:eastAsia="方正仿宋_GBK" w:cs="方正仿宋_GBK"/>
          <w:b/>
          <w:bCs/>
          <w:color w:val="000000"/>
          <w:sz w:val="32"/>
          <w:szCs w:val="32"/>
          <w:lang w:val="en-US" w:eastAsia="zh-CN"/>
        </w:rPr>
        <w:t>30108</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5.81万元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职业年金缴费（</w:t>
      </w:r>
      <w:r>
        <w:rPr>
          <w:rFonts w:hint="eastAsia" w:ascii="方正仿宋_GBK" w:hAnsi="方正仿宋_GBK" w:eastAsia="方正仿宋_GBK" w:cs="方正仿宋_GBK"/>
          <w:b/>
          <w:bCs/>
          <w:color w:val="000000"/>
          <w:sz w:val="32"/>
          <w:szCs w:val="32"/>
          <w:lang w:val="en-US" w:eastAsia="zh-CN"/>
        </w:rPr>
        <w:t>30109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2.91万元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医疗保险（</w:t>
      </w:r>
      <w:r>
        <w:rPr>
          <w:rFonts w:hint="eastAsia" w:ascii="方正仿宋_GBK" w:hAnsi="方正仿宋_GBK" w:eastAsia="方正仿宋_GBK" w:cs="方正仿宋_GBK"/>
          <w:b/>
          <w:bCs/>
          <w:color w:val="000000"/>
          <w:sz w:val="32"/>
          <w:szCs w:val="32"/>
          <w:lang w:val="en-US" w:eastAsia="zh-CN"/>
        </w:rPr>
        <w:t>30110）</w:t>
      </w:r>
      <w:r>
        <w:rPr>
          <w:rFonts w:hint="eastAsia" w:ascii="方正仿宋_GBK" w:hAnsi="方正仿宋_GBK" w:eastAsia="方正仿宋_GBK" w:cs="方正仿宋_GBK"/>
          <w:color w:val="000000"/>
          <w:sz w:val="32"/>
          <w:szCs w:val="32"/>
          <w:lang w:val="en-US" w:eastAsia="zh-CN"/>
        </w:rPr>
        <w:t>2.79万元、</w:t>
      </w:r>
      <w:r>
        <w:rPr>
          <w:rFonts w:hint="eastAsia" w:ascii="方正仿宋_GBK" w:hAnsi="方正仿宋_GBK" w:eastAsia="方正仿宋_GBK" w:cs="方正仿宋_GBK"/>
          <w:b/>
          <w:bCs/>
          <w:color w:val="000000"/>
          <w:sz w:val="32"/>
          <w:szCs w:val="32"/>
          <w:lang w:val="en-US" w:eastAsia="zh-CN"/>
        </w:rPr>
        <w:t>公务员公补（30111）</w:t>
      </w:r>
      <w:r>
        <w:rPr>
          <w:rFonts w:hint="eastAsia" w:ascii="方正仿宋_GBK" w:hAnsi="方正仿宋_GBK" w:eastAsia="方正仿宋_GBK" w:cs="方正仿宋_GBK"/>
          <w:color w:val="000000"/>
          <w:sz w:val="32"/>
          <w:szCs w:val="32"/>
          <w:lang w:val="en-US" w:eastAsia="zh-CN"/>
        </w:rPr>
        <w:t>0.54万元、</w:t>
      </w:r>
      <w:r>
        <w:rPr>
          <w:rFonts w:hint="eastAsia" w:ascii="方正仿宋_GBK" w:hAnsi="方正仿宋_GBK" w:eastAsia="方正仿宋_GBK" w:cs="方正仿宋_GBK"/>
          <w:b/>
          <w:bCs/>
          <w:color w:val="000000"/>
          <w:sz w:val="32"/>
          <w:szCs w:val="32"/>
        </w:rPr>
        <w:t>其他社会保障缴费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30112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0.29万元</w:t>
      </w:r>
      <w:r>
        <w:rPr>
          <w:rFonts w:hint="eastAsia" w:ascii="方正仿宋_GBK" w:hAnsi="方正仿宋_GBK" w:eastAsia="方正仿宋_GBK" w:cs="方正仿宋_GBK"/>
          <w:color w:val="000000"/>
          <w:sz w:val="32"/>
          <w:szCs w:val="32"/>
        </w:rPr>
        <w:t>、其他工资福利支出、离休费、退休费、抚恤金、生活补助、、奖励金、</w:t>
      </w:r>
      <w:r>
        <w:rPr>
          <w:rFonts w:hint="eastAsia" w:ascii="方正仿宋_GBK" w:hAnsi="方正仿宋_GBK" w:eastAsia="方正仿宋_GBK" w:cs="方正仿宋_GBK"/>
          <w:b/>
          <w:bCs/>
          <w:color w:val="000000"/>
          <w:sz w:val="32"/>
          <w:szCs w:val="32"/>
          <w:lang w:eastAsia="zh-CN"/>
        </w:rPr>
        <w:t>住房公积金（</w:t>
      </w:r>
      <w:r>
        <w:rPr>
          <w:rFonts w:hint="eastAsia" w:ascii="方正仿宋_GBK" w:hAnsi="方正仿宋_GBK" w:eastAsia="方正仿宋_GBK" w:cs="方正仿宋_GBK"/>
          <w:b/>
          <w:bCs/>
          <w:color w:val="000000"/>
          <w:sz w:val="32"/>
          <w:szCs w:val="32"/>
          <w:lang w:val="en-US" w:eastAsia="zh-CN"/>
        </w:rPr>
        <w:t>30113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4.92万元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val="0"/>
          <w:bCs w:val="0"/>
          <w:color w:val="000000"/>
          <w:sz w:val="32"/>
          <w:szCs w:val="32"/>
          <w:lang w:eastAsia="zh-CN"/>
        </w:rPr>
        <w:t>医疗费</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其他对个人和家庭的补助支出。</w:t>
      </w:r>
    </w:p>
    <w:p w14:paraId="27BE941D">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日常公用经费</w:t>
      </w:r>
      <w:r>
        <w:rPr>
          <w:rFonts w:hint="eastAsia" w:ascii="方正仿宋_GBK" w:hAnsi="方正仿宋_GBK" w:eastAsia="方正仿宋_GBK" w:cs="方正仿宋_GBK"/>
          <w:color w:val="000000"/>
          <w:sz w:val="32"/>
          <w:szCs w:val="32"/>
          <w:lang w:val="en-US" w:eastAsia="zh-CN"/>
        </w:rPr>
        <w:t>2.92</w:t>
      </w:r>
      <w:r>
        <w:rPr>
          <w:rFonts w:hint="eastAsia" w:ascii="方正仿宋_GBK" w:hAnsi="方正仿宋_GBK" w:eastAsia="方正仿宋_GBK" w:cs="方正仿宋_GBK"/>
          <w:color w:val="000000"/>
          <w:sz w:val="32"/>
          <w:szCs w:val="32"/>
        </w:rPr>
        <w:t>万元，主要包括：</w:t>
      </w:r>
      <w:r>
        <w:rPr>
          <w:rFonts w:hint="eastAsia" w:ascii="方正仿宋_GBK" w:hAnsi="方正仿宋_GBK" w:eastAsia="方正仿宋_GBK" w:cs="方正仿宋_GBK"/>
          <w:b/>
          <w:bCs/>
          <w:color w:val="000000"/>
          <w:sz w:val="32"/>
          <w:szCs w:val="32"/>
          <w:lang w:eastAsia="zh-CN"/>
        </w:rPr>
        <w:t>办公费（</w:t>
      </w:r>
      <w:r>
        <w:rPr>
          <w:rFonts w:hint="eastAsia" w:ascii="方正仿宋_GBK" w:hAnsi="方正仿宋_GBK" w:eastAsia="方正仿宋_GBK" w:cs="方正仿宋_GBK"/>
          <w:b/>
          <w:bCs/>
          <w:color w:val="000000"/>
          <w:sz w:val="32"/>
          <w:szCs w:val="32"/>
          <w:lang w:val="en-US" w:eastAsia="zh-CN"/>
        </w:rPr>
        <w:t>30201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1.16万元</w:t>
      </w:r>
      <w:r>
        <w:rPr>
          <w:rFonts w:hint="eastAsia" w:ascii="方正仿宋_GBK" w:hAnsi="方正仿宋_GBK" w:eastAsia="方正仿宋_GBK" w:cs="方正仿宋_GBK"/>
          <w:color w:val="000000"/>
          <w:sz w:val="32"/>
          <w:szCs w:val="32"/>
        </w:rPr>
        <w:t>、印刷费、咨询费、手续费、</w:t>
      </w:r>
      <w:r>
        <w:rPr>
          <w:rFonts w:hint="eastAsia" w:ascii="方正仿宋_GBK" w:hAnsi="方正仿宋_GBK" w:eastAsia="方正仿宋_GBK" w:cs="方正仿宋_GBK"/>
          <w:b w:val="0"/>
          <w:bCs w:val="0"/>
          <w:color w:val="000000"/>
          <w:sz w:val="32"/>
          <w:szCs w:val="32"/>
        </w:rPr>
        <w:t>水</w:t>
      </w:r>
      <w:r>
        <w:rPr>
          <w:rFonts w:hint="eastAsia" w:ascii="方正仿宋_GBK" w:hAnsi="方正仿宋_GBK" w:eastAsia="方正仿宋_GBK" w:cs="方正仿宋_GBK"/>
          <w:b w:val="0"/>
          <w:bCs w:val="0"/>
          <w:color w:val="000000"/>
          <w:sz w:val="32"/>
          <w:szCs w:val="32"/>
          <w:lang w:eastAsia="zh-CN"/>
        </w:rPr>
        <w:t>费</w:t>
      </w:r>
      <w:r>
        <w:rPr>
          <w:rFonts w:hint="eastAsia" w:ascii="方正仿宋_GBK" w:hAnsi="方正仿宋_GBK" w:eastAsia="方正仿宋_GBK" w:cs="方正仿宋_GBK"/>
          <w:color w:val="000000"/>
          <w:sz w:val="32"/>
          <w:szCs w:val="32"/>
        </w:rPr>
        <w:t>、电</w:t>
      </w:r>
      <w:r>
        <w:rPr>
          <w:rFonts w:hint="eastAsia" w:ascii="方正仿宋_GBK" w:hAnsi="方正仿宋_GBK" w:eastAsia="方正仿宋_GBK" w:cs="方正仿宋_GBK"/>
          <w:b w:val="0"/>
          <w:bCs w:val="0"/>
          <w:color w:val="000000"/>
          <w:sz w:val="32"/>
          <w:szCs w:val="32"/>
          <w:lang w:eastAsia="zh-CN"/>
        </w:rPr>
        <w:t>费</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val="0"/>
          <w:bCs w:val="0"/>
          <w:color w:val="000000"/>
          <w:sz w:val="32"/>
          <w:szCs w:val="32"/>
          <w:lang w:eastAsia="zh-CN"/>
        </w:rPr>
        <w:t>邮电费</w:t>
      </w:r>
      <w:r>
        <w:rPr>
          <w:rFonts w:hint="eastAsia" w:ascii="方正仿宋_GBK" w:hAnsi="方正仿宋_GBK" w:eastAsia="方正仿宋_GBK" w:cs="方正仿宋_GBK"/>
          <w:color w:val="000000"/>
          <w:sz w:val="32"/>
          <w:szCs w:val="32"/>
        </w:rPr>
        <w:t>、取暖费、物业管理费、</w:t>
      </w:r>
      <w:r>
        <w:rPr>
          <w:rFonts w:hint="eastAsia" w:ascii="方正仿宋_GBK" w:hAnsi="方正仿宋_GBK" w:eastAsia="方正仿宋_GBK" w:cs="方正仿宋_GBK"/>
          <w:b/>
          <w:bCs/>
          <w:color w:val="000000"/>
          <w:sz w:val="32"/>
          <w:szCs w:val="32"/>
          <w:lang w:eastAsia="zh-CN"/>
        </w:rPr>
        <w:t>差旅费（</w:t>
      </w:r>
      <w:r>
        <w:rPr>
          <w:rFonts w:hint="eastAsia" w:ascii="方正仿宋_GBK" w:hAnsi="方正仿宋_GBK" w:eastAsia="方正仿宋_GBK" w:cs="方正仿宋_GBK"/>
          <w:b/>
          <w:bCs/>
          <w:color w:val="000000"/>
          <w:sz w:val="32"/>
          <w:szCs w:val="32"/>
          <w:lang w:val="en-US" w:eastAsia="zh-CN"/>
        </w:rPr>
        <w:t>30211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0.99万元</w:t>
      </w:r>
      <w:r>
        <w:rPr>
          <w:rFonts w:hint="eastAsia" w:ascii="方正仿宋_GBK" w:hAnsi="方正仿宋_GBK" w:eastAsia="方正仿宋_GBK" w:cs="方正仿宋_GBK"/>
          <w:color w:val="000000"/>
          <w:sz w:val="32"/>
          <w:szCs w:val="32"/>
        </w:rPr>
        <w:t>、因公出国（境）费用、维修（护）费、租赁费、会议费、培训费、公务接待费、</w:t>
      </w:r>
      <w:r>
        <w:rPr>
          <w:rFonts w:hint="eastAsia" w:ascii="方正仿宋_GBK" w:hAnsi="方正仿宋_GBK" w:eastAsia="方正仿宋_GBK" w:cs="方正仿宋_GBK"/>
          <w:b w:val="0"/>
          <w:bCs w:val="0"/>
          <w:color w:val="000000"/>
          <w:sz w:val="32"/>
          <w:szCs w:val="32"/>
        </w:rPr>
        <w:t>劳务费</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30226</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0万元</w:t>
      </w:r>
      <w:r>
        <w:rPr>
          <w:rFonts w:hint="eastAsia" w:ascii="方正仿宋_GBK" w:hAnsi="方正仿宋_GBK" w:eastAsia="方正仿宋_GBK" w:cs="方正仿宋_GBK"/>
          <w:b w:val="0"/>
          <w:bCs w:val="0"/>
          <w:color w:val="000000"/>
          <w:sz w:val="32"/>
          <w:szCs w:val="32"/>
        </w:rPr>
        <w:t>、委托业务费、工会经费、福利费、公务用车运行维护费、</w:t>
      </w:r>
      <w:r>
        <w:rPr>
          <w:rFonts w:hint="eastAsia" w:ascii="方正仿宋_GBK" w:hAnsi="方正仿宋_GBK" w:eastAsia="方正仿宋_GBK" w:cs="方正仿宋_GBK"/>
          <w:b/>
          <w:bCs/>
          <w:color w:val="000000"/>
          <w:sz w:val="32"/>
          <w:szCs w:val="32"/>
          <w:lang w:eastAsia="zh-CN"/>
        </w:rPr>
        <w:t>其他交通费（</w:t>
      </w:r>
      <w:r>
        <w:rPr>
          <w:rFonts w:hint="eastAsia" w:ascii="方正仿宋_GBK" w:hAnsi="方正仿宋_GBK" w:eastAsia="方正仿宋_GBK" w:cs="方正仿宋_GBK"/>
          <w:b/>
          <w:bCs/>
          <w:color w:val="000000"/>
          <w:sz w:val="32"/>
          <w:szCs w:val="32"/>
          <w:lang w:val="en-US" w:eastAsia="zh-CN"/>
        </w:rPr>
        <w:t>30239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0.44万元</w:t>
      </w:r>
      <w:r>
        <w:rPr>
          <w:rFonts w:hint="eastAsia" w:ascii="方正仿宋_GBK" w:hAnsi="方正仿宋_GBK" w:eastAsia="方正仿宋_GBK" w:cs="方正仿宋_GBK"/>
          <w:color w:val="000000"/>
          <w:sz w:val="32"/>
          <w:szCs w:val="32"/>
        </w:rPr>
        <w:t>、税金及附加费用、</w:t>
      </w:r>
      <w:r>
        <w:rPr>
          <w:rFonts w:hint="eastAsia" w:ascii="方正仿宋_GBK" w:hAnsi="方正仿宋_GBK" w:eastAsia="方正仿宋_GBK" w:cs="方正仿宋_GBK"/>
          <w:b/>
          <w:bCs/>
          <w:color w:val="000000"/>
          <w:sz w:val="32"/>
          <w:szCs w:val="32"/>
        </w:rPr>
        <w:t>其他商品和服务支出</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30299）</w:t>
      </w:r>
      <w:r>
        <w:rPr>
          <w:rFonts w:hint="eastAsia" w:ascii="方正仿宋_GBK" w:hAnsi="方正仿宋_GBK" w:eastAsia="方正仿宋_GBK" w:cs="方正仿宋_GBK"/>
          <w:color w:val="000000"/>
          <w:sz w:val="32"/>
          <w:szCs w:val="32"/>
          <w:lang w:val="en-US" w:eastAsia="zh-CN"/>
        </w:rPr>
        <w:t>0.33万元</w:t>
      </w:r>
      <w:r>
        <w:rPr>
          <w:rFonts w:hint="eastAsia" w:ascii="方正仿宋_GBK" w:hAnsi="方正仿宋_GBK" w:eastAsia="方正仿宋_GBK" w:cs="方正仿宋_GBK"/>
          <w:color w:val="000000"/>
          <w:sz w:val="32"/>
          <w:szCs w:val="32"/>
        </w:rPr>
        <w:t>、办公设备购置、专用设备购置、信息网络及软件购置更新、其他资本性支出等。</w:t>
      </w:r>
    </w:p>
    <w:p w14:paraId="45FB4405">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bookmarkStart w:id="68" w:name="_Toc15377215"/>
      <w:bookmarkStart w:id="69" w:name="_Toc15396609"/>
      <w:bookmarkStart w:id="70" w:name="_Toc79163619"/>
      <w:bookmarkStart w:id="71" w:name="_Toc79163869"/>
      <w:r>
        <w:rPr>
          <w:rFonts w:hint="eastAsia" w:ascii="方正楷体_GBK" w:hAnsi="方正楷体_GBK" w:eastAsia="方正楷体_GBK" w:cs="方正楷体_GBK"/>
          <w:b/>
          <w:bCs w:val="0"/>
          <w:color w:val="000000"/>
          <w:kern w:val="10"/>
          <w:sz w:val="32"/>
        </w:rPr>
        <w:t>七、“三公”经费</w:t>
      </w:r>
      <w:r>
        <w:rPr>
          <w:rFonts w:hint="eastAsia" w:ascii="方正楷体_GBK" w:hAnsi="方正楷体_GBK" w:eastAsia="方正楷体_GBK" w:cs="方正楷体_GBK"/>
          <w:b/>
          <w:bCs w:val="0"/>
          <w:color w:val="000000"/>
          <w:kern w:val="10"/>
          <w:sz w:val="32"/>
          <w:lang w:eastAsia="zh-CN"/>
        </w:rPr>
        <w:t>财政</w:t>
      </w:r>
      <w:r>
        <w:rPr>
          <w:rFonts w:hint="eastAsia" w:ascii="方正楷体_GBK" w:hAnsi="方正楷体_GBK" w:eastAsia="方正楷体_GBK" w:cs="方正楷体_GBK"/>
          <w:b/>
          <w:bCs w:val="0"/>
          <w:color w:val="000000"/>
          <w:kern w:val="10"/>
          <w:sz w:val="32"/>
        </w:rPr>
        <w:t>拨款支出决算情况说明</w:t>
      </w:r>
      <w:bookmarkEnd w:id="68"/>
      <w:bookmarkEnd w:id="69"/>
      <w:bookmarkEnd w:id="70"/>
      <w:bookmarkEnd w:id="71"/>
    </w:p>
    <w:p w14:paraId="40FC4DFD">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72" w:name="_Toc15377216"/>
      <w:bookmarkStart w:id="73" w:name="_Toc79163620"/>
      <w:bookmarkStart w:id="74" w:name="_Toc79163870"/>
      <w:r>
        <w:rPr>
          <w:rFonts w:hint="eastAsia" w:ascii="方正仿宋_GBK" w:hAnsi="方正仿宋_GBK" w:eastAsia="方正仿宋_GBK" w:cs="方正仿宋_GBK"/>
          <w:b/>
          <w:bCs w:val="0"/>
          <w:sz w:val="32"/>
          <w:szCs w:val="32"/>
          <w:lang w:val="zh-CN"/>
        </w:rPr>
        <w:t>（一）“三公”经费财政拨款支出决算总体情况说明</w:t>
      </w:r>
      <w:bookmarkEnd w:id="72"/>
      <w:bookmarkEnd w:id="73"/>
      <w:bookmarkEnd w:id="74"/>
    </w:p>
    <w:p w14:paraId="7EC92337">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完成</w:t>
      </w:r>
      <w:r>
        <w:rPr>
          <w:rFonts w:hint="eastAsia" w:ascii="方正仿宋_GBK" w:hAnsi="方正仿宋_GBK" w:eastAsia="方正仿宋_GBK" w:cs="方正仿宋_GBK"/>
          <w:color w:val="000000"/>
          <w:sz w:val="32"/>
          <w:szCs w:val="32"/>
        </w:rPr>
        <w:t>预算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%，决算数小于预算数（或与预算数持平）的主要原因是</w:t>
      </w:r>
      <w:r>
        <w:rPr>
          <w:rFonts w:hint="eastAsia" w:ascii="方正仿宋_GBK" w:hAnsi="方正仿宋_GBK" w:eastAsia="方正仿宋_GBK" w:cs="方正仿宋_GBK"/>
          <w:color w:val="000000"/>
          <w:sz w:val="32"/>
          <w:szCs w:val="32"/>
          <w:lang w:eastAsia="zh-CN"/>
        </w:rPr>
        <w:t>厉行节约</w:t>
      </w:r>
      <w:r>
        <w:rPr>
          <w:rFonts w:hint="eastAsia" w:ascii="方正仿宋_GBK" w:hAnsi="方正仿宋_GBK" w:eastAsia="方正仿宋_GBK" w:cs="方正仿宋_GBK"/>
          <w:color w:val="000000"/>
          <w:sz w:val="32"/>
          <w:szCs w:val="32"/>
        </w:rPr>
        <w:t>。</w:t>
      </w:r>
    </w:p>
    <w:p w14:paraId="64E686A9">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p>
    <w:p w14:paraId="6F0CBF03">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p>
    <w:p w14:paraId="21A504DB">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p>
    <w:p w14:paraId="69579226">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p>
    <w:p w14:paraId="4C7B0DE8">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p>
    <w:p w14:paraId="33ACF9AD">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方正仿宋_GBK" w:hAnsi="方正仿宋_GBK" w:eastAsia="方正仿宋_GBK" w:cs="方正仿宋_GBK"/>
          <w:color w:val="000000"/>
          <w:sz w:val="32"/>
          <w:szCs w:val="32"/>
        </w:rPr>
      </w:pPr>
      <w:bookmarkStart w:id="157" w:name="_GoBack"/>
      <w:bookmarkEnd w:id="157"/>
    </w:p>
    <w:p w14:paraId="77619B54">
      <w:pPr>
        <w:pageBreakBefore w:val="0"/>
        <w:kinsoku/>
        <w:wordWrap/>
        <w:overflowPunct/>
        <w:topLinePunct w:val="0"/>
        <w:bidi w:val="0"/>
        <w:adjustRightInd w:val="0"/>
        <w:snapToGrid w:val="0"/>
        <w:spacing w:line="576" w:lineRule="exact"/>
        <w:rPr>
          <w:rFonts w:hint="eastAsia" w:ascii="方正仿宋_GBK" w:hAnsi="方正仿宋_GBK" w:eastAsia="方正仿宋_GBK" w:cs="方正仿宋_GBK"/>
          <w:color w:val="000000"/>
          <w:sz w:val="32"/>
          <w:szCs w:val="32"/>
          <w:lang w:val="en-US" w:eastAsia="zh-CN"/>
        </w:rPr>
      </w:pPr>
      <w:bookmarkStart w:id="75" w:name="_Toc79163621"/>
      <w:bookmarkStart w:id="76" w:name="_Toc15377217"/>
      <w:bookmarkStart w:id="77" w:name="_Toc79163871"/>
      <w:r>
        <w:rPr>
          <w:rFonts w:hint="eastAsia" w:ascii="方正仿宋_GBK" w:hAnsi="方正仿宋_GBK" w:eastAsia="方正仿宋_GBK" w:cs="方正仿宋_GBK"/>
          <w:b/>
          <w:bCs w:val="0"/>
          <w:sz w:val="32"/>
          <w:szCs w:val="32"/>
          <w:lang w:val="zh-CN"/>
        </w:rPr>
        <w:t>（二）“三公”经费财政拨款支出决算具体情况说明</w:t>
      </w:r>
      <w:bookmarkEnd w:id="75"/>
      <w:bookmarkEnd w:id="76"/>
      <w:bookmarkEnd w:id="77"/>
      <w:r>
        <w:rPr>
          <w:rFonts w:hint="default" w:ascii="方正仿宋_GBK" w:hAnsi="方正仿宋_GBK" w:eastAsia="方正仿宋_GBK" w:cs="方正仿宋_GBK"/>
          <w:color w:val="000000"/>
          <w:sz w:val="32"/>
          <w:szCs w:val="32"/>
          <w:lang w:val="en-US" w:eastAsia="zh-CN"/>
        </w:rPr>
        <w:drawing>
          <wp:anchor distT="0" distB="0" distL="114300" distR="114300" simplePos="0" relativeHeight="251664384" behindDoc="0" locked="0" layoutInCell="1" allowOverlap="1">
            <wp:simplePos x="0" y="0"/>
            <wp:positionH relativeFrom="column">
              <wp:posOffset>410845</wp:posOffset>
            </wp:positionH>
            <wp:positionV relativeFrom="page">
              <wp:posOffset>3879850</wp:posOffset>
            </wp:positionV>
            <wp:extent cx="4318635" cy="2315845"/>
            <wp:effectExtent l="4445" t="4445" r="20320" b="2286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“三公”经费财政拨款支出决算中，因公出国（境）费支出决算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%；公务用车购置及运行维护费支出决算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%；公务接待费支出决算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%。具体情况如下：</w:t>
      </w:r>
      <w:r>
        <w:rPr>
          <w:rFonts w:hint="eastAsia" w:ascii="方正仿宋_GBK" w:hAnsi="方正仿宋_GBK" w:eastAsia="方正仿宋_GBK" w:cs="方正仿宋_GBK"/>
          <w:color w:val="000000"/>
          <w:sz w:val="32"/>
          <w:szCs w:val="32"/>
          <w:lang w:val="en-US" w:eastAsia="zh-CN"/>
        </w:rPr>
        <w:t xml:space="preserve">  </w:t>
      </w:r>
    </w:p>
    <w:p w14:paraId="542586D1">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3B1BD05C">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567CBDED">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28A34566">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7CA3C7D6">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180B3CA4">
      <w:pPr>
        <w:pageBreakBefore w:val="0"/>
        <w:kinsoku/>
        <w:wordWrap/>
        <w:overflowPunct/>
        <w:topLinePunct w:val="0"/>
        <w:bidi w:val="0"/>
        <w:spacing w:line="576" w:lineRule="exact"/>
        <w:ind w:firstLine="640"/>
        <w:rPr>
          <w:rFonts w:hint="default" w:ascii="方正仿宋_GBK" w:hAnsi="方正仿宋_GBK" w:eastAsia="方正仿宋_GBK" w:cs="方正仿宋_GBK"/>
          <w:color w:val="000000"/>
          <w:sz w:val="32"/>
          <w:szCs w:val="32"/>
          <w:lang w:val="en-US" w:eastAsia="zh-CN"/>
        </w:rPr>
      </w:pPr>
    </w:p>
    <w:p w14:paraId="7D9C9433">
      <w:pPr>
        <w:pageBreakBefore w:val="0"/>
        <w:kinsoku/>
        <w:wordWrap/>
        <w:overflowPunct/>
        <w:topLinePunct w:val="0"/>
        <w:bidi w:val="0"/>
        <w:spacing w:line="576" w:lineRule="exact"/>
        <w:ind w:firstLine="64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7</w:t>
      </w:r>
      <w:r>
        <w:rPr>
          <w:rFonts w:hint="eastAsia" w:ascii="仿宋" w:eastAsia="仿宋"/>
          <w:color w:val="000000"/>
          <w:sz w:val="32"/>
          <w:szCs w:val="32"/>
        </w:rPr>
        <w:t>：“三公”经费财政拨款支出结构）（饼状图）</w:t>
      </w:r>
    </w:p>
    <w:p w14:paraId="2260EC4B">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全年安排因公出国（境）团组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次，出国（境）</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人。因公出国（境）支出决算比20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6D5B8A3F">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公务用车购置及运行维护费支出决算比20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128BB399">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万元。全年按规定更新购置公务用车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12月底，单位共有公务用车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p>
    <w:p w14:paraId="06737E11">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万元。主要用于所需的公务用车燃料费、维修费、过路过桥费、保险费等支出。</w:t>
      </w:r>
    </w:p>
    <w:p w14:paraId="06257C2A">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eastAsia="zh-CN"/>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公务接待费支出决算比</w:t>
      </w:r>
      <w:r>
        <w:rPr>
          <w:rFonts w:hint="eastAsia" w:ascii="方正仿宋_GBK" w:hAnsi="方正仿宋_GBK" w:eastAsia="方正仿宋_GBK" w:cs="方正仿宋_GBK"/>
          <w:color w:val="000000"/>
          <w:sz w:val="32"/>
          <w:szCs w:val="32"/>
          <w:lang w:val="en-US" w:eastAsia="zh-CN"/>
        </w:rPr>
        <w:t>2024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eastAsia="zh-CN"/>
        </w:rPr>
        <w:t>厉行节约。</w:t>
      </w:r>
    </w:p>
    <w:p w14:paraId="1B6E8817">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 w:eastAsia="仿宋"/>
          <w:b/>
          <w:color w:val="000000"/>
          <w:sz w:val="32"/>
          <w:szCs w:val="32"/>
        </w:rPr>
        <w:t>国内公务接待支出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元，主要用于</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(执行公务、开展业务活动开支的交通费、住宿费、用餐费等)。国内公务接待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人次（不包括陪同人员），共计支出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446E0A1A">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仿宋" w:eastAsia="仿宋"/>
          <w:b/>
          <w:color w:val="000000"/>
          <w:sz w:val="32"/>
          <w:szCs w:val="32"/>
        </w:rPr>
        <w:t>外事接待支出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元，外事接待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bookmarkStart w:id="78" w:name="_Toc79163622"/>
      <w:bookmarkStart w:id="79" w:name="_Toc15396610"/>
      <w:bookmarkStart w:id="80" w:name="_Toc79163872"/>
      <w:bookmarkStart w:id="81" w:name="_Toc15377218"/>
      <w:r>
        <w:rPr>
          <w:rFonts w:hint="eastAsia" w:ascii="方正仿宋_GBK" w:hAnsi="方正仿宋_GBK" w:eastAsia="方正仿宋_GBK" w:cs="方正仿宋_GBK"/>
          <w:color w:val="000000"/>
          <w:sz w:val="32"/>
          <w:szCs w:val="32"/>
          <w:lang w:val="en-US" w:eastAsia="zh-CN"/>
        </w:rPr>
        <w:t>0</w:t>
      </w:r>
    </w:p>
    <w:p w14:paraId="4F3070C4">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八、政府性基金预算支出决算情况说明</w:t>
      </w:r>
      <w:bookmarkEnd w:id="78"/>
      <w:bookmarkEnd w:id="79"/>
      <w:bookmarkEnd w:id="80"/>
      <w:bookmarkEnd w:id="81"/>
    </w:p>
    <w:p w14:paraId="3F85E916">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政府性基金预算拨款支出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0A8B9D57">
      <w:pPr>
        <w:pageBreakBefore w:val="0"/>
        <w:kinsoku/>
        <w:wordWrap/>
        <w:overflowPunct/>
        <w:topLinePunct w:val="0"/>
        <w:bidi w:val="0"/>
        <w:spacing w:line="576" w:lineRule="exact"/>
        <w:ind w:firstLine="640"/>
        <w:rPr>
          <w:rFonts w:ascii="仿宋_GB2312" w:eastAsia="仿宋_GB2312"/>
          <w:color w:val="000000"/>
          <w:sz w:val="32"/>
          <w:szCs w:val="32"/>
        </w:rPr>
      </w:pPr>
    </w:p>
    <w:p w14:paraId="2F24BB60">
      <w:pPr>
        <w:pageBreakBefore w:val="0"/>
        <w:numPr>
          <w:ilvl w:val="0"/>
          <w:numId w:val="2"/>
        </w:numPr>
        <w:kinsoku/>
        <w:wordWrap/>
        <w:overflowPunct/>
        <w:topLinePunct w:val="0"/>
        <w:bidi w:val="0"/>
        <w:spacing w:line="576" w:lineRule="exact"/>
        <w:ind w:left="0" w:firstLine="640"/>
        <w:outlineLvl w:val="1"/>
        <w:rPr>
          <w:rStyle w:val="24"/>
          <w:rFonts w:hint="eastAsia" w:ascii="方正楷体_GBK" w:hAnsi="方正楷体_GBK" w:eastAsia="方正楷体_GBK" w:cs="方正楷体_GBK"/>
        </w:rPr>
      </w:pPr>
      <w:bookmarkStart w:id="82" w:name="_Toc79163623"/>
      <w:bookmarkStart w:id="83" w:name="_Toc15377219"/>
      <w:bookmarkStart w:id="84" w:name="_Toc79163873"/>
      <w:bookmarkStart w:id="85" w:name="_Toc15396611"/>
      <w:r>
        <w:rPr>
          <w:rStyle w:val="24"/>
          <w:rFonts w:hint="eastAsia" w:ascii="方正楷体_GBK" w:hAnsi="方正楷体_GBK" w:eastAsia="方正楷体_GBK" w:cs="方正楷体_GBK"/>
        </w:rPr>
        <w:t>国有资本经营预算支出决算情况说明</w:t>
      </w:r>
      <w:bookmarkEnd w:id="82"/>
      <w:bookmarkEnd w:id="83"/>
      <w:bookmarkEnd w:id="84"/>
      <w:bookmarkEnd w:id="85"/>
    </w:p>
    <w:p w14:paraId="54FBF541">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国有资本经营预算拨款支出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3F7E6ADC">
      <w:pPr>
        <w:pageBreakBefore w:val="0"/>
        <w:kinsoku/>
        <w:wordWrap/>
        <w:overflowPunct/>
        <w:topLinePunct w:val="0"/>
        <w:bidi w:val="0"/>
        <w:spacing w:line="576" w:lineRule="exact"/>
        <w:jc w:val="center"/>
        <w:rPr>
          <w:rFonts w:ascii="方正小标宋简体" w:eastAsia="方正小标宋简体" w:cs="方正小标宋简体"/>
          <w:sz w:val="44"/>
          <w:szCs w:val="44"/>
        </w:rPr>
      </w:pPr>
    </w:p>
    <w:p w14:paraId="4182CB78">
      <w:pPr>
        <w:pageBreakBefore w:val="0"/>
        <w:kinsoku/>
        <w:wordWrap/>
        <w:overflowPunct/>
        <w:topLinePunct w:val="0"/>
        <w:bidi w:val="0"/>
        <w:spacing w:line="576" w:lineRule="exact"/>
        <w:ind w:firstLine="643" w:firstLineChars="200"/>
        <w:rPr>
          <w:rFonts w:hint="eastAsia" w:ascii="方正仿宋_GBK" w:hAnsi="方正仿宋_GBK" w:eastAsia="方正仿宋_GBK" w:cs="方正仿宋_GBK"/>
          <w:b/>
          <w:bCs/>
          <w:color w:val="000000"/>
          <w:sz w:val="32"/>
          <w:szCs w:val="32"/>
        </w:rPr>
      </w:pPr>
      <w:bookmarkStart w:id="86" w:name="_Toc15396612"/>
      <w:bookmarkStart w:id="87" w:name="_Toc79163624"/>
      <w:bookmarkStart w:id="88" w:name="_Toc15377221"/>
      <w:bookmarkStart w:id="89" w:name="_Toc79163874"/>
      <w:r>
        <w:rPr>
          <w:rFonts w:hint="eastAsia" w:ascii="方正仿宋_GBK" w:hAnsi="方正仿宋_GBK" w:eastAsia="方正仿宋_GBK" w:cs="方正仿宋_GBK"/>
          <w:b/>
          <w:bCs/>
          <w:color w:val="000000"/>
          <w:sz w:val="32"/>
          <w:szCs w:val="32"/>
        </w:rPr>
        <w:t>十、其他重要事项的情况说明</w:t>
      </w:r>
      <w:bookmarkEnd w:id="86"/>
      <w:bookmarkEnd w:id="87"/>
      <w:bookmarkEnd w:id="88"/>
      <w:bookmarkEnd w:id="89"/>
    </w:p>
    <w:p w14:paraId="7A948547">
      <w:pPr>
        <w:pageBreakBefore w:val="0"/>
        <w:kinsoku/>
        <w:wordWrap/>
        <w:overflowPunct/>
        <w:topLinePunct w:val="0"/>
        <w:bidi w:val="0"/>
        <w:spacing w:line="576" w:lineRule="exact"/>
        <w:ind w:firstLine="643" w:firstLineChars="200"/>
        <w:outlineLvl w:val="2"/>
        <w:rPr>
          <w:rFonts w:hint="eastAsia" w:ascii="方正仿宋_GBK" w:hAnsi="方正仿宋_GBK" w:eastAsia="方正仿宋_GBK" w:cs="方正仿宋_GBK"/>
          <w:b/>
          <w:bCs w:val="0"/>
          <w:sz w:val="32"/>
          <w:szCs w:val="32"/>
          <w:lang w:val="zh-CN"/>
        </w:rPr>
      </w:pPr>
      <w:bookmarkStart w:id="90" w:name="_Toc15377222"/>
      <w:bookmarkStart w:id="91" w:name="_Toc79163625"/>
      <w:bookmarkStart w:id="92" w:name="_Toc79163875"/>
      <w:r>
        <w:rPr>
          <w:rFonts w:hint="eastAsia" w:ascii="仿宋" w:eastAsia="仿宋"/>
          <w:b/>
          <w:color w:val="000000"/>
          <w:sz w:val="32"/>
          <w:szCs w:val="32"/>
        </w:rPr>
        <w:t>（</w:t>
      </w:r>
      <w:r>
        <w:rPr>
          <w:rFonts w:hint="eastAsia" w:ascii="方正仿宋_GBK" w:hAnsi="方正仿宋_GBK" w:eastAsia="方正仿宋_GBK" w:cs="方正仿宋_GBK"/>
          <w:b/>
          <w:bCs w:val="0"/>
          <w:sz w:val="32"/>
          <w:szCs w:val="32"/>
          <w:lang w:val="zh-CN"/>
        </w:rPr>
        <w:t>一）机关运行经费支出情况</w:t>
      </w:r>
      <w:bookmarkEnd w:id="90"/>
      <w:bookmarkEnd w:id="91"/>
      <w:bookmarkEnd w:id="92"/>
    </w:p>
    <w:p w14:paraId="0CDBC48A">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w:t>
      </w:r>
      <w:r>
        <w:rPr>
          <w:rFonts w:hint="eastAsia" w:ascii="仿宋_GB2312" w:hAnsi="仿宋_GB2312" w:eastAsia="仿宋_GB2312" w:cs="仿宋_GB2312"/>
          <w:color w:val="313131"/>
          <w:kern w:val="0"/>
          <w:sz w:val="32"/>
          <w:szCs w:val="32"/>
          <w:lang w:val="en-US" w:eastAsia="zh-CN" w:bidi="ar-SA"/>
        </w:rPr>
        <w:t>小金县妇女儿童工作中心</w:t>
      </w:r>
      <w:r>
        <w:rPr>
          <w:rFonts w:hint="eastAsia" w:ascii="方正仿宋_GBK" w:hAnsi="方正仿宋_GBK" w:eastAsia="方正仿宋_GBK" w:cs="方正仿宋_GBK"/>
          <w:color w:val="000000"/>
          <w:sz w:val="32"/>
          <w:szCs w:val="32"/>
        </w:rPr>
        <w:t>运行经费支出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eastAsia="zh-CN"/>
        </w:rPr>
        <w:t>人员变动、工资、保险等基数调整。</w:t>
      </w:r>
    </w:p>
    <w:p w14:paraId="65EE5305">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93" w:name="_Toc79163876"/>
      <w:bookmarkStart w:id="94" w:name="_Toc79163626"/>
      <w:bookmarkStart w:id="95" w:name="_Toc15377223"/>
      <w:r>
        <w:rPr>
          <w:rFonts w:hint="eastAsia" w:ascii="方正仿宋_GBK" w:hAnsi="方正仿宋_GBK" w:eastAsia="方正仿宋_GBK" w:cs="方正仿宋_GBK"/>
          <w:b/>
          <w:bCs w:val="0"/>
          <w:sz w:val="32"/>
          <w:szCs w:val="32"/>
          <w:lang w:val="zh-CN"/>
        </w:rPr>
        <w:t>（二）政府采购支出情况</w:t>
      </w:r>
      <w:bookmarkEnd w:id="93"/>
      <w:bookmarkEnd w:id="94"/>
      <w:bookmarkEnd w:id="95"/>
    </w:p>
    <w:p w14:paraId="583BB5F7">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，政府采购支出总额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万元，其中：政府采购货物支出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万元、政府采购工程支出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万元、政府采购服务支出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万元。授予中小企业合同金额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%，其中：授予小微企业合同金额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4496C024">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96" w:name="_Toc79163877"/>
      <w:bookmarkStart w:id="97" w:name="_Toc79163627"/>
      <w:bookmarkStart w:id="98" w:name="_Toc15377224"/>
      <w:r>
        <w:rPr>
          <w:rFonts w:hint="eastAsia" w:ascii="方正仿宋_GBK" w:hAnsi="方正仿宋_GBK" w:eastAsia="方正仿宋_GBK" w:cs="方正仿宋_GBK"/>
          <w:b/>
          <w:bCs w:val="0"/>
          <w:sz w:val="32"/>
          <w:szCs w:val="32"/>
          <w:lang w:val="zh-CN"/>
        </w:rPr>
        <w:t>（三）国有资产占有使用情况</w:t>
      </w:r>
      <w:bookmarkEnd w:id="96"/>
      <w:bookmarkEnd w:id="97"/>
      <w:bookmarkEnd w:id="98"/>
    </w:p>
    <w:p w14:paraId="7A0ECA0E">
      <w:pPr>
        <w:pageBreakBefore w:val="0"/>
        <w:kinsoku/>
        <w:wordWrap/>
        <w:overflowPunct/>
        <w:topLinePunct w:val="0"/>
        <w:autoSpaceDE w:val="0"/>
        <w:autoSpaceDN w:val="0"/>
        <w:bidi w:val="0"/>
        <w:adjustRightInd w:val="0"/>
        <w:spacing w:line="576" w:lineRule="exact"/>
        <w:ind w:firstLine="640" w:firstLineChars="200"/>
        <w:jc w:val="left"/>
        <w:rPr>
          <w:rFonts w:ascii="仿宋" w:eastAsia="仿宋"/>
          <w:b/>
          <w:color w:val="FF0000"/>
          <w:sz w:val="32"/>
          <w:szCs w:val="32"/>
        </w:rPr>
      </w:pPr>
      <w:r>
        <w:rPr>
          <w:rFonts w:hint="eastAsia" w:ascii="方正仿宋_GBK" w:hAnsi="方正仿宋_GBK" w:eastAsia="方正仿宋_GBK" w:cs="方正仿宋_GBK"/>
          <w:color w:val="000000"/>
          <w:sz w:val="32"/>
          <w:szCs w:val="32"/>
        </w:rPr>
        <w:t>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12月31日，</w:t>
      </w:r>
      <w:r>
        <w:rPr>
          <w:rFonts w:hint="eastAsia" w:ascii="仿宋_GB2312" w:eastAsia="仿宋_GB2312"/>
          <w:color w:val="000000"/>
          <w:sz w:val="32"/>
          <w:szCs w:val="32"/>
          <w:lang w:eastAsia="zh-CN"/>
        </w:rPr>
        <w:t>妇女儿童工作中心</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方正仿宋_GBK" w:hAnsi="方正仿宋_GBK" w:eastAsia="方正仿宋_GBK" w:cs="方正仿宋_GBK"/>
          <w:color w:val="000000"/>
          <w:sz w:val="32"/>
          <w:szCs w:val="32"/>
        </w:rPr>
        <w:t>，其中：主要领导干部用车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辆、机要通信用车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辆、应急保障用车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辆、其他用车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单价50万元以上通用设备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台（套），单价100万元以上专用设备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w:t>
      </w:r>
    </w:p>
    <w:p w14:paraId="31BB1432">
      <w:pPr>
        <w:pageBreakBefore w:val="0"/>
        <w:numPr>
          <w:ilvl w:val="0"/>
          <w:numId w:val="0"/>
        </w:numPr>
        <w:kinsoku/>
        <w:wordWrap/>
        <w:overflowPunct/>
        <w:topLinePunct w:val="0"/>
        <w:autoSpaceDE w:val="0"/>
        <w:autoSpaceDN w:val="0"/>
        <w:bidi w:val="0"/>
        <w:adjustRightInd w:val="0"/>
        <w:spacing w:line="576" w:lineRule="exact"/>
        <w:ind w:firstLine="643" w:firstLineChars="200"/>
        <w:jc w:val="left"/>
        <w:outlineLvl w:val="2"/>
        <w:rPr>
          <w:rFonts w:hint="eastAsia" w:ascii="方正仿宋_GBK" w:hAnsi="方正仿宋_GBK" w:eastAsia="方正仿宋_GBK" w:cs="方正仿宋_GBK"/>
          <w:b/>
          <w:bCs w:val="0"/>
          <w:sz w:val="32"/>
          <w:szCs w:val="32"/>
          <w:lang w:val="zh-CN"/>
        </w:rPr>
      </w:pPr>
      <w:bookmarkStart w:id="99" w:name="_Toc79163628"/>
      <w:bookmarkStart w:id="100" w:name="_Toc79163878"/>
      <w:r>
        <w:rPr>
          <w:rFonts w:hint="eastAsia" w:ascii="仿宋" w:hAnsi="仿宋" w:eastAsia="仿宋"/>
          <w:b/>
          <w:color w:val="000000"/>
          <w:sz w:val="32"/>
          <w:szCs w:val="32"/>
        </w:rPr>
        <w:t>（四）</w:t>
      </w:r>
      <w:r>
        <w:rPr>
          <w:rFonts w:hint="eastAsia" w:ascii="方正仿宋_GBK" w:hAnsi="方正仿宋_GBK" w:eastAsia="方正仿宋_GBK" w:cs="方正仿宋_GBK"/>
          <w:b/>
          <w:bCs w:val="0"/>
          <w:sz w:val="32"/>
          <w:szCs w:val="32"/>
          <w:lang w:val="zh-CN"/>
        </w:rPr>
        <w:t>预算绩效管理情况。</w:t>
      </w:r>
      <w:bookmarkEnd w:id="99"/>
      <w:bookmarkEnd w:id="100"/>
    </w:p>
    <w:p w14:paraId="398B700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根据预算绩效管理要求，本部门</w:t>
      </w:r>
      <w:r>
        <w:rPr>
          <w:rFonts w:hint="eastAsia" w:ascii="仿宋_GB2312" w:hAnsi="仿宋_GB2312" w:eastAsia="仿宋_GB2312" w:cs="仿宋_GB2312"/>
          <w:sz w:val="32"/>
          <w:szCs w:val="32"/>
          <w:lang w:eastAsia="zh-CN"/>
        </w:rPr>
        <w:t>无项目预算</w:t>
      </w:r>
      <w:r>
        <w:rPr>
          <w:rFonts w:hint="eastAsia" w:ascii="仿宋_GB2312" w:hAnsi="仿宋_GB2312" w:eastAsia="仿宋_GB2312" w:cs="仿宋_GB2312"/>
          <w:sz w:val="32"/>
          <w:szCs w:val="32"/>
        </w:rPr>
        <w:t>。</w:t>
      </w:r>
    </w:p>
    <w:p w14:paraId="7989BBB8">
      <w:pPr>
        <w:spacing w:line="580" w:lineRule="exac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5B70572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lang w:eastAsia="zh-CN"/>
        </w:rPr>
        <w:t>小金县妇女儿童工作中心</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年部门整体支出绩效评价报告》见附件（附件1）。</w:t>
      </w:r>
    </w:p>
    <w:p w14:paraId="361A9F68">
      <w:pPr>
        <w:pStyle w:val="6"/>
        <w:numPr>
          <w:ilvl w:val="0"/>
          <w:numId w:val="0"/>
        </w:numPr>
        <w:rPr>
          <w:rFonts w:hint="eastAsia"/>
          <w:lang w:val="zh-CN"/>
        </w:rPr>
      </w:pPr>
    </w:p>
    <w:p w14:paraId="3B239524">
      <w:pPr>
        <w:pStyle w:val="6"/>
        <w:rPr>
          <w:rFonts w:hint="eastAsia" w:ascii="方正仿宋_GBK" w:hAnsi="方正仿宋_GBK" w:eastAsia="方正仿宋_GBK" w:cs="方正仿宋_GBK"/>
          <w:color w:val="000000"/>
          <w:sz w:val="32"/>
          <w:szCs w:val="32"/>
          <w:lang w:eastAsia="zh-CN"/>
        </w:rPr>
      </w:pPr>
    </w:p>
    <w:p w14:paraId="31815ADB">
      <w:pPr>
        <w:rPr>
          <w:rFonts w:hint="eastAsia"/>
          <w:lang w:eastAsia="zh-CN"/>
        </w:rPr>
      </w:pPr>
    </w:p>
    <w:p w14:paraId="276C5CB5">
      <w:pPr>
        <w:pageBreakBefore w:val="0"/>
        <w:kinsoku/>
        <w:wordWrap/>
        <w:overflowPunct/>
        <w:topLinePunct w:val="0"/>
        <w:bidi w:val="0"/>
        <w:spacing w:line="576" w:lineRule="exact"/>
        <w:ind w:left="630"/>
        <w:rPr>
          <w:rFonts w:ascii="仿宋_GB2312" w:eastAsia="仿宋_GB2312" w:cs="仿宋_GB2312"/>
          <w:sz w:val="32"/>
          <w:szCs w:val="32"/>
        </w:rPr>
      </w:pPr>
    </w:p>
    <w:p w14:paraId="4B628CB8">
      <w:pPr>
        <w:pageBreakBefore w:val="0"/>
        <w:numPr>
          <w:ilvl w:val="0"/>
          <w:numId w:val="3"/>
        </w:numPr>
        <w:kinsoku/>
        <w:wordWrap/>
        <w:overflowPunct/>
        <w:topLinePunct w:val="0"/>
        <w:bidi w:val="0"/>
        <w:spacing w:line="576" w:lineRule="exact"/>
        <w:ind w:left="0" w:firstLine="660" w:firstLineChars="150"/>
        <w:jc w:val="center"/>
        <w:outlineLvl w:val="0"/>
        <w:rPr>
          <w:rStyle w:val="23"/>
          <w:rFonts w:hint="eastAsia" w:ascii="仿宋_GB2312" w:hAnsi="仿宋_GB2312" w:eastAsia="仿宋_GB2312" w:cs="仿宋_GB2312"/>
          <w:b w:val="0"/>
        </w:rPr>
      </w:pPr>
      <w:bookmarkStart w:id="101" w:name="_Toc15396613"/>
      <w:bookmarkStart w:id="102" w:name="_Toc79163629"/>
      <w:bookmarkStart w:id="103" w:name="_Toc15377225"/>
      <w:bookmarkStart w:id="104" w:name="_Toc79163879"/>
      <w:r>
        <w:rPr>
          <w:rFonts w:hint="eastAsia" w:ascii="仿宋_GB2312" w:hAnsi="仿宋_GB2312" w:eastAsia="仿宋_GB2312" w:cs="仿宋_GB2312"/>
          <w:color w:val="000000"/>
          <w:sz w:val="44"/>
          <w:szCs w:val="44"/>
        </w:rPr>
        <w:t>名</w:t>
      </w:r>
      <w:r>
        <w:rPr>
          <w:rStyle w:val="23"/>
          <w:rFonts w:hint="eastAsia" w:ascii="仿宋_GB2312" w:hAnsi="仿宋_GB2312" w:eastAsia="仿宋_GB2312" w:cs="仿宋_GB2312"/>
          <w:b w:val="0"/>
        </w:rPr>
        <w:t>词解释</w:t>
      </w:r>
      <w:bookmarkEnd w:id="101"/>
      <w:bookmarkEnd w:id="102"/>
      <w:bookmarkEnd w:id="103"/>
      <w:bookmarkEnd w:id="104"/>
    </w:p>
    <w:p w14:paraId="6FE4B1F3">
      <w:pPr>
        <w:pageBreakBefore w:val="0"/>
        <w:kinsoku/>
        <w:wordWrap/>
        <w:overflowPunct/>
        <w:topLinePunct w:val="0"/>
        <w:bidi w:val="0"/>
        <w:spacing w:line="576" w:lineRule="exact"/>
        <w:jc w:val="left"/>
        <w:rPr>
          <w:rFonts w:hint="eastAsia" w:ascii="仿宋_GB2312" w:hAnsi="仿宋_GB2312" w:eastAsia="仿宋_GB2312" w:cs="仿宋_GB2312"/>
          <w:b/>
          <w:color w:val="000000"/>
          <w:sz w:val="44"/>
          <w:szCs w:val="44"/>
        </w:rPr>
      </w:pPr>
    </w:p>
    <w:p w14:paraId="75A181AF">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4DB2E351">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287AB4AA">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046B825C">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 </w:t>
      </w:r>
    </w:p>
    <w:p w14:paraId="05F4EBA0">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5.使用非财政拨款结余：指事业单位使用以前年度积累的非财政拨款结余弥补当年收支差额的金额。 </w:t>
      </w:r>
    </w:p>
    <w:p w14:paraId="50A119E5">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6.年初结转和结余：指以前年度尚未完成、结转到本年按有关规定继续使用的资金。 </w:t>
      </w:r>
    </w:p>
    <w:p w14:paraId="7963192F">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7.结余分配：指事业单位按照会计制度规定缴纳的所得税、提取的专用结余以及转入非财政拨款结余的金额等。</w:t>
      </w:r>
    </w:p>
    <w:p w14:paraId="2E9EF7B1">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年末结转和结余：指单位按有关规定结转到下年或以后年度继续使用的资金。</w:t>
      </w:r>
    </w:p>
    <w:p w14:paraId="0B673F2A">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w:t>
      </w:r>
      <w:r>
        <w:rPr>
          <w:rFonts w:hint="eastAsia" w:ascii="仿宋_GB2312" w:hAnsi="仿宋_GB2312" w:eastAsia="仿宋_GB2312" w:cs="仿宋_GB2312"/>
          <w:i w:val="0"/>
          <w:iCs w:val="0"/>
          <w:caps w:val="0"/>
          <w:color w:val="000000"/>
          <w:spacing w:val="0"/>
          <w:sz w:val="32"/>
          <w:szCs w:val="32"/>
          <w:shd w:val="clear" w:fill="FFFFFF"/>
        </w:rPr>
        <w:t>一般公共服务：主要反映行政单位（包括实行公务员管理的事业单位）的基本支出</w:t>
      </w:r>
      <w:r>
        <w:rPr>
          <w:rFonts w:hint="eastAsia" w:ascii="仿宋_GB2312" w:hAnsi="仿宋_GB2312" w:eastAsia="仿宋_GB2312" w:cs="仿宋_GB2312"/>
          <w:i w:val="0"/>
          <w:iCs w:val="0"/>
          <w:caps w:val="0"/>
          <w:color w:val="333333"/>
          <w:spacing w:val="0"/>
          <w:sz w:val="32"/>
          <w:szCs w:val="32"/>
          <w:shd w:val="clear" w:fill="FFFFFF"/>
        </w:rPr>
        <w:t>。</w:t>
      </w:r>
    </w:p>
    <w:p w14:paraId="5FD0F6D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10.社会保障和就业（类）行政事业单位离退休（款）机关事业单位基本养老保险费（项）: 指机关事业单位实施养老保险制度由单位缴纳的基本养老保险费支出。</w:t>
      </w:r>
    </w:p>
    <w:p w14:paraId="22E838E3">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11.医疗卫生与计划生育（类）行政事业单位医疗（款）行政单位医疗（项）:指财政部门集中安排的行政单位基本医疗保险缴费经费，未参加医疗保险的行政单位的公费医疗经费，按国家规定享受离休人员、红军老战士待遇的医疗经费。</w:t>
      </w:r>
    </w:p>
    <w:p w14:paraId="5DD767E3">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12.住房保障（类）住房改革（款）住房公积金（项）:指行政事业单位按人力资源和社会保障部、财政部规定的基本工资和津补贴以及规定比例为职工缴纳的住房公积金。</w:t>
      </w:r>
    </w:p>
    <w:p w14:paraId="330E4EA0">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i w:val="0"/>
          <w:iCs w:val="0"/>
          <w:caps w:val="0"/>
          <w:color w:val="333333"/>
          <w:spacing w:val="0"/>
          <w:sz w:val="21"/>
          <w:szCs w:val="21"/>
        </w:rPr>
      </w:pPr>
      <w:r>
        <w:rPr>
          <w:rFonts w:hint="eastAsia" w:ascii="仿宋_GB2312" w:hAnsi="仿宋_GB2312" w:eastAsia="仿宋_GB2312" w:cs="仿宋_GB2312"/>
          <w:i w:val="0"/>
          <w:iCs w:val="0"/>
          <w:caps w:val="0"/>
          <w:color w:val="333333"/>
          <w:spacing w:val="0"/>
          <w:sz w:val="32"/>
          <w:szCs w:val="32"/>
          <w:shd w:val="clear" w:fill="FFFFFF"/>
          <w:lang w:val="en-US" w:eastAsia="zh-CN"/>
        </w:rPr>
        <w:t>13</w:t>
      </w:r>
      <w:r>
        <w:rPr>
          <w:rFonts w:hint="eastAsia" w:ascii="仿宋_GB2312" w:hAnsi="仿宋_GB2312" w:eastAsia="仿宋_GB2312" w:cs="仿宋_GB2312"/>
          <w:i w:val="0"/>
          <w:iCs w:val="0"/>
          <w:caps w:val="0"/>
          <w:color w:val="333333"/>
          <w:spacing w:val="0"/>
          <w:sz w:val="32"/>
          <w:szCs w:val="32"/>
          <w:shd w:val="clear" w:fill="FFFFFF"/>
        </w:rPr>
        <w:t>.一般公共服务（类）民族事务（款）其他民族事务支出（项）: 指行政单位（包括实行公务员管理的事业单位）用于其他民政事务的支出。</w:t>
      </w:r>
    </w:p>
    <w:p w14:paraId="02A16D2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0833D4F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19C10DF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1D4FC255">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1ABD94">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39FDA89">
      <w:pPr>
        <w:pageBreakBefore w:val="0"/>
        <w:kinsoku/>
        <w:wordWrap/>
        <w:overflowPunct/>
        <w:topLinePunct w:val="0"/>
        <w:bidi w:val="0"/>
        <w:spacing w:line="576" w:lineRule="exact"/>
        <w:ind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（名词解释部分请根据各部门实际列支情况罗列，并根据本部门职责职能增减名词解释内容。）</w:t>
      </w:r>
    </w:p>
    <w:p w14:paraId="774B2AD7">
      <w:pPr>
        <w:spacing w:line="600" w:lineRule="exact"/>
        <w:jc w:val="center"/>
        <w:outlineLvl w:val="0"/>
        <w:rPr>
          <w:rStyle w:val="34"/>
          <w:rFonts w:ascii="黑体" w:hAnsi="黑体" w:eastAsia="黑体"/>
          <w:b w:val="0"/>
        </w:rPr>
      </w:pPr>
      <w:bookmarkStart w:id="105" w:name="_Toc15377226"/>
      <w:r>
        <w:rPr>
          <w:rFonts w:ascii="宋体"/>
          <w:b/>
          <w:color w:val="000000"/>
          <w:sz w:val="44"/>
          <w:szCs w:val="44"/>
        </w:rPr>
        <w:br w:type="page"/>
      </w:r>
      <w:bookmarkStart w:id="106" w:name="_Toc79163880"/>
      <w:bookmarkStart w:id="107" w:name="_Toc15396614"/>
      <w:bookmarkStart w:id="108" w:name="_Toc79163630"/>
      <w:r>
        <w:rPr>
          <w:rFonts w:hint="eastAsia" w:ascii="方正小标宋简体" w:hAnsi="方正小标宋简体" w:eastAsia="方正小标宋简体" w:cs="方正小标宋简体"/>
          <w:color w:val="000000"/>
          <w:sz w:val="44"/>
          <w:szCs w:val="44"/>
        </w:rPr>
        <w:t>第</w:t>
      </w:r>
      <w:r>
        <w:rPr>
          <w:rStyle w:val="34"/>
          <w:rFonts w:hint="eastAsia" w:ascii="方正小标宋简体" w:hAnsi="方正小标宋简体" w:eastAsia="方正小标宋简体" w:cs="方正小标宋简体"/>
          <w:b w:val="0"/>
        </w:rPr>
        <w:t>四部分 附件</w:t>
      </w:r>
      <w:bookmarkEnd w:id="106"/>
      <w:bookmarkEnd w:id="107"/>
      <w:bookmarkEnd w:id="108"/>
    </w:p>
    <w:p w14:paraId="21D686F6">
      <w:pPr>
        <w:spacing w:line="600" w:lineRule="exact"/>
        <w:jc w:val="left"/>
        <w:outlineLvl w:val="0"/>
        <w:rPr>
          <w:rFonts w:hint="eastAsia" w:ascii="方正小标宋简体" w:hAnsi="方正小标宋简体" w:eastAsia="方正小标宋简体" w:cs="方正小标宋简体"/>
          <w:sz w:val="32"/>
          <w:szCs w:val="32"/>
        </w:rPr>
      </w:pPr>
      <w:bookmarkStart w:id="109" w:name="_Toc79163881"/>
      <w:bookmarkStart w:id="110" w:name="_Toc79163631"/>
      <w:r>
        <w:rPr>
          <w:rFonts w:hint="eastAsia" w:ascii="方正小标宋简体" w:hAnsi="方正小标宋简体" w:eastAsia="方正小标宋简体" w:cs="方正小标宋简体"/>
          <w:sz w:val="32"/>
          <w:szCs w:val="32"/>
        </w:rPr>
        <w:t>附件1</w:t>
      </w:r>
      <w:bookmarkEnd w:id="109"/>
      <w:bookmarkEnd w:id="110"/>
    </w:p>
    <w:p w14:paraId="60B91AFD">
      <w:pPr>
        <w:spacing w:line="580" w:lineRule="exact"/>
        <w:jc w:val="center"/>
        <w:rPr>
          <w:rFonts w:ascii="方正小标宋简体" w:hAnsi="方正小标宋简体" w:eastAsia="方正小标宋简体" w:cs="方正小标宋简体"/>
          <w:sz w:val="44"/>
          <w:szCs w:val="44"/>
        </w:rPr>
      </w:pPr>
    </w:p>
    <w:p w14:paraId="546A5633">
      <w:pPr>
        <w:spacing w:line="600" w:lineRule="exact"/>
        <w:jc w:val="center"/>
        <w:outlineLvl w:val="0"/>
        <w:rPr>
          <w:rFonts w:ascii="方正小标宋简体" w:hAnsi="黑体" w:eastAsia="方正小标宋简体" w:cs="黑体"/>
          <w:sz w:val="44"/>
          <w:szCs w:val="44"/>
        </w:rPr>
      </w:pPr>
      <w:bookmarkStart w:id="111" w:name="_Toc79163632"/>
      <w:bookmarkStart w:id="112" w:name="_Toc79163882"/>
      <w:r>
        <w:rPr>
          <w:rFonts w:hint="eastAsia" w:ascii="方正小标宋简体" w:hAnsi="黑体" w:eastAsia="方正小标宋简体" w:cs="黑体"/>
          <w:sz w:val="44"/>
          <w:szCs w:val="44"/>
          <w:lang w:eastAsia="zh-CN"/>
        </w:rPr>
        <w:t>小金县妇女儿童工作中心</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年部门整体支出绩效评价报告</w:t>
      </w:r>
      <w:bookmarkEnd w:id="111"/>
      <w:bookmarkEnd w:id="112"/>
    </w:p>
    <w:p w14:paraId="24D63F00">
      <w:pPr>
        <w:widowControl/>
        <w:spacing w:line="580" w:lineRule="exact"/>
        <w:ind w:firstLine="640" w:firstLineChars="200"/>
        <w:contextualSpacing/>
        <w:jc w:val="center"/>
        <w:rPr>
          <w:rFonts w:hint="eastAsia" w:ascii="仿宋_GB2312" w:hAnsi="仿宋_GB2312" w:eastAsia="仿宋_GB2312" w:cs="仿宋_GB2312"/>
          <w:color w:val="000000"/>
          <w:kern w:val="0"/>
          <w:sz w:val="24"/>
          <w:szCs w:val="32"/>
          <w:shd w:val="clear" w:color="auto" w:fill="FFFFFF"/>
        </w:rPr>
      </w:pPr>
      <w:r>
        <w:rPr>
          <w:rFonts w:hint="eastAsia" w:ascii="仿宋_GB2312" w:hAnsi="仿宋_GB2312" w:eastAsia="仿宋_GB2312" w:cs="仿宋_GB2312"/>
          <w:sz w:val="32"/>
          <w:szCs w:val="32"/>
          <w:shd w:val="clear" w:color="auto" w:fill="FFFFFF"/>
        </w:rPr>
        <w:t>（报告范围包括机关和下属单位）</w:t>
      </w:r>
    </w:p>
    <w:p w14:paraId="2CC2C261">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部门（单位）概况</w:t>
      </w:r>
    </w:p>
    <w:p w14:paraId="27123265">
      <w:pPr>
        <w:numPr>
          <w:ilvl w:val="0"/>
          <w:numId w:val="5"/>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机构组成。</w:t>
      </w:r>
    </w:p>
    <w:p w14:paraId="08E7594E">
      <w:pPr>
        <w:jc w:val="left"/>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 xml:space="preserve">    </w:t>
      </w:r>
      <w:r>
        <w:rPr>
          <w:rFonts w:hint="eastAsia" w:ascii="仿宋_GB2312" w:hAnsi="仿宋_GB2312" w:eastAsia="仿宋_GB2312" w:cs="仿宋_GB2312"/>
          <w:sz w:val="32"/>
          <w:szCs w:val="32"/>
          <w:lang w:val="en-US" w:eastAsia="zh-CN"/>
        </w:rPr>
        <w:t>小金县妇女儿童工作中心属小金县妇女联合会二级单位属事业单位，事业编制3名。</w:t>
      </w:r>
    </w:p>
    <w:p w14:paraId="594F30F4">
      <w:pPr>
        <w:numPr>
          <w:ilvl w:val="0"/>
          <w:numId w:val="5"/>
        </w:numPr>
        <w:jc w:val="left"/>
        <w:rPr>
          <w:rFonts w:hint="eastAsia" w:ascii="仿宋_GB2312" w:hAnsi="仿宋_GB2312" w:eastAsia="仿宋_GB2312" w:cs="仿宋_GB2312"/>
          <w:color w:val="444444"/>
          <w:sz w:val="30"/>
          <w:szCs w:val="30"/>
          <w:shd w:val="clear" w:color="auto" w:fill="FDFDFD"/>
        </w:rPr>
      </w:pPr>
      <w:r>
        <w:rPr>
          <w:rFonts w:hint="eastAsia" w:ascii="仿宋_GB2312" w:hAnsi="仿宋_GB2312" w:eastAsia="仿宋_GB2312" w:cs="仿宋_GB2312"/>
          <w:color w:val="333333"/>
          <w:sz w:val="30"/>
          <w:szCs w:val="30"/>
        </w:rPr>
        <w:t>机构职能。</w:t>
      </w:r>
    </w:p>
    <w:p w14:paraId="6E588F38">
      <w:pPr>
        <w:ind w:firstLine="64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sz w:val="32"/>
          <w:szCs w:val="32"/>
          <w:lang w:val="en-US" w:eastAsia="zh-CN"/>
        </w:rPr>
        <w:t>小金县妇女儿童工作中心属小金县妇女联合会二级单位属事业单位</w:t>
      </w:r>
      <w:r>
        <w:rPr>
          <w:rFonts w:hint="eastAsia" w:ascii="仿宋_GB2312" w:hAnsi="仿宋_GB2312" w:eastAsia="仿宋_GB2312" w:cs="仿宋_GB2312"/>
          <w:color w:val="000000"/>
          <w:sz w:val="30"/>
          <w:szCs w:val="30"/>
        </w:rPr>
        <w:t>，主要职能职责是:</w:t>
      </w:r>
    </w:p>
    <w:p w14:paraId="1FF1624A">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sz w:val="30"/>
          <w:szCs w:val="30"/>
        </w:rPr>
        <w:t>一、</w:t>
      </w:r>
      <w:r>
        <w:rPr>
          <w:rFonts w:hint="eastAsia" w:ascii="仿宋_GB2312" w:hAnsi="仿宋_GB2312" w:eastAsia="仿宋_GB2312" w:cs="仿宋_GB2312"/>
          <w:color w:val="000000"/>
          <w:kern w:val="0"/>
          <w:sz w:val="30"/>
          <w:szCs w:val="30"/>
        </w:rPr>
        <w:t>团结、动员妇女投身改革开放和社会主义现代化建设，促进经济发展和社会全面进步；</w:t>
      </w:r>
    </w:p>
    <w:p w14:paraId="52B1745A">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二、教育、引导广大妇女发扬自尊、自信、自立、自强的精神，提高综合素质，促进全面发展；</w:t>
      </w:r>
    </w:p>
    <w:p w14:paraId="6F713694">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三、代表妇女参与国家和社会事务的民主决策、民主管理、民主监督，参与有关妇女儿童法律、法规、规章和政策的制定，推动全县妇女、儿童发展纲要的实施，维护妇女儿童合法权益，指导基层妇女工作；</w:t>
      </w:r>
    </w:p>
    <w:p w14:paraId="137B2EAF">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四、为妇女、儿童服务，加强与社会各界的联系，协调和推动社会各界为妇女儿童办实事；</w:t>
      </w:r>
    </w:p>
    <w:p w14:paraId="66445566">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五、配合组织部门，加强对妇女干部的培养、推荐力度，促进妇女干部成长；</w:t>
      </w:r>
    </w:p>
    <w:p w14:paraId="28B460C3">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六、巩固和扩大各族各界妇女的大团结，加强妇女组织的联谊，增进了解、友谊和合作；</w:t>
      </w:r>
    </w:p>
    <w:p w14:paraId="055BDF67">
      <w:pPr>
        <w:ind w:firstLine="600" w:firstLineChars="200"/>
        <w:rPr>
          <w:rFonts w:hint="eastAsia" w:ascii="仿宋_GB2312" w:hAnsi="仿宋_GB2312" w:eastAsia="仿宋_GB2312" w:cs="仿宋_GB2312"/>
          <w:spacing w:val="-20"/>
          <w:kern w:val="0"/>
          <w:sz w:val="30"/>
          <w:szCs w:val="30"/>
        </w:rPr>
      </w:pPr>
      <w:r>
        <w:rPr>
          <w:rFonts w:hint="eastAsia" w:ascii="仿宋_GB2312" w:hAnsi="仿宋_GB2312" w:eastAsia="仿宋_GB2312" w:cs="仿宋_GB2312"/>
          <w:color w:val="000000"/>
          <w:kern w:val="0"/>
          <w:sz w:val="30"/>
          <w:szCs w:val="30"/>
        </w:rPr>
        <w:t>七是</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完成县委县政府授权承办的其他工作。</w:t>
      </w:r>
    </w:p>
    <w:p w14:paraId="43F0B359">
      <w:pPr>
        <w:pStyle w:val="33"/>
        <w:numPr>
          <w:ilvl w:val="0"/>
          <w:numId w:val="6"/>
        </w:numPr>
        <w:ind w:firstLineChars="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人员概况</w:t>
      </w:r>
    </w:p>
    <w:p w14:paraId="1EFA429E">
      <w:pPr>
        <w:spacing w:line="240" w:lineRule="atLeast"/>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333333"/>
          <w:sz w:val="30"/>
          <w:szCs w:val="30"/>
          <w:lang w:val="en-US" w:eastAsia="zh-CN"/>
        </w:rPr>
        <w:t>小金县妇女儿童工作中心属小金县妇女联合会二级单位属事业单位</w:t>
      </w:r>
      <w:r>
        <w:rPr>
          <w:rFonts w:hint="eastAsia" w:ascii="仿宋_GB2312" w:hAnsi="仿宋_GB2312" w:eastAsia="仿宋_GB2312" w:cs="仿宋_GB2312"/>
          <w:color w:val="333333"/>
          <w:sz w:val="30"/>
          <w:szCs w:val="30"/>
        </w:rPr>
        <w:t>。事业编制3人，</w:t>
      </w:r>
      <w:r>
        <w:rPr>
          <w:rFonts w:hint="eastAsia" w:ascii="仿宋_GB2312" w:hAnsi="仿宋_GB2312" w:eastAsia="仿宋_GB2312" w:cs="仿宋_GB2312"/>
          <w:color w:val="000000"/>
          <w:sz w:val="30"/>
          <w:szCs w:val="30"/>
          <w:lang w:val="zh-CN"/>
        </w:rPr>
        <w:t>截止20</w:t>
      </w:r>
      <w:r>
        <w:rPr>
          <w:rFonts w:hint="eastAsia" w:ascii="仿宋_GB2312" w:hAnsi="仿宋_GB2312" w:eastAsia="仿宋_GB2312" w:cs="仿宋_GB2312"/>
          <w:color w:val="000000"/>
          <w:sz w:val="30"/>
          <w:szCs w:val="30"/>
          <w:lang w:val="en-US" w:eastAsia="zh-CN"/>
        </w:rPr>
        <w:t>24</w:t>
      </w:r>
      <w:r>
        <w:rPr>
          <w:rFonts w:hint="eastAsia" w:ascii="仿宋_GB2312" w:hAnsi="仿宋_GB2312" w:eastAsia="仿宋_GB2312" w:cs="仿宋_GB2312"/>
          <w:color w:val="000000"/>
          <w:sz w:val="30"/>
          <w:szCs w:val="30"/>
          <w:lang w:val="zh-CN"/>
        </w:rPr>
        <w:t>年</w:t>
      </w:r>
      <w:r>
        <w:rPr>
          <w:rFonts w:hint="eastAsia" w:ascii="仿宋_GB2312" w:hAnsi="仿宋_GB2312" w:eastAsia="仿宋_GB2312" w:cs="仿宋_GB2312"/>
          <w:color w:val="000000"/>
          <w:sz w:val="30"/>
          <w:szCs w:val="30"/>
          <w:lang w:val="en-US" w:eastAsia="zh-CN"/>
        </w:rPr>
        <w:t>12</w:t>
      </w:r>
      <w:r>
        <w:rPr>
          <w:rFonts w:hint="eastAsia" w:ascii="仿宋_GB2312" w:hAnsi="仿宋_GB2312" w:eastAsia="仿宋_GB2312" w:cs="仿宋_GB2312"/>
          <w:color w:val="000000"/>
          <w:sz w:val="30"/>
          <w:szCs w:val="30"/>
          <w:lang w:val="zh-CN"/>
        </w:rPr>
        <w:t>月在职职工人数</w:t>
      </w:r>
      <w:r>
        <w:rPr>
          <w:rFonts w:hint="eastAsia" w:ascii="仿宋_GB2312" w:hAnsi="仿宋_GB2312" w:eastAsia="仿宋_GB2312" w:cs="仿宋_GB2312"/>
          <w:color w:val="000000"/>
          <w:sz w:val="30"/>
          <w:szCs w:val="30"/>
          <w:lang w:val="en-US" w:eastAsia="zh-CN"/>
        </w:rPr>
        <w:t>3</w:t>
      </w:r>
      <w:r>
        <w:rPr>
          <w:rFonts w:hint="eastAsia" w:ascii="仿宋_GB2312" w:hAnsi="仿宋_GB2312" w:eastAsia="仿宋_GB2312" w:cs="仿宋_GB2312"/>
          <w:color w:val="000000"/>
          <w:sz w:val="30"/>
          <w:szCs w:val="30"/>
          <w:lang w:val="zh-CN"/>
        </w:rPr>
        <w:t>人</w:t>
      </w:r>
      <w:r>
        <w:rPr>
          <w:rFonts w:hint="eastAsia" w:ascii="仿宋_GB2312" w:hAnsi="仿宋_GB2312" w:eastAsia="仿宋_GB2312" w:cs="仿宋_GB2312"/>
          <w:color w:val="333333"/>
          <w:sz w:val="30"/>
          <w:szCs w:val="30"/>
        </w:rPr>
        <w:t>，其中事业人员</w:t>
      </w:r>
      <w:r>
        <w:rPr>
          <w:rFonts w:hint="eastAsia" w:ascii="仿宋_GB2312" w:hAnsi="仿宋_GB2312" w:eastAsia="仿宋_GB2312" w:cs="仿宋_GB2312"/>
          <w:color w:val="333333"/>
          <w:sz w:val="30"/>
          <w:szCs w:val="30"/>
          <w:lang w:val="en-US" w:eastAsia="zh-CN"/>
        </w:rPr>
        <w:t>3</w:t>
      </w:r>
      <w:r>
        <w:rPr>
          <w:rFonts w:hint="eastAsia" w:ascii="仿宋_GB2312" w:hAnsi="仿宋_GB2312" w:eastAsia="仿宋_GB2312" w:cs="仿宋_GB2312"/>
          <w:color w:val="333333"/>
          <w:sz w:val="30"/>
          <w:szCs w:val="30"/>
        </w:rPr>
        <w:t>人</w:t>
      </w:r>
      <w:r>
        <w:rPr>
          <w:rFonts w:hint="eastAsia" w:ascii="仿宋_GB2312" w:hAnsi="仿宋_GB2312" w:eastAsia="仿宋_GB2312" w:cs="仿宋_GB2312"/>
          <w:color w:val="000000"/>
          <w:sz w:val="30"/>
          <w:szCs w:val="30"/>
        </w:rPr>
        <w:t>。</w:t>
      </w:r>
    </w:p>
    <w:p w14:paraId="1AA53AC4">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部门财政资金收支情况</w:t>
      </w:r>
    </w:p>
    <w:p w14:paraId="02879850">
      <w:pPr>
        <w:numPr>
          <w:ilvl w:val="0"/>
          <w:numId w:val="7"/>
        </w:numPr>
        <w:jc w:val="left"/>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部门财政资金收入情况。</w:t>
      </w:r>
    </w:p>
    <w:p w14:paraId="75F1EAD9">
      <w:pPr>
        <w:widowControl/>
        <w:adjustRightInd w:val="0"/>
        <w:ind w:firstLine="450" w:firstLineChars="15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20</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25</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年小金县妇女联合会财政资金预算收入总额为</w:t>
      </w:r>
      <w:r>
        <w:rPr>
          <w:rFonts w:hint="eastAsia" w:ascii="仿宋_GB2312" w:hAnsi="仿宋_GB2312" w:eastAsia="仿宋_GB2312" w:cs="仿宋_GB2312"/>
          <w:b w:val="0"/>
          <w:bCs/>
          <w:sz w:val="32"/>
          <w:szCs w:val="32"/>
          <w:lang w:val="en-US" w:eastAsia="zh-CN"/>
        </w:rPr>
        <w:t>59.38</w:t>
      </w:r>
      <w:r>
        <w:rPr>
          <w:rFonts w:hint="eastAsia" w:ascii="仿宋_GB2312" w:hAnsi="仿宋_GB2312" w:eastAsia="仿宋_GB2312" w:cs="仿宋_GB2312"/>
          <w:color w:val="000000"/>
          <w:kern w:val="0"/>
          <w:sz w:val="30"/>
          <w:szCs w:val="30"/>
          <w:shd w:val="clear" w:color="auto" w:fill="FFFFFF"/>
        </w:rPr>
        <w:t>万元，其他收入0万元，</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上年结转收入</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万元</w:t>
      </w:r>
      <w:r>
        <w:rPr>
          <w:rFonts w:hint="eastAsia" w:ascii="仿宋_GB2312" w:hAnsi="仿宋_GB2312" w:eastAsia="仿宋_GB2312" w:cs="仿宋_GB2312"/>
          <w:color w:val="000000"/>
          <w:kern w:val="0"/>
          <w:sz w:val="30"/>
          <w:szCs w:val="30"/>
          <w:shd w:val="clear" w:color="auto" w:fill="FFFFFF"/>
        </w:rPr>
        <w:t>。其中：当年财政拨款收入</w:t>
      </w:r>
      <w:r>
        <w:rPr>
          <w:rFonts w:hint="eastAsia" w:ascii="仿宋_GB2312" w:hAnsi="仿宋_GB2312" w:eastAsia="仿宋_GB2312" w:cs="仿宋_GB2312"/>
          <w:color w:val="000000"/>
          <w:kern w:val="0"/>
          <w:sz w:val="30"/>
          <w:szCs w:val="30"/>
          <w:shd w:val="clear" w:color="auto" w:fill="FFFFFF"/>
          <w:lang w:val="en-US" w:eastAsia="zh-CN"/>
        </w:rPr>
        <w:t>59.38</w:t>
      </w:r>
      <w:r>
        <w:rPr>
          <w:rFonts w:hint="eastAsia" w:ascii="仿宋_GB2312" w:hAnsi="仿宋_GB2312" w:eastAsia="仿宋_GB2312" w:cs="仿宋_GB2312"/>
          <w:color w:val="000000"/>
          <w:kern w:val="0"/>
          <w:sz w:val="30"/>
          <w:szCs w:val="30"/>
          <w:shd w:val="clear" w:color="auto" w:fill="FFFFFF"/>
        </w:rPr>
        <w:t>万元。其中：</w:t>
      </w: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42.41</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color w:val="333333"/>
          <w:sz w:val="30"/>
          <w:szCs w:val="30"/>
        </w:rPr>
        <w:t>社会保障和就业</w:t>
      </w:r>
      <w:r>
        <w:rPr>
          <w:rFonts w:hint="eastAsia" w:ascii="仿宋_GB2312" w:hAnsi="仿宋_GB2312" w:eastAsia="仿宋_GB2312" w:cs="仿宋_GB2312"/>
          <w:sz w:val="32"/>
          <w:szCs w:val="32"/>
          <w:lang w:val="en-US" w:eastAsia="zh-CN"/>
        </w:rPr>
        <w:t>8.72</w:t>
      </w:r>
      <w:r>
        <w:rPr>
          <w:rFonts w:hint="eastAsia" w:ascii="仿宋_GB2312" w:hAnsi="仿宋_GB2312" w:eastAsia="仿宋_GB2312" w:cs="仿宋_GB2312"/>
          <w:color w:val="333333"/>
          <w:sz w:val="30"/>
          <w:szCs w:val="30"/>
        </w:rPr>
        <w:t>万元；</w:t>
      </w:r>
      <w:r>
        <w:rPr>
          <w:rFonts w:hint="eastAsia" w:ascii="仿宋_GB2312" w:hAnsi="仿宋_GB2312" w:eastAsia="仿宋_GB2312" w:cs="仿宋_GB2312"/>
          <w:color w:val="000000"/>
          <w:sz w:val="30"/>
          <w:szCs w:val="30"/>
        </w:rPr>
        <w:t>医疗卫生</w:t>
      </w:r>
      <w:r>
        <w:rPr>
          <w:rFonts w:hint="eastAsia" w:ascii="仿宋_GB2312" w:hAnsi="仿宋_GB2312" w:eastAsia="仿宋_GB2312" w:cs="仿宋_GB2312"/>
          <w:color w:val="000000"/>
          <w:sz w:val="30"/>
          <w:szCs w:val="30"/>
          <w:lang w:val="en-US" w:eastAsia="zh-CN"/>
        </w:rPr>
        <w:t>3.33</w:t>
      </w:r>
      <w:r>
        <w:rPr>
          <w:rFonts w:hint="eastAsia" w:ascii="仿宋_GB2312" w:hAnsi="仿宋_GB2312" w:eastAsia="仿宋_GB2312" w:cs="仿宋_GB2312"/>
          <w:color w:val="000000"/>
          <w:sz w:val="30"/>
          <w:szCs w:val="30"/>
        </w:rPr>
        <w:t>万元；住房保障</w:t>
      </w:r>
      <w:r>
        <w:rPr>
          <w:rFonts w:hint="eastAsia" w:ascii="仿宋_GB2312" w:hAnsi="仿宋_GB2312" w:eastAsia="仿宋_GB2312" w:cs="仿宋_GB2312"/>
          <w:sz w:val="32"/>
          <w:szCs w:val="32"/>
          <w:lang w:val="en-US" w:eastAsia="zh-CN"/>
        </w:rPr>
        <w:t>4.92万</w:t>
      </w:r>
      <w:r>
        <w:rPr>
          <w:rFonts w:hint="eastAsia" w:ascii="仿宋_GB2312" w:hAnsi="仿宋_GB2312" w:eastAsia="仿宋_GB2312" w:cs="仿宋_GB2312"/>
          <w:color w:val="000000"/>
          <w:sz w:val="30"/>
          <w:szCs w:val="30"/>
        </w:rPr>
        <w:t>元</w:t>
      </w:r>
      <w:r>
        <w:rPr>
          <w:rFonts w:hint="eastAsia" w:ascii="仿宋_GB2312" w:hAnsi="仿宋_GB2312" w:eastAsia="仿宋_GB2312" w:cs="仿宋_GB2312"/>
          <w:sz w:val="30"/>
          <w:szCs w:val="30"/>
        </w:rPr>
        <w:t>。</w:t>
      </w:r>
    </w:p>
    <w:p w14:paraId="08B791B0">
      <w:pPr>
        <w:numPr>
          <w:ilvl w:val="0"/>
          <w:numId w:val="7"/>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部门财政资金支出情况。</w:t>
      </w:r>
    </w:p>
    <w:p w14:paraId="74808421">
      <w:pPr>
        <w:ind w:firstLine="705"/>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小金县妇女</w:t>
      </w:r>
      <w:r>
        <w:rPr>
          <w:rFonts w:hint="eastAsia" w:ascii="仿宋_GB2312" w:hAnsi="仿宋_GB2312" w:eastAsia="仿宋_GB2312" w:cs="仿宋_GB2312"/>
          <w:sz w:val="30"/>
          <w:szCs w:val="30"/>
          <w:lang w:eastAsia="zh-CN"/>
        </w:rPr>
        <w:t>儿童工作中心</w:t>
      </w:r>
      <w:r>
        <w:rPr>
          <w:rFonts w:hint="eastAsia" w:ascii="仿宋_GB2312" w:hAnsi="仿宋_GB2312" w:eastAsia="仿宋_GB2312" w:cs="仿宋_GB2312"/>
          <w:sz w:val="30"/>
          <w:szCs w:val="30"/>
        </w:rPr>
        <w:t xml:space="preserve">部门预算安排支出主要用于保障该部门机构正常运转、完成日常工作任务以及目标任务相关工作。 </w:t>
      </w:r>
    </w:p>
    <w:p w14:paraId="246F595C">
      <w:pPr>
        <w:ind w:firstLine="705"/>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基本支出，是用于保障小金县妇女联合会机关正常运转的日常支出，包括基本工资、津贴补贴等人员经费以及办公费、印刷费、水电费等日常公用经费。</w:t>
      </w:r>
    </w:p>
    <w:p w14:paraId="3498ADF4">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年小金县妇女联合会财政支出总额为：</w:t>
      </w:r>
      <w:r>
        <w:rPr>
          <w:rFonts w:hint="eastAsia" w:ascii="仿宋_GB2312" w:hAnsi="仿宋_GB2312" w:eastAsia="仿宋_GB2312" w:cs="仿宋_GB2312"/>
          <w:sz w:val="30"/>
          <w:szCs w:val="30"/>
          <w:lang w:val="en-US" w:eastAsia="zh-CN"/>
        </w:rPr>
        <w:t>59.38</w:t>
      </w:r>
      <w:r>
        <w:rPr>
          <w:rFonts w:hint="eastAsia" w:ascii="仿宋_GB2312" w:hAnsi="仿宋_GB2312" w:eastAsia="仿宋_GB2312" w:cs="仿宋_GB2312"/>
          <w:sz w:val="30"/>
          <w:szCs w:val="30"/>
        </w:rPr>
        <w:t>万元。</w:t>
      </w:r>
    </w:p>
    <w:p w14:paraId="12FC66B9">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42.41</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主要用于：人员工资、日常运转以及为完成财政特定行政工作任务和事业发展目标而安排的年度项目支出，主要包括工资福利、商品和服务等方面支出。</w:t>
      </w:r>
    </w:p>
    <w:p w14:paraId="3ADC7C34">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社会保障和就业</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8.72</w:t>
      </w:r>
      <w:r>
        <w:rPr>
          <w:rFonts w:hint="eastAsia" w:ascii="仿宋_GB2312" w:hAnsi="仿宋_GB2312" w:eastAsia="仿宋_GB2312" w:cs="仿宋_GB2312"/>
          <w:sz w:val="30"/>
          <w:szCs w:val="30"/>
        </w:rPr>
        <w:t>万元主要用于：职工养老保险及职业年金等方面的支出。</w:t>
      </w:r>
    </w:p>
    <w:p w14:paraId="57795040">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医疗卫生支出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3.33</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主要用于：按照规定标准为职工缴纳的基本医疗保险及公务员医疗补助和县级配套城镇居民基本医疗保险的支出。</w:t>
      </w:r>
    </w:p>
    <w:p w14:paraId="5379A042">
      <w:pPr>
        <w:widowControl/>
        <w:adjustRightInd w:val="0"/>
        <w:ind w:firstLine="600" w:firstLineChars="200"/>
        <w:jc w:val="left"/>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pPr>
      <w:r>
        <w:rPr>
          <w:rFonts w:hint="eastAsia" w:ascii="仿宋_GB2312" w:hAnsi="仿宋_GB2312" w:eastAsia="仿宋_GB2312" w:cs="仿宋_GB2312"/>
          <w:color w:val="000000"/>
          <w:kern w:val="0"/>
          <w:sz w:val="30"/>
          <w:szCs w:val="30"/>
          <w:shd w:val="clear" w:color="auto" w:fill="FFFFFF"/>
        </w:rPr>
        <w:t>住房保障支出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4.92</w:t>
      </w:r>
      <w:r>
        <w:rPr>
          <w:rFonts w:hint="eastAsia" w:ascii="仿宋_GB2312" w:hAnsi="仿宋_GB2312" w:eastAsia="仿宋_GB2312" w:cs="仿宋_GB2312"/>
          <w:color w:val="000000"/>
          <w:kern w:val="0"/>
          <w:sz w:val="30"/>
          <w:szCs w:val="30"/>
          <w:shd w:val="clear" w:color="auto" w:fill="FFFFFF"/>
        </w:rPr>
        <w:t>主要用于：按照规定标准为职工缴纳住房公积金等支出。</w:t>
      </w:r>
    </w:p>
    <w:p w14:paraId="6EE1E149">
      <w:pPr>
        <w:jc w:val="left"/>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 xml:space="preserve">三、部门财政支出管理情况 </w:t>
      </w:r>
    </w:p>
    <w:p w14:paraId="5C0158D2">
      <w:pPr>
        <w:pageBreakBefore w:val="0"/>
        <w:kinsoku/>
        <w:wordWrap/>
        <w:overflowPunct/>
        <w:topLinePunct w:val="0"/>
        <w:bidi w:val="0"/>
        <w:spacing w:line="576" w:lineRule="exact"/>
        <w:ind w:firstLine="643" w:firstLineChars="200"/>
        <w:rPr>
          <w:rFonts w:hint="eastAsia" w:ascii="仿宋_GB2312" w:hAnsi="仿宋_GB2312" w:eastAsia="仿宋_GB2312" w:cs="仿宋_GB2312"/>
          <w:b/>
          <w:bCs w:val="0"/>
          <w:color w:val="000000"/>
          <w:sz w:val="32"/>
          <w:szCs w:val="32"/>
          <w:lang w:val="zh-CN"/>
        </w:rPr>
      </w:pPr>
      <w:r>
        <w:rPr>
          <w:rFonts w:hint="eastAsia" w:ascii="仿宋_GB2312" w:hAnsi="仿宋_GB2312" w:eastAsia="仿宋_GB2312" w:cs="仿宋_GB2312"/>
          <w:b/>
          <w:bCs w:val="0"/>
          <w:sz w:val="32"/>
          <w:szCs w:val="32"/>
          <w:lang w:val="zh-CN"/>
        </w:rPr>
        <w:t>（一）部门预算管理</w:t>
      </w:r>
      <w:r>
        <w:rPr>
          <w:rFonts w:hint="eastAsia" w:ascii="仿宋_GB2312" w:hAnsi="仿宋_GB2312" w:eastAsia="仿宋_GB2312" w:cs="仿宋_GB2312"/>
          <w:b/>
          <w:bCs w:val="0"/>
          <w:color w:val="000000"/>
          <w:sz w:val="32"/>
          <w:szCs w:val="32"/>
          <w:lang w:val="zh-CN"/>
        </w:rPr>
        <w:t>。</w:t>
      </w:r>
    </w:p>
    <w:p w14:paraId="5120391A">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sz w:val="32"/>
          <w:szCs w:val="32"/>
        </w:rPr>
        <w:t>我</w:t>
      </w:r>
      <w:r>
        <w:rPr>
          <w:rFonts w:hint="eastAsia" w:ascii="仿宋_GB2312" w:hAnsi="仿宋_GB2312" w:eastAsia="仿宋_GB2312" w:cs="仿宋_GB2312"/>
          <w:color w:val="000000"/>
          <w:kern w:val="0"/>
          <w:sz w:val="32"/>
          <w:szCs w:val="32"/>
          <w:shd w:val="clear" w:color="auto" w:fill="FFFFFF"/>
          <w:lang w:val="en-US" w:eastAsia="zh-CN" w:bidi="ar-SA"/>
        </w:rPr>
        <w:t>单位按照监控方式，监控内容，监控流程和监控结果四步骤进行。方法依照对预算资金的绩效目标实现程度、项目实施进度、资金支出进度等情况进行阶段性跟踪管理和监督检查等，并及时纠正偏离绩效目标情况的管理活动，完成全过程预算绩效。</w:t>
      </w:r>
    </w:p>
    <w:p w14:paraId="5F802758">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（二）结果应用情况。</w:t>
      </w:r>
    </w:p>
    <w:p w14:paraId="3DADD6E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kern w:val="0"/>
          <w:sz w:val="32"/>
          <w:szCs w:val="32"/>
          <w:shd w:val="clear" w:color="auto" w:fill="FFFFFF"/>
          <w:lang w:val="zh-CN" w:eastAsia="zh-CN" w:bidi="ar-SA"/>
        </w:rPr>
        <w:t>按照“统筹使用、分级负担、专款专用、绩效考核”的原则。同小金县财政局协同对项目资金进行预算、筹集、分配、拨付及管理。在项目资金申报过程中，资金需要经过经办人、财务会计、单位负责人、财政局股室负责人、财政局分管领导签字审批后支付。通过严格遵守上级部分对项目资金的规章意见、严格履行申报程序、精准分配项目资金、落实项目内控制度等措施。</w:t>
      </w:r>
    </w:p>
    <w:p w14:paraId="4B610360">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（三）综合管理情况</w:t>
      </w:r>
    </w:p>
    <w:p w14:paraId="65CB9BC7">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政策采购实施计划</w:t>
      </w:r>
    </w:p>
    <w:p w14:paraId="3629BF4E">
      <w:pPr>
        <w:ind w:firstLine="64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我单位严格按照政府采购制度5000元以上的报采购办，由政府统一采购。20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年度本单位无政府采购计划。</w:t>
      </w:r>
    </w:p>
    <w:p w14:paraId="49D7266A">
      <w:pPr>
        <w:ind w:firstLine="645"/>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资产管理</w:t>
      </w:r>
    </w:p>
    <w:p w14:paraId="644B8EC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我单位严格按照《行政事业单位国有资产管办法》管理我单位资产。截止20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rPr>
        <w:t>月3</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日，人员编制共</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名，年末实有人员</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人。本单位20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年总资产</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元其中1.固定资产</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元，资产决算数和实际数据一致。</w:t>
      </w:r>
    </w:p>
    <w:p w14:paraId="0A8B787F">
      <w:pPr>
        <w:ind w:firstLine="645"/>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内控制度管理</w:t>
      </w:r>
    </w:p>
    <w:p w14:paraId="2D355D9E">
      <w:pPr>
        <w:autoSpaceDE w:val="0"/>
        <w:autoSpaceDN w:val="0"/>
        <w:ind w:firstLine="600" w:firstLineChars="200"/>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单位内部控制管理制度认真贯彻落实了《财政部关于全面推进行政事业单位内部控制建设的指导意见》（财会〔2015〕24号）的有关精神，依据《行政事业单位内部控制规范（试行）》（财会〔2012〕21号）和《行政事业单位内部控制报告管理制度（试行）》（财会〔2017〕1号）的有关规定执行。</w:t>
      </w:r>
    </w:p>
    <w:p w14:paraId="315B5A7C">
      <w:pPr>
        <w:autoSpaceDE w:val="0"/>
        <w:autoSpaceDN w:val="0"/>
        <w:ind w:firstLine="750" w:firstLineChars="250"/>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信息公开及接受财政监督情况</w:t>
      </w:r>
    </w:p>
    <w:p w14:paraId="6075A710">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单位认真按照要求对本单位预、决算及绩效信息进行按时公开。为了加强会计核算与监督，严格财务审批制度，建立了财务管理制度、预算管理体制，并结合预决算公开和“三公”经费公开的要求，进一步强化预算约束，规范财务管理，严控“三公”经费开支，降低行政运行成本。高度重视并积极配合做好各项审计检查和“小金库”专项治理，使局财务管理进一步规范。严格按照《会计法》及有关财务管理的法律法规，规范会计工作和财务行为。</w:t>
      </w:r>
    </w:p>
    <w:p w14:paraId="58F28AB5">
      <w:pPr>
        <w:pStyle w:val="33"/>
        <w:numPr>
          <w:ilvl w:val="0"/>
          <w:numId w:val="8"/>
        </w:numPr>
        <w:ind w:firstLineChars="0"/>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整体绩效。</w:t>
      </w:r>
      <w:r>
        <w:rPr>
          <w:rFonts w:hint="eastAsia" w:ascii="仿宋_GB2312" w:hAnsi="仿宋_GB2312" w:eastAsia="仿宋_GB2312" w:cs="仿宋_GB2312"/>
          <w:sz w:val="30"/>
          <w:szCs w:val="30"/>
        </w:rPr>
        <w:t xml:space="preserve"> </w:t>
      </w:r>
    </w:p>
    <w:p w14:paraId="04CDC280">
      <w:pPr>
        <w:ind w:firstLine="750" w:firstLineChars="2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1.部门支出绩效。</w:t>
      </w:r>
    </w:p>
    <w:p w14:paraId="5AD7232E">
      <w:pPr>
        <w:ind w:firstLine="750" w:firstLineChars="2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行政运转保障。</w:t>
      </w:r>
    </w:p>
    <w:p w14:paraId="043C185F">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我会预算安排的基本支出保障了我会正常的工作运转，体现了县委县政府对我单位的关心和重视，我会在执行上是严格遵守各项财经纪律的，在资金的使用上也是非常谨慎小心的。</w:t>
      </w:r>
    </w:p>
    <w:p w14:paraId="580276ED">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（2）机关厉行节约。</w:t>
      </w:r>
    </w:p>
    <w:p w14:paraId="4A7DD8BF">
      <w:pPr>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按严格执行厉行节约的要求</w:t>
      </w:r>
      <w:r>
        <w:rPr>
          <w:rFonts w:hint="eastAsia" w:ascii="仿宋_GB2312" w:hAnsi="仿宋_GB2312" w:eastAsia="仿宋_GB2312" w:cs="仿宋_GB2312"/>
          <w:sz w:val="30"/>
          <w:szCs w:val="30"/>
          <w:lang w:val="zh-CN"/>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lang w:val="zh-CN"/>
        </w:rPr>
        <w:t>年预算未安排因公出国(境)费用和公务用车购置费；公务用车运行维护费支出：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万元，主要保障单位完成日常工作任务以及目标任务相关工作；</w:t>
      </w:r>
      <w:r>
        <w:rPr>
          <w:rFonts w:hint="eastAsia" w:ascii="仿宋_GB2312" w:hAnsi="仿宋_GB2312" w:eastAsia="仿宋_GB2312" w:cs="仿宋_GB2312"/>
          <w:sz w:val="30"/>
          <w:szCs w:val="30"/>
          <w:lang w:val="zh-CN"/>
        </w:rPr>
        <w:t>公务接待费支出：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lang w:val="zh-CN"/>
        </w:rPr>
        <w:t>万元。</w:t>
      </w:r>
    </w:p>
    <w:p w14:paraId="10A547E0">
      <w:pPr>
        <w:widowControl/>
        <w:spacing w:line="480" w:lineRule="atLeast"/>
        <w:ind w:firstLine="72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（3）绩效管理工作开展情况。</w:t>
      </w:r>
    </w:p>
    <w:p w14:paraId="3749604E">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我单位财政供养人员控制在预算编制以内，“三公”经费、支出总额控制在预算总额以内，除财政政策性工资绩效预算的追加外，本年部门预算未进行预算相关事项的调整；“三公”经费总体控制较好，未超本年预算和上年决算支出；预算管理方面，制度执行总体较为有效，仍需进一步强化。</w:t>
      </w:r>
    </w:p>
    <w:p w14:paraId="177C48D2">
      <w:pP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四、评价结论及建议。</w:t>
      </w:r>
    </w:p>
    <w:p w14:paraId="4F96BEBD">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（一）评价结论。</w:t>
      </w:r>
    </w:p>
    <w:p w14:paraId="34EC724F">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根据部门支出绩效评价指标体系，本会20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年度评价得分为</w:t>
      </w:r>
      <w:r>
        <w:rPr>
          <w:rFonts w:hint="eastAsia" w:ascii="仿宋_GB2312" w:hAnsi="仿宋_GB2312" w:eastAsia="仿宋_GB2312" w:cs="仿宋_GB2312"/>
          <w:sz w:val="30"/>
          <w:szCs w:val="30"/>
          <w:lang w:val="en-US" w:eastAsia="zh-CN"/>
        </w:rPr>
        <w:t>86</w:t>
      </w:r>
      <w:r>
        <w:rPr>
          <w:rFonts w:hint="eastAsia" w:ascii="仿宋_GB2312" w:hAnsi="仿宋_GB2312" w:eastAsia="仿宋_GB2312" w:cs="仿宋_GB2312"/>
          <w:sz w:val="30"/>
          <w:szCs w:val="30"/>
        </w:rPr>
        <w:t>分。</w:t>
      </w:r>
    </w:p>
    <w:p w14:paraId="30CD32AD">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（二）存在问题。</w:t>
      </w:r>
    </w:p>
    <w:p w14:paraId="40956123">
      <w:pPr>
        <w:widowControl/>
        <w:adjustRightInd w:val="0"/>
        <w:ind w:firstLine="600" w:firstLineChars="200"/>
        <w:jc w:val="left"/>
        <w:rPr>
          <w:rFonts w:hint="eastAsia" w:ascii="仿宋_GB2312" w:hAnsi="仿宋_GB2312" w:eastAsia="仿宋_GB2312" w:cs="仿宋_GB2312"/>
          <w:color w:val="000000"/>
          <w:kern w:val="0"/>
          <w:sz w:val="30"/>
          <w:szCs w:val="30"/>
          <w:shd w:val="clear" w:color="auto" w:fill="FFFFFF"/>
        </w:rPr>
      </w:pPr>
      <w:r>
        <w:rPr>
          <w:rFonts w:hint="eastAsia" w:ascii="仿宋_GB2312" w:hAnsi="仿宋_GB2312" w:eastAsia="仿宋_GB2312" w:cs="仿宋_GB2312"/>
          <w:color w:val="000000"/>
          <w:kern w:val="0"/>
          <w:sz w:val="30"/>
          <w:szCs w:val="30"/>
          <w:shd w:val="clear" w:color="auto" w:fill="FFFFFF"/>
        </w:rPr>
        <w:t>主要是预算编制的合理性有待提高，对定性指标的</w:t>
      </w:r>
      <w:r>
        <w:rPr>
          <w:rFonts w:hint="eastAsia" w:ascii="仿宋_GB2312" w:hAnsi="仿宋_GB2312" w:eastAsia="仿宋_GB2312" w:cs="仿宋_GB2312"/>
          <w:color w:val="000000"/>
          <w:kern w:val="0"/>
          <w:sz w:val="30"/>
          <w:szCs w:val="30"/>
          <w:shd w:val="clear" w:color="auto" w:fill="FFFFFF"/>
        </w:rPr>
        <w:tab/>
      </w:r>
      <w:r>
        <w:rPr>
          <w:rFonts w:hint="eastAsia" w:ascii="仿宋_GB2312" w:hAnsi="仿宋_GB2312" w:eastAsia="仿宋_GB2312" w:cs="仿宋_GB2312"/>
          <w:color w:val="000000"/>
          <w:kern w:val="0"/>
          <w:sz w:val="30"/>
          <w:szCs w:val="30"/>
          <w:shd w:val="clear" w:color="auto" w:fill="FFFFFF"/>
        </w:rPr>
        <w:t>评议上，由于采取自评的问卷形式，且评价内容较宏观，所以部分参与评价的人员不能客观地对本部门的支出绩效进行评价。</w:t>
      </w:r>
    </w:p>
    <w:p w14:paraId="377D32D7">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（三）改进建议。</w:t>
      </w:r>
    </w:p>
    <w:p w14:paraId="45999F19">
      <w:p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1、细化预算编制工作，认真做好预算的编制。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7BCC4FC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2、加强财务管理，严格财务审核。在费用报账支付时，按照预算规定的费用项目和用途进行资金使用审核、列报支付、财务核算，杜绝超支现象的发生。</w:t>
      </w:r>
    </w:p>
    <w:p w14:paraId="46E12FA3">
      <w:pPr>
        <w:widowControl/>
        <w:adjustRightInd w:val="0"/>
        <w:ind w:firstLine="600" w:firstLineChars="200"/>
        <w:jc w:val="left"/>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000000"/>
          <w:kern w:val="0"/>
          <w:sz w:val="30"/>
          <w:szCs w:val="30"/>
          <w:shd w:val="clear" w:color="auto" w:fill="FFFFFF"/>
        </w:rPr>
        <w:t>3．持续抓好“三公”经费控制管理。严格控制“三公”经费的规模和比例，把关“三公”经费支出的审核、审批，杜绝挪用和挤占其他预算资金行为；进一步细化“三公”经费的管理，合理压缩“三公”经费支出。</w:t>
      </w:r>
    </w:p>
    <w:p w14:paraId="015A5B13">
      <w:pPr>
        <w:rPr>
          <w:rStyle w:val="23"/>
          <w:rFonts w:hint="eastAsia" w:ascii="仿宋_GB2312" w:hAnsi="仿宋_GB2312" w:eastAsia="仿宋_GB2312" w:cs="仿宋_GB2312"/>
          <w:b w:val="0"/>
        </w:rPr>
      </w:pPr>
    </w:p>
    <w:p w14:paraId="19844BD7">
      <w:pPr>
        <w:pStyle w:val="6"/>
        <w:rPr>
          <w:rStyle w:val="23"/>
          <w:rFonts w:hint="eastAsia" w:ascii="仿宋_GB2312" w:hAnsi="仿宋_GB2312" w:eastAsia="仿宋_GB2312" w:cs="仿宋_GB2312"/>
          <w:b w:val="0"/>
        </w:rPr>
      </w:pPr>
    </w:p>
    <w:p w14:paraId="53A6D65F">
      <w:pPr>
        <w:rPr>
          <w:rStyle w:val="23"/>
          <w:rFonts w:hint="eastAsia" w:ascii="仿宋_GB2312" w:hAnsi="仿宋_GB2312" w:eastAsia="仿宋_GB2312" w:cs="仿宋_GB2312"/>
          <w:b w:val="0"/>
        </w:rPr>
      </w:pPr>
    </w:p>
    <w:p w14:paraId="23A41AF2">
      <w:pPr>
        <w:pStyle w:val="6"/>
        <w:rPr>
          <w:rStyle w:val="23"/>
          <w:rFonts w:ascii="黑体" w:eastAsia="黑体"/>
          <w:b w:val="0"/>
        </w:rPr>
      </w:pPr>
    </w:p>
    <w:p w14:paraId="6D51B68F">
      <w:pPr>
        <w:rPr>
          <w:rStyle w:val="23"/>
          <w:rFonts w:ascii="黑体" w:eastAsia="黑体"/>
          <w:b w:val="0"/>
        </w:rPr>
      </w:pPr>
    </w:p>
    <w:p w14:paraId="1D01C371">
      <w:pPr>
        <w:pStyle w:val="6"/>
        <w:rPr>
          <w:rStyle w:val="23"/>
          <w:rFonts w:ascii="黑体" w:eastAsia="黑体"/>
          <w:b w:val="0"/>
        </w:rPr>
      </w:pPr>
    </w:p>
    <w:p w14:paraId="7758E4D6">
      <w:pPr>
        <w:rPr>
          <w:rStyle w:val="23"/>
          <w:rFonts w:ascii="黑体" w:eastAsia="黑体"/>
          <w:b w:val="0"/>
        </w:rPr>
      </w:pPr>
    </w:p>
    <w:p w14:paraId="3688972A">
      <w:pPr>
        <w:pStyle w:val="6"/>
        <w:rPr>
          <w:rStyle w:val="23"/>
          <w:rFonts w:ascii="黑体" w:eastAsia="黑体"/>
          <w:b w:val="0"/>
        </w:rPr>
      </w:pPr>
    </w:p>
    <w:p w14:paraId="179DD908">
      <w:pPr>
        <w:rPr>
          <w:rStyle w:val="23"/>
          <w:rFonts w:ascii="黑体" w:eastAsia="黑体"/>
          <w:b w:val="0"/>
        </w:rPr>
      </w:pPr>
    </w:p>
    <w:p w14:paraId="3FCD0CB2">
      <w:pPr>
        <w:pStyle w:val="6"/>
      </w:pPr>
    </w:p>
    <w:p w14:paraId="1B46401A">
      <w:pPr>
        <w:pStyle w:val="6"/>
      </w:pPr>
    </w:p>
    <w:p w14:paraId="6D50D3B1">
      <w:pPr>
        <w:pStyle w:val="6"/>
      </w:pPr>
    </w:p>
    <w:p w14:paraId="41C26007">
      <w:pPr>
        <w:pageBreakBefore w:val="0"/>
        <w:kinsoku/>
        <w:wordWrap/>
        <w:overflowPunct/>
        <w:topLinePunct w:val="0"/>
        <w:bidi w:val="0"/>
        <w:spacing w:line="576" w:lineRule="exact"/>
        <w:jc w:val="center"/>
        <w:outlineLvl w:val="0"/>
        <w:rPr>
          <w:rStyle w:val="23"/>
          <w:rFonts w:hint="eastAsia" w:ascii="方正小标宋简体" w:hAnsi="方正小标宋简体" w:eastAsia="方正小标宋简体" w:cs="方正小标宋简体"/>
          <w:b w:val="0"/>
        </w:rPr>
      </w:pPr>
      <w:bookmarkStart w:id="113" w:name="_Toc79163885"/>
      <w:bookmarkStart w:id="114" w:name="_Toc79163635"/>
      <w:bookmarkStart w:id="115" w:name="_Toc15396618"/>
      <w:r>
        <w:rPr>
          <w:rFonts w:hint="eastAsia" w:ascii="方正小标宋简体" w:hAnsi="方正小标宋简体" w:eastAsia="方正小标宋简体" w:cs="方正小标宋简体"/>
          <w:color w:val="000000"/>
          <w:sz w:val="44"/>
          <w:szCs w:val="44"/>
        </w:rPr>
        <w:t>第</w:t>
      </w:r>
      <w:r>
        <w:rPr>
          <w:rStyle w:val="23"/>
          <w:rFonts w:hint="eastAsia" w:ascii="方正小标宋简体" w:hAnsi="方正小标宋简体" w:eastAsia="方正小标宋简体" w:cs="方正小标宋简体"/>
          <w:b w:val="0"/>
        </w:rPr>
        <w:t>五部分 附表</w:t>
      </w:r>
      <w:bookmarkEnd w:id="105"/>
      <w:bookmarkEnd w:id="113"/>
      <w:bookmarkEnd w:id="114"/>
      <w:bookmarkEnd w:id="115"/>
    </w:p>
    <w:p w14:paraId="5E62B700">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6" w:name="_Toc15396619"/>
      <w:bookmarkStart w:id="117" w:name="_Toc79163636"/>
      <w:bookmarkStart w:id="118" w:name="_Toc79163886"/>
      <w:r>
        <w:rPr>
          <w:rFonts w:hint="eastAsia" w:ascii="仿宋_GB2312" w:hAnsi="仿宋_GB2312" w:eastAsia="仿宋_GB2312" w:cs="仿宋_GB2312"/>
          <w:sz w:val="32"/>
          <w:szCs w:val="32"/>
          <w:lang w:val="zh-CN"/>
        </w:rPr>
        <w:t>一、收入支出决算总表</w:t>
      </w:r>
      <w:bookmarkEnd w:id="116"/>
      <w:bookmarkEnd w:id="117"/>
      <w:bookmarkEnd w:id="118"/>
    </w:p>
    <w:p w14:paraId="265D707C">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9" w:name="_Toc79163887"/>
      <w:bookmarkStart w:id="120" w:name="_Toc15396620"/>
      <w:bookmarkStart w:id="121" w:name="_Toc79163637"/>
      <w:r>
        <w:rPr>
          <w:rFonts w:hint="eastAsia" w:ascii="仿宋_GB2312" w:hAnsi="仿宋_GB2312" w:eastAsia="仿宋_GB2312" w:cs="仿宋_GB2312"/>
          <w:sz w:val="32"/>
          <w:szCs w:val="32"/>
          <w:lang w:val="zh-CN"/>
        </w:rPr>
        <w:t>二、收入决算表</w:t>
      </w:r>
      <w:bookmarkEnd w:id="119"/>
      <w:bookmarkEnd w:id="120"/>
      <w:bookmarkEnd w:id="121"/>
    </w:p>
    <w:p w14:paraId="35EC1083">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2" w:name="_Toc15396621"/>
      <w:bookmarkStart w:id="123" w:name="_Toc79163638"/>
      <w:bookmarkStart w:id="124" w:name="_Toc79163888"/>
      <w:r>
        <w:rPr>
          <w:rFonts w:hint="eastAsia" w:ascii="仿宋_GB2312" w:hAnsi="仿宋_GB2312" w:eastAsia="仿宋_GB2312" w:cs="仿宋_GB2312"/>
          <w:sz w:val="32"/>
          <w:szCs w:val="32"/>
          <w:lang w:val="zh-CN"/>
        </w:rPr>
        <w:t>三、支出决算表</w:t>
      </w:r>
      <w:bookmarkEnd w:id="122"/>
      <w:bookmarkEnd w:id="123"/>
      <w:bookmarkEnd w:id="124"/>
    </w:p>
    <w:p w14:paraId="0A0AED6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5" w:name="_Toc15396622"/>
      <w:bookmarkStart w:id="126" w:name="_Toc79163889"/>
      <w:bookmarkStart w:id="127" w:name="_Toc79163639"/>
      <w:r>
        <w:rPr>
          <w:rFonts w:hint="eastAsia" w:ascii="仿宋_GB2312" w:hAnsi="仿宋_GB2312" w:eastAsia="仿宋_GB2312" w:cs="仿宋_GB2312"/>
          <w:sz w:val="32"/>
          <w:szCs w:val="32"/>
          <w:lang w:val="zh-CN"/>
        </w:rPr>
        <w:t>四、财政拨款收入支出决算总表</w:t>
      </w:r>
      <w:bookmarkEnd w:id="125"/>
      <w:bookmarkEnd w:id="126"/>
      <w:bookmarkEnd w:id="127"/>
    </w:p>
    <w:p w14:paraId="548869D6">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8" w:name="_Toc79163640"/>
      <w:bookmarkStart w:id="129" w:name="_Toc15396623"/>
      <w:bookmarkStart w:id="130" w:name="_Toc79163890"/>
      <w:r>
        <w:rPr>
          <w:rFonts w:hint="eastAsia" w:ascii="仿宋_GB2312" w:hAnsi="仿宋_GB2312" w:eastAsia="仿宋_GB2312" w:cs="仿宋_GB2312"/>
          <w:sz w:val="32"/>
          <w:szCs w:val="32"/>
          <w:lang w:val="zh-CN"/>
        </w:rPr>
        <w:t>五、财政拨款支出决算明细表</w:t>
      </w:r>
      <w:bookmarkEnd w:id="128"/>
      <w:bookmarkEnd w:id="129"/>
      <w:bookmarkEnd w:id="130"/>
      <w:bookmarkStart w:id="131" w:name="_Toc15396624"/>
    </w:p>
    <w:p w14:paraId="56C07C4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2" w:name="_Toc79163891"/>
      <w:bookmarkStart w:id="133" w:name="_Toc79163641"/>
      <w:r>
        <w:rPr>
          <w:rFonts w:hint="eastAsia" w:ascii="仿宋_GB2312" w:hAnsi="仿宋_GB2312" w:eastAsia="仿宋_GB2312" w:cs="仿宋_GB2312"/>
          <w:sz w:val="32"/>
          <w:szCs w:val="32"/>
          <w:lang w:val="zh-CN"/>
        </w:rPr>
        <w:t>六、一般公共预算财政拨款支出决算表</w:t>
      </w:r>
      <w:bookmarkEnd w:id="131"/>
      <w:bookmarkEnd w:id="132"/>
      <w:bookmarkEnd w:id="133"/>
    </w:p>
    <w:p w14:paraId="6C6646C6">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4" w:name="_Toc79163892"/>
      <w:bookmarkStart w:id="135" w:name="_Toc15396625"/>
      <w:bookmarkStart w:id="136" w:name="_Toc79163642"/>
      <w:r>
        <w:rPr>
          <w:rFonts w:hint="eastAsia" w:ascii="仿宋_GB2312" w:hAnsi="仿宋_GB2312" w:eastAsia="仿宋_GB2312" w:cs="仿宋_GB2312"/>
          <w:sz w:val="32"/>
          <w:szCs w:val="32"/>
          <w:lang w:val="zh-CN"/>
        </w:rPr>
        <w:t>七、一般公共预算财政拨款支出决算明细表</w:t>
      </w:r>
      <w:bookmarkEnd w:id="134"/>
      <w:bookmarkEnd w:id="135"/>
      <w:bookmarkEnd w:id="136"/>
    </w:p>
    <w:p w14:paraId="75B3025A">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7" w:name="_Toc79163643"/>
      <w:bookmarkStart w:id="138" w:name="_Toc79163893"/>
      <w:bookmarkStart w:id="139" w:name="_Toc15396626"/>
      <w:r>
        <w:rPr>
          <w:rFonts w:hint="eastAsia" w:ascii="仿宋_GB2312" w:hAnsi="仿宋_GB2312" w:eastAsia="仿宋_GB2312" w:cs="仿宋_GB2312"/>
          <w:sz w:val="32"/>
          <w:szCs w:val="32"/>
          <w:lang w:val="zh-CN"/>
        </w:rPr>
        <w:t>八、一般公共预算财政拨款基本支出决算表</w:t>
      </w:r>
      <w:bookmarkEnd w:id="137"/>
      <w:bookmarkEnd w:id="138"/>
      <w:bookmarkEnd w:id="139"/>
    </w:p>
    <w:p w14:paraId="6457C5B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0" w:name="_Toc15396627"/>
      <w:bookmarkStart w:id="141" w:name="_Toc79163894"/>
      <w:bookmarkStart w:id="142" w:name="_Toc79163644"/>
      <w:r>
        <w:rPr>
          <w:rFonts w:hint="eastAsia" w:ascii="仿宋_GB2312" w:hAnsi="仿宋_GB2312" w:eastAsia="仿宋_GB2312" w:cs="仿宋_GB2312"/>
          <w:sz w:val="32"/>
          <w:szCs w:val="32"/>
          <w:lang w:val="zh-CN"/>
        </w:rPr>
        <w:t>九、一般公共预算财政拨款项目支出决算表</w:t>
      </w:r>
      <w:bookmarkEnd w:id="140"/>
      <w:bookmarkEnd w:id="141"/>
      <w:bookmarkEnd w:id="142"/>
    </w:p>
    <w:p w14:paraId="3702964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3" w:name="_Toc79163645"/>
      <w:bookmarkStart w:id="144" w:name="_Toc15396628"/>
      <w:bookmarkStart w:id="145" w:name="_Toc79163895"/>
      <w:r>
        <w:rPr>
          <w:rFonts w:hint="eastAsia" w:ascii="仿宋_GB2312" w:hAnsi="仿宋_GB2312" w:eastAsia="仿宋_GB2312" w:cs="仿宋_GB2312"/>
          <w:sz w:val="32"/>
          <w:szCs w:val="32"/>
          <w:lang w:val="zh-CN"/>
        </w:rPr>
        <w:t>十、一般公共预算财政拨款“三公”经费支出决算表</w:t>
      </w:r>
      <w:bookmarkEnd w:id="143"/>
      <w:bookmarkEnd w:id="144"/>
      <w:bookmarkEnd w:id="145"/>
    </w:p>
    <w:p w14:paraId="4717DE7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6" w:name="_Toc79163896"/>
      <w:bookmarkStart w:id="147" w:name="_Toc79163646"/>
      <w:bookmarkStart w:id="148" w:name="_Toc15396629"/>
      <w:r>
        <w:rPr>
          <w:rFonts w:hint="eastAsia" w:ascii="仿宋_GB2312" w:hAnsi="仿宋_GB2312" w:eastAsia="仿宋_GB2312" w:cs="仿宋_GB2312"/>
          <w:sz w:val="32"/>
          <w:szCs w:val="32"/>
          <w:lang w:val="zh-CN"/>
        </w:rPr>
        <w:t>十一、政府性基金预算财政拨款收入支出决算表</w:t>
      </w:r>
      <w:bookmarkEnd w:id="146"/>
      <w:bookmarkEnd w:id="147"/>
      <w:bookmarkEnd w:id="148"/>
    </w:p>
    <w:p w14:paraId="61510866">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9" w:name="_Toc79163647"/>
      <w:bookmarkStart w:id="150" w:name="_Toc15396630"/>
      <w:bookmarkStart w:id="151" w:name="_Toc79163897"/>
      <w:r>
        <w:rPr>
          <w:rFonts w:hint="eastAsia" w:ascii="仿宋_GB2312" w:hAnsi="仿宋_GB2312" w:eastAsia="仿宋_GB2312" w:cs="仿宋_GB2312"/>
          <w:sz w:val="32"/>
          <w:szCs w:val="32"/>
          <w:lang w:val="zh-CN"/>
        </w:rPr>
        <w:t>十二、政府性基金预算财政拨款“三公”经费支出决算表</w:t>
      </w:r>
      <w:bookmarkEnd w:id="149"/>
      <w:bookmarkEnd w:id="150"/>
      <w:bookmarkEnd w:id="151"/>
    </w:p>
    <w:p w14:paraId="5C28CB4E">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52" w:name="_Toc15396631"/>
      <w:bookmarkStart w:id="153" w:name="_Toc79163898"/>
      <w:bookmarkStart w:id="154" w:name="_Toc79163648"/>
      <w:r>
        <w:rPr>
          <w:rFonts w:hint="eastAsia" w:ascii="仿宋_GB2312" w:hAnsi="仿宋_GB2312" w:eastAsia="仿宋_GB2312" w:cs="仿宋_GB2312"/>
          <w:sz w:val="32"/>
          <w:szCs w:val="32"/>
          <w:lang w:val="zh-CN"/>
        </w:rPr>
        <w:t>十三、国有资本经营预算财政拨款支出决算表</w:t>
      </w:r>
      <w:bookmarkEnd w:id="152"/>
      <w:bookmarkEnd w:id="153"/>
      <w:bookmarkEnd w:id="154"/>
    </w:p>
    <w:p w14:paraId="790AB0F7">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55" w:name="_Toc79163649"/>
      <w:bookmarkStart w:id="156" w:name="_Toc79163899"/>
      <w:r>
        <w:rPr>
          <w:rFonts w:hint="eastAsia" w:ascii="仿宋_GB2312" w:hAnsi="仿宋_GB2312" w:eastAsia="仿宋_GB2312" w:cs="仿宋_GB2312"/>
          <w:sz w:val="32"/>
          <w:szCs w:val="32"/>
          <w:lang w:val="zh-CN"/>
        </w:rPr>
        <w:t>十四、国有资本经营预算财政拨款支出决算表</w:t>
      </w:r>
      <w:bookmarkEnd w:id="155"/>
      <w:bookmarkEnd w:id="156"/>
    </w:p>
    <w:sectPr>
      <w:headerReference r:id="rId3" w:type="default"/>
      <w:footerReference r:id="rId4" w:type="default"/>
      <w:pgSz w:w="11906" w:h="16838"/>
      <w:pgMar w:top="2098" w:right="1474" w:bottom="1984" w:left="1587" w:header="851" w:footer="992" w:gutter="0"/>
      <w:pgNumType w:start="1"/>
      <w:cols w:space="0" w:num="1"/>
      <w:titlePg/>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汉仪细等线繁">
    <w:altName w:val="宋体"/>
    <w:panose1 w:val="02010600000101010101"/>
    <w:charset w:val="86"/>
    <w:family w:val="auto"/>
    <w:pitch w:val="default"/>
    <w:sig w:usb0="00000000" w:usb1="000000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sterbro Light">
    <w:altName w:val="DejaVu Math TeX Gyre"/>
    <w:panose1 w:val="02000300060000020004"/>
    <w:charset w:val="00"/>
    <w:family w:val="auto"/>
    <w:pitch w:val="default"/>
    <w:sig w:usb0="00000000" w:usb1="00000000" w:usb2="00000000" w:usb3="00000000" w:csb0="2000019F" w:csb1="0001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71C07">
    <w:pPr>
      <w:pStyle w:val="11"/>
      <w:jc w:val="center"/>
    </w:pPr>
    <w:r>
      <w:fldChar w:fldCharType="begin"/>
    </w:r>
    <w:r>
      <w:instrText xml:space="preserve">PAGE   \* MERGEFORMAT</w:instrText>
    </w:r>
    <w:r>
      <w:fldChar w:fldCharType="separate"/>
    </w:r>
    <w:r>
      <w:rPr>
        <w:lang w:val="zh-CN"/>
      </w:rPr>
      <w:t>3</w:t>
    </w:r>
    <w:r>
      <w:fldChar w:fldCharType="end"/>
    </w:r>
  </w:p>
  <w:p w14:paraId="7401430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4484">
    <w:pPr>
      <w:spacing w:line="600" w:lineRule="exact"/>
      <w:ind w:firstLine="420" w:firstLineChars="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1">
    <w:nsid w:val="DBCFE445"/>
    <w:multiLevelType w:val="singleLevel"/>
    <w:tmpl w:val="DBCFE445"/>
    <w:lvl w:ilvl="0" w:tentative="0">
      <w:start w:val="1"/>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pPr>
        <w:tabs>
          <w:tab w:val="left" w:pos="0"/>
        </w:tabs>
        <w:ind w:left="0" w:firstLine="0"/>
      </w:pPr>
      <w:rPr>
        <w:rFonts w:hint="eastAsia" w:cs="Times New Roman"/>
      </w:rPr>
    </w:lvl>
  </w:abstractNum>
  <w:abstractNum w:abstractNumId="3">
    <w:nsid w:val="1D12712D"/>
    <w:multiLevelType w:val="multilevel"/>
    <w:tmpl w:val="1D12712D"/>
    <w:lvl w:ilvl="0" w:tentative="0">
      <w:start w:val="4"/>
      <w:numFmt w:val="japaneseCounting"/>
      <w:lvlText w:val="（%1）"/>
      <w:lvlJc w:val="left"/>
      <w:pPr>
        <w:ind w:left="1800" w:hanging="1080"/>
      </w:pPr>
      <w:rPr>
        <w:rFonts w:hint="eastAsia"/>
        <w:b/>
        <w:bCs/>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25515346"/>
    <w:multiLevelType w:val="multilevel"/>
    <w:tmpl w:val="25515346"/>
    <w:lvl w:ilvl="0" w:tentative="0">
      <w:start w:val="3"/>
      <w:numFmt w:val="japaneseCounting"/>
      <w:lvlText w:val="（%1）"/>
      <w:lvlJc w:val="left"/>
      <w:pPr>
        <w:ind w:left="1410" w:hanging="990"/>
      </w:pPr>
      <w:rPr>
        <w:rFonts w:hint="default"/>
        <w:sz w:val="32"/>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559F2A4B"/>
    <w:multiLevelType w:val="singleLevel"/>
    <w:tmpl w:val="559F2A4B"/>
    <w:lvl w:ilvl="0" w:tentative="0">
      <w:start w:val="1"/>
      <w:numFmt w:val="chineseCounting"/>
      <w:suff w:val="nothing"/>
      <w:lvlText w:val="%1、"/>
      <w:lvlJc w:val="left"/>
    </w:lvl>
  </w:abstractNum>
  <w:abstractNum w:abstractNumId="6">
    <w:nsid w:val="559F2A65"/>
    <w:multiLevelType w:val="singleLevel"/>
    <w:tmpl w:val="559F2A65"/>
    <w:lvl w:ilvl="0" w:tentative="0">
      <w:start w:val="1"/>
      <w:numFmt w:val="chineseCounting"/>
      <w:suff w:val="nothing"/>
      <w:lvlText w:val="（%1）"/>
      <w:lvlJc w:val="left"/>
    </w:lvl>
  </w:abstractNum>
  <w:abstractNum w:abstractNumId="7">
    <w:nsid w:val="559F2C1D"/>
    <w:multiLevelType w:val="singleLevel"/>
    <w:tmpl w:val="559F2C1D"/>
    <w:lvl w:ilvl="0" w:tentative="0">
      <w:start w:val="1"/>
      <w:numFmt w:val="chineseCounting"/>
      <w:suff w:val="nothing"/>
      <w:lvlText w:val="（%1）"/>
      <w:lvlJc w:val="left"/>
    </w:lvl>
  </w:abstractNum>
  <w:num w:numId="1">
    <w:abstractNumId w:val="1"/>
  </w:num>
  <w:num w:numId="2">
    <w:abstractNumId w:val="0"/>
  </w:num>
  <w:num w:numId="3">
    <w:abstractNumId w:val="2"/>
  </w:num>
  <w:num w:numId="4">
    <w:abstractNumId w:val="5"/>
  </w:num>
  <w:num w:numId="5">
    <w:abstractNumId w:val="6"/>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docVars>
    <w:docVar w:name="commondata" w:val="eyJoZGlkIjoiOTQxNWQ1Njc5YzhiOTcwZWNmNjAwNzM0ZDFkNmFlYjQifQ=="/>
  </w:docVars>
  <w:rsids>
    <w:rsidRoot w:val="00000000"/>
    <w:rsid w:val="00A717E2"/>
    <w:rsid w:val="01C34939"/>
    <w:rsid w:val="03156361"/>
    <w:rsid w:val="03CA4A0B"/>
    <w:rsid w:val="0982222F"/>
    <w:rsid w:val="0BA8467F"/>
    <w:rsid w:val="0CA20177"/>
    <w:rsid w:val="0CF864F4"/>
    <w:rsid w:val="0D7B174F"/>
    <w:rsid w:val="0E61504D"/>
    <w:rsid w:val="0F220EF1"/>
    <w:rsid w:val="10345EF6"/>
    <w:rsid w:val="1057106E"/>
    <w:rsid w:val="11931ED3"/>
    <w:rsid w:val="12166CC5"/>
    <w:rsid w:val="1265796C"/>
    <w:rsid w:val="15EC4007"/>
    <w:rsid w:val="1A222A37"/>
    <w:rsid w:val="1CF21731"/>
    <w:rsid w:val="1ECD7650"/>
    <w:rsid w:val="201C074B"/>
    <w:rsid w:val="203C7447"/>
    <w:rsid w:val="21113A39"/>
    <w:rsid w:val="225B2099"/>
    <w:rsid w:val="240D6EC9"/>
    <w:rsid w:val="28435B95"/>
    <w:rsid w:val="294E0E09"/>
    <w:rsid w:val="2B727C26"/>
    <w:rsid w:val="2BB234FA"/>
    <w:rsid w:val="2D497134"/>
    <w:rsid w:val="2DD02CED"/>
    <w:rsid w:val="2E84707B"/>
    <w:rsid w:val="300E30A0"/>
    <w:rsid w:val="306E1D90"/>
    <w:rsid w:val="333C5E43"/>
    <w:rsid w:val="3368273B"/>
    <w:rsid w:val="347F48BA"/>
    <w:rsid w:val="38F82614"/>
    <w:rsid w:val="3B7B1805"/>
    <w:rsid w:val="3C7A7213"/>
    <w:rsid w:val="3D053D82"/>
    <w:rsid w:val="3D0D2EF3"/>
    <w:rsid w:val="3D597924"/>
    <w:rsid w:val="406B009A"/>
    <w:rsid w:val="408A14F9"/>
    <w:rsid w:val="40BE3287"/>
    <w:rsid w:val="42475CBA"/>
    <w:rsid w:val="47376BDD"/>
    <w:rsid w:val="474422FB"/>
    <w:rsid w:val="47BB036A"/>
    <w:rsid w:val="482B5F07"/>
    <w:rsid w:val="48316DCF"/>
    <w:rsid w:val="4BB46C1D"/>
    <w:rsid w:val="4DDC614C"/>
    <w:rsid w:val="4EB07C48"/>
    <w:rsid w:val="59893416"/>
    <w:rsid w:val="5CEC55E4"/>
    <w:rsid w:val="5DFB2EDE"/>
    <w:rsid w:val="5E1B330F"/>
    <w:rsid w:val="5EF273DB"/>
    <w:rsid w:val="60987315"/>
    <w:rsid w:val="60D95818"/>
    <w:rsid w:val="611355A3"/>
    <w:rsid w:val="61AF5FAD"/>
    <w:rsid w:val="61C022DD"/>
    <w:rsid w:val="6250209D"/>
    <w:rsid w:val="62E73159"/>
    <w:rsid w:val="64FB015D"/>
    <w:rsid w:val="66361B91"/>
    <w:rsid w:val="66E12631"/>
    <w:rsid w:val="67B9156E"/>
    <w:rsid w:val="6AFD555F"/>
    <w:rsid w:val="6D2E1631"/>
    <w:rsid w:val="6E070521"/>
    <w:rsid w:val="6E47307E"/>
    <w:rsid w:val="6E4E5A22"/>
    <w:rsid w:val="70991037"/>
    <w:rsid w:val="709F45E1"/>
    <w:rsid w:val="735D6B82"/>
    <w:rsid w:val="73666C29"/>
    <w:rsid w:val="745555C2"/>
    <w:rsid w:val="774D5858"/>
    <w:rsid w:val="781D417D"/>
    <w:rsid w:val="78CA2EA9"/>
    <w:rsid w:val="78F97604"/>
    <w:rsid w:val="79FB0D87"/>
    <w:rsid w:val="7A9E283F"/>
    <w:rsid w:val="7B5A3695"/>
    <w:rsid w:val="7C907A84"/>
    <w:rsid w:val="7D8A3B34"/>
    <w:rsid w:val="7EB10D93"/>
    <w:rsid w:val="7F307797"/>
    <w:rsid w:val="7FFB590F"/>
    <w:rsid w:val="A7779744"/>
    <w:rsid w:val="BDFFE617"/>
    <w:rsid w:val="D77E3B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widowControl w:val="0"/>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0">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1260"/>
      <w:jc w:val="left"/>
    </w:pPr>
    <w:rPr>
      <w:rFonts w:ascii="汉仪细等线繁" w:eastAsia="汉仪细等线繁"/>
      <w:sz w:val="18"/>
      <w:szCs w:val="18"/>
    </w:rPr>
  </w:style>
  <w:style w:type="paragraph" w:styleId="6">
    <w:name w:val="Body Text"/>
    <w:basedOn w:val="1"/>
    <w:next w:val="1"/>
    <w:qFormat/>
    <w:uiPriority w:val="0"/>
    <w:pPr>
      <w:spacing w:before="30" w:beforeLines="30"/>
    </w:pPr>
    <w:rPr>
      <w:rFonts w:ascii="仿宋_GB2312" w:eastAsia="仿宋_GB2312"/>
      <w:kern w:val="0"/>
      <w:sz w:val="24"/>
      <w:szCs w:val="20"/>
      <w:lang w:val="zh-CN" w:eastAsia="zh-CN"/>
    </w:rPr>
  </w:style>
  <w:style w:type="paragraph" w:styleId="7">
    <w:name w:val="toc 5"/>
    <w:basedOn w:val="1"/>
    <w:next w:val="1"/>
    <w:qFormat/>
    <w:uiPriority w:val="0"/>
    <w:pPr>
      <w:ind w:left="840"/>
      <w:jc w:val="left"/>
    </w:pPr>
    <w:rPr>
      <w:rFonts w:ascii="汉仪细等线繁" w:eastAsia="汉仪细等线繁"/>
      <w:sz w:val="18"/>
      <w:szCs w:val="18"/>
    </w:rPr>
  </w:style>
  <w:style w:type="paragraph" w:styleId="8">
    <w:name w:val="toc 3"/>
    <w:basedOn w:val="1"/>
    <w:next w:val="1"/>
    <w:qFormat/>
    <w:uiPriority w:val="0"/>
    <w:pPr>
      <w:ind w:left="420"/>
      <w:jc w:val="left"/>
    </w:pPr>
    <w:rPr>
      <w:rFonts w:ascii="汉仪细等线繁" w:eastAsia="汉仪细等线繁"/>
      <w:i/>
      <w:iCs/>
      <w:sz w:val="20"/>
      <w:szCs w:val="20"/>
    </w:rPr>
  </w:style>
  <w:style w:type="paragraph" w:styleId="9">
    <w:name w:val="toc 8"/>
    <w:basedOn w:val="1"/>
    <w:next w:val="1"/>
    <w:qFormat/>
    <w:uiPriority w:val="0"/>
    <w:pPr>
      <w:ind w:left="1470"/>
      <w:jc w:val="left"/>
    </w:pPr>
    <w:rPr>
      <w:rFonts w:ascii="汉仪细等线繁" w:eastAsia="汉仪细等线繁"/>
      <w:sz w:val="18"/>
      <w:szCs w:val="18"/>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qFormat/>
    <w:uiPriority w:val="0"/>
    <w:pPr>
      <w:spacing w:before="120" w:after="120"/>
      <w:jc w:val="left"/>
    </w:pPr>
    <w:rPr>
      <w:rFonts w:ascii="汉仪细等线繁" w:eastAsia="汉仪细等线繁"/>
      <w:b/>
      <w:bCs/>
      <w:caps/>
      <w:sz w:val="20"/>
      <w:szCs w:val="20"/>
    </w:rPr>
  </w:style>
  <w:style w:type="paragraph" w:styleId="14">
    <w:name w:val="toc 4"/>
    <w:basedOn w:val="1"/>
    <w:next w:val="1"/>
    <w:qFormat/>
    <w:uiPriority w:val="0"/>
    <w:pPr>
      <w:ind w:left="630"/>
      <w:jc w:val="left"/>
    </w:pPr>
    <w:rPr>
      <w:rFonts w:ascii="汉仪细等线繁" w:eastAsia="汉仪细等线繁"/>
      <w:sz w:val="18"/>
      <w:szCs w:val="18"/>
    </w:rPr>
  </w:style>
  <w:style w:type="paragraph" w:styleId="15">
    <w:name w:val="toc 6"/>
    <w:basedOn w:val="1"/>
    <w:next w:val="1"/>
    <w:qFormat/>
    <w:uiPriority w:val="0"/>
    <w:pPr>
      <w:ind w:left="1050"/>
      <w:jc w:val="left"/>
    </w:pPr>
    <w:rPr>
      <w:rFonts w:ascii="汉仪细等线繁" w:eastAsia="汉仪细等线繁"/>
      <w:sz w:val="18"/>
      <w:szCs w:val="18"/>
    </w:rPr>
  </w:style>
  <w:style w:type="paragraph" w:styleId="16">
    <w:name w:val="toc 2"/>
    <w:basedOn w:val="1"/>
    <w:next w:val="1"/>
    <w:qFormat/>
    <w:uiPriority w:val="0"/>
    <w:pPr>
      <w:ind w:left="210"/>
      <w:jc w:val="left"/>
    </w:pPr>
    <w:rPr>
      <w:rFonts w:ascii="汉仪细等线繁" w:eastAsia="汉仪细等线繁"/>
      <w:smallCaps/>
      <w:sz w:val="20"/>
      <w:szCs w:val="20"/>
    </w:rPr>
  </w:style>
  <w:style w:type="paragraph" w:styleId="17">
    <w:name w:val="toc 9"/>
    <w:basedOn w:val="1"/>
    <w:next w:val="1"/>
    <w:qFormat/>
    <w:uiPriority w:val="0"/>
    <w:pPr>
      <w:ind w:left="1680"/>
      <w:jc w:val="left"/>
    </w:pPr>
    <w:rPr>
      <w:rFonts w:ascii="汉仪细等线繁" w:eastAsia="汉仪细等线繁"/>
      <w:sz w:val="18"/>
      <w:szCs w:val="18"/>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21">
    <w:name w:val="Strong"/>
    <w:basedOn w:val="20"/>
    <w:qFormat/>
    <w:uiPriority w:val="0"/>
    <w:rPr>
      <w:rFonts w:cs="Times New Roman"/>
      <w:b/>
    </w:rPr>
  </w:style>
  <w:style w:type="character" w:styleId="22">
    <w:name w:val="Hyperlink"/>
    <w:basedOn w:val="20"/>
    <w:qFormat/>
    <w:uiPriority w:val="0"/>
    <w:rPr>
      <w:rFonts w:cs="Times New Roman"/>
      <w:color w:val="0000FF"/>
      <w:u w:val="single"/>
    </w:rPr>
  </w:style>
  <w:style w:type="character" w:customStyle="1" w:styleId="23">
    <w:name w:val="heading 1 Char"/>
    <w:basedOn w:val="20"/>
    <w:link w:val="2"/>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20"/>
    <w:link w:val="3"/>
    <w:qFormat/>
    <w:uiPriority w:val="0"/>
    <w:rPr>
      <w:rFonts w:ascii="Cambria" w:hAnsi="Cambria" w:eastAsia="宋体" w:cs="Times New Roman"/>
      <w:b/>
      <w:bCs/>
      <w:kern w:val="2"/>
      <w:sz w:val="32"/>
      <w:szCs w:val="32"/>
      <w:lang w:val="en-US" w:eastAsia="zh-CN" w:bidi="ar-SA"/>
    </w:rPr>
  </w:style>
  <w:style w:type="character" w:customStyle="1" w:styleId="25">
    <w:name w:val="Body Text Char"/>
    <w:basedOn w:val="20"/>
    <w:qFormat/>
    <w:uiPriority w:val="0"/>
    <w:rPr>
      <w:rFonts w:ascii="Times New Roman" w:hAnsi="Times New Roman" w:cs="Times New Roman"/>
      <w:sz w:val="24"/>
      <w:szCs w:val="24"/>
    </w:rPr>
  </w:style>
  <w:style w:type="character" w:customStyle="1" w:styleId="26">
    <w:name w:val="Footer Char"/>
    <w:basedOn w:val="20"/>
    <w:qFormat/>
    <w:uiPriority w:val="0"/>
    <w:rPr>
      <w:rFonts w:ascii="Times New Roman" w:hAnsi="Times New Roman" w:cs="Times New Roman"/>
      <w:sz w:val="18"/>
      <w:szCs w:val="18"/>
    </w:rPr>
  </w:style>
  <w:style w:type="character" w:customStyle="1" w:styleId="27">
    <w:name w:val="Header Char"/>
    <w:basedOn w:val="20"/>
    <w:qFormat/>
    <w:uiPriority w:val="0"/>
    <w:rPr>
      <w:rFonts w:ascii="Times New Roman" w:hAnsi="Times New Roman" w:cs="Times New Roman"/>
      <w:sz w:val="18"/>
      <w:szCs w:val="18"/>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9">
    <w:name w:val="列表段落1"/>
    <w:basedOn w:val="1"/>
    <w:qFormat/>
    <w:uiPriority w:val="0"/>
    <w:pPr>
      <w:ind w:firstLine="200" w:firstLineChars="200"/>
    </w:pPr>
  </w:style>
  <w:style w:type="paragraph" w:customStyle="1" w:styleId="30">
    <w:name w:val="TOC 标题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1">
    <w:name w:val="TOC Heading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2">
    <w:name w:val="TOC Heading"/>
    <w:basedOn w:val="2"/>
    <w:next w:val="1"/>
    <w:qFormat/>
    <w:uiPriority w:val="0"/>
    <w:pPr>
      <w:keepNext/>
      <w:keepLines/>
      <w:widowControl/>
      <w:spacing w:before="240" w:after="0" w:line="259" w:lineRule="auto"/>
      <w:jc w:val="left"/>
      <w:outlineLvl w:val="9"/>
    </w:pPr>
    <w:rPr>
      <w:rFonts w:ascii="Vesterbro Light" w:eastAsia="Vesterbro Light" w:cs="Times New Roman"/>
      <w:b w:val="0"/>
      <w:bCs w:val="0"/>
      <w:color w:val="2F5597"/>
      <w:kern w:val="0"/>
      <w:sz w:val="32"/>
      <w:szCs w:val="32"/>
    </w:rPr>
  </w:style>
  <w:style w:type="paragraph" w:styleId="33">
    <w:name w:val="List Paragraph"/>
    <w:basedOn w:val="1"/>
    <w:qFormat/>
    <w:uiPriority w:val="34"/>
    <w:pPr>
      <w:ind w:firstLine="420" w:firstLineChars="200"/>
    </w:pPr>
    <w:rPr>
      <w:rFonts w:ascii="Calibri" w:hAnsi="Calibri" w:eastAsia="宋体" w:cs="Times New Roman"/>
      <w:szCs w:val="22"/>
    </w:rPr>
  </w:style>
  <w:style w:type="character" w:customStyle="1" w:styleId="34">
    <w:name w:val="标题 1 字符"/>
    <w:basedOn w:val="20"/>
    <w:link w:val="2"/>
    <w:qFormat/>
    <w:locked/>
    <w:uiPriority w:val="9"/>
    <w:rPr>
      <w:rFonts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2024年收入</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59.46</c:v>
                </c:pt>
              </c:numCache>
            </c:numRef>
          </c:val>
        </c:ser>
        <c:ser>
          <c:idx val="1"/>
          <c:order val="1"/>
          <c:tx>
            <c:strRef>
              <c:f>Sheet1!$C$1</c:f>
              <c:strCache>
                <c:ptCount val="1"/>
                <c:pt idx="0">
                  <c:v>20235年收入</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Sheet1!$C$2</c:f>
              <c:numCache>
                <c:formatCode>General</c:formatCode>
                <c:ptCount val="1"/>
                <c:pt idx="0">
                  <c:v>59.38</c:v>
                </c:pt>
              </c:numCache>
            </c:numRef>
          </c:val>
        </c:ser>
        <c:ser>
          <c:idx val="2"/>
          <c:order val="2"/>
          <c:tx>
            <c:strRef>
              <c:f>Sheet1!$D$1</c:f>
              <c:strCache>
                <c:ptCount val="1"/>
                <c:pt idx="0">
                  <c:v>2024年支出</c:v>
                </c:pt>
              </c:strCache>
            </c:strRef>
          </c:tx>
          <c:spPr>
            <a:solidFill>
              <a:schemeClr val="accent3">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Sheet1!$D$2</c:f>
              <c:numCache>
                <c:formatCode>General</c:formatCode>
                <c:ptCount val="1"/>
                <c:pt idx="0">
                  <c:v>59.46</c:v>
                </c:pt>
              </c:numCache>
            </c:numRef>
          </c:val>
        </c:ser>
        <c:ser>
          <c:idx val="3"/>
          <c:order val="3"/>
          <c:tx>
            <c:strRef>
              <c:f>Sheet1!$E$1</c:f>
              <c:strCache>
                <c:ptCount val="1"/>
                <c:pt idx="0">
                  <c:v>2025年支出</c:v>
                </c:pt>
              </c:strCache>
            </c:strRef>
          </c:tx>
          <c:spPr>
            <a:solidFill>
              <a:schemeClr val="accent4">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Sheet1!$E$2</c:f>
              <c:numCache>
                <c:formatCode>General</c:formatCode>
                <c:ptCount val="1"/>
                <c:pt idx="0">
                  <c:v>59.38</c:v>
                </c:pt>
              </c:numCache>
            </c:numRef>
          </c:val>
        </c:ser>
        <c:dLbls>
          <c:showLegendKey val="0"/>
          <c:showVal val="1"/>
          <c:showCatName val="0"/>
          <c:showSerName val="0"/>
          <c:showPercent val="0"/>
          <c:showBubbleSize val="0"/>
        </c:dLbls>
        <c:gapWidth val="150"/>
        <c:overlap val="0"/>
        <c:axId val="88349901"/>
        <c:axId val="684379481"/>
      </c:barChart>
      <c:catAx>
        <c:axId val="88349901"/>
        <c:scaling>
          <c:orientation val="minMax"/>
        </c:scaling>
        <c:delete val="0"/>
        <c:axPos val="b"/>
        <c:numFmt formatCode="General" sourceLinked="1"/>
        <c:majorTickMark val="out"/>
        <c:minorTickMark val="none"/>
        <c:tickLblPos val="low"/>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8834990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443144ff-f2d6-4fa8-809d-983ce82ed11c}"/>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Sheet1!$B$2:$B$5</c:f>
              <c:numCache>
                <c:formatCode>General</c:formatCode>
                <c:ptCount val="4"/>
                <c:pt idx="0">
                  <c:v>40.01</c:v>
                </c:pt>
                <c:pt idx="1">
                  <c:v>0</c:v>
                </c:pt>
                <c:pt idx="2">
                  <c:v>0</c:v>
                </c:pt>
                <c:pt idx="3">
                  <c:v>0</c:v>
                </c:pt>
              </c:numCache>
            </c:numRef>
          </c:val>
        </c:ser>
        <c:ser>
          <c:idx val="1"/>
          <c:order val="1"/>
          <c:tx>
            <c:strRef>
              <c:f>Sheet1!$C$1</c:f>
              <c:strCache>
                <c:ptCount val="1"/>
                <c:pt idx="0">
                  <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Sheet1!$C$2:$C$5</c:f>
              <c:numCache>
                <c:formatCode>General</c:formatCode>
                <c:ptCount val="4"/>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7179257132604"/>
          <c:y val="0.312567713976165"/>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fc234484-c98d-44c1-9fd8-d180ab77784c}"/>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基本支出</c:v>
                </c:pt>
                <c:pt idx="1">
                  <c:v>项目支出</c:v>
                </c:pt>
                <c:pt idx="2">
                  <c:v>上缴上级支出</c:v>
                </c:pt>
                <c:pt idx="3">
                  <c:v>经营支出</c:v>
                </c:pt>
              </c:strCache>
            </c:strRef>
          </c:cat>
          <c:val>
            <c:numRef>
              <c:f>Sheet1!$B$2:$B$5</c:f>
              <c:numCache>
                <c:formatCode>General</c:formatCode>
                <c:ptCount val="4"/>
                <c:pt idx="0">
                  <c:v>59.38</c:v>
                </c:pt>
                <c:pt idx="1">
                  <c:v>0</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2754491017964"/>
          <c:y val="0.35307017543859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8f64785d-9fe0-4666-9620-4b11492cf0d7}"/>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59.46</c:v>
                </c:pt>
              </c:numCache>
            </c:numRef>
          </c:val>
        </c:ser>
        <c:ser>
          <c:idx val="1"/>
          <c:order val="1"/>
          <c:tx>
            <c:strRef>
              <c:f>Sheet1!$C$1</c:f>
              <c:strCache>
                <c:ptCount val="1"/>
                <c:pt idx="0">
                  <c:v>2025年收入</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delete val="1"/>
          </c:dLbls>
          <c:cat>
            <c:strRef>
              <c:f>Sheet1!$A$2</c:f>
              <c:strCache>
                <c:ptCount val="1"/>
                <c:pt idx="0">
                  <c:v>收入支出总表（万元）</c:v>
                </c:pt>
              </c:strCache>
            </c:strRef>
          </c:cat>
          <c:val>
            <c:numRef>
              <c:f>Sheet1!$C$2</c:f>
              <c:numCache>
                <c:formatCode>General</c:formatCode>
                <c:ptCount val="1"/>
                <c:pt idx="0">
                  <c:v>59.38</c:v>
                </c:pt>
              </c:numCache>
            </c:numRef>
          </c:val>
        </c:ser>
        <c:ser>
          <c:idx val="2"/>
          <c:order val="2"/>
          <c:tx>
            <c:strRef>
              <c:f>Sheet1!$D$1</c:f>
              <c:strCache>
                <c:ptCount val="1"/>
                <c:pt idx="0">
                  <c:v>2024年支出</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delete val="1"/>
          </c:dLbls>
          <c:cat>
            <c:strRef>
              <c:f>Sheet1!$A$2</c:f>
              <c:strCache>
                <c:ptCount val="1"/>
                <c:pt idx="0">
                  <c:v>收入支出总表（万元）</c:v>
                </c:pt>
              </c:strCache>
            </c:strRef>
          </c:cat>
          <c:val>
            <c:numRef>
              <c:f>Sheet1!$D$2</c:f>
              <c:numCache>
                <c:formatCode>General</c:formatCode>
                <c:ptCount val="1"/>
                <c:pt idx="0">
                  <c:v>59.46</c:v>
                </c:pt>
              </c:numCache>
            </c:numRef>
          </c:val>
        </c:ser>
        <c:ser>
          <c:idx val="3"/>
          <c:order val="3"/>
          <c:tx>
            <c:strRef>
              <c:f>Sheet1!$E$1</c:f>
              <c:strCache>
                <c:ptCount val="1"/>
                <c:pt idx="0">
                  <c:v>2025年支出</c:v>
                </c:pt>
              </c:strCache>
            </c:strRef>
          </c:tx>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invertIfNegative val="0"/>
          <c:dLbls>
            <c:delete val="1"/>
          </c:dLbls>
          <c:cat>
            <c:strRef>
              <c:f>Sheet1!$A$2</c:f>
              <c:strCache>
                <c:ptCount val="1"/>
                <c:pt idx="0">
                  <c:v>收入支出总表（万元）</c:v>
                </c:pt>
              </c:strCache>
            </c:strRef>
          </c:cat>
          <c:val>
            <c:numRef>
              <c:f>Sheet1!$E$2</c:f>
              <c:numCache>
                <c:formatCode>General</c:formatCode>
                <c:ptCount val="1"/>
                <c:pt idx="0">
                  <c:v>59.38</c:v>
                </c:pt>
              </c:numCache>
            </c:numRef>
          </c:val>
        </c:ser>
        <c:dLbls>
          <c:showLegendKey val="0"/>
          <c:showVal val="1"/>
          <c:showCatName val="0"/>
          <c:showSerName val="0"/>
          <c:showPercent val="0"/>
          <c:showBubbleSize val="0"/>
        </c:dLbls>
        <c:gapWidth val="246"/>
        <c:overlap val="-28"/>
        <c:axId val="88349901"/>
        <c:axId val="684379481"/>
      </c:barChart>
      <c:catAx>
        <c:axId val="88349901"/>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499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4433a04-24e1-4bcc-8715-97d397466ef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Sheet1!$B$2</c:f>
              <c:numCache>
                <c:formatCode>General</c:formatCode>
                <c:ptCount val="1"/>
                <c:pt idx="0">
                  <c:v>59.46</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Sheet1!$C$2</c:f>
              <c:numCache>
                <c:formatCode>General</c:formatCode>
                <c:ptCount val="1"/>
                <c:pt idx="0">
                  <c:v>59.38</c:v>
                </c:pt>
              </c:numCache>
            </c:numRef>
          </c:val>
        </c:ser>
        <c:dLbls>
          <c:showLegendKey val="0"/>
          <c:showVal val="1"/>
          <c:showCatName val="0"/>
          <c:showSerName val="0"/>
          <c:showPercent val="0"/>
          <c:showBubbleSize val="0"/>
        </c:dLbls>
        <c:gapWidth val="150"/>
        <c:overlap val="0"/>
        <c:axId val="985116091"/>
        <c:axId val="553592947"/>
      </c:barChart>
      <c:catAx>
        <c:axId val="98511609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553592947"/>
        <c:crosses val="autoZero"/>
        <c:auto val="1"/>
        <c:lblAlgn val="ctr"/>
        <c:lblOffset val="100"/>
        <c:noMultiLvlLbl val="0"/>
      </c:catAx>
      <c:valAx>
        <c:axId val="553592947"/>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98511609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404abe0a-98b4-49cb-aee3-6f10ef4896b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sz="1200"/>
              <a:t>一般公共</a:t>
            </a:r>
            <a:r>
              <a:rPr sz="1200">
                <a:solidFill>
                  <a:schemeClr val="tx1">
                    <a:lumMod val="75000"/>
                    <a:lumOff val="25000"/>
                  </a:schemeClr>
                </a:solidFill>
                <a:uFillTx/>
              </a:rPr>
              <a:t>预算</a:t>
            </a:r>
            <a:r>
              <a:rPr sz="1200"/>
              <a:t>财政拨款支出表</a:t>
            </a:r>
            <a:endParaRPr sz="1200"/>
          </a:p>
        </c:rich>
      </c:tx>
      <c:layout>
        <c:manualLayout>
          <c:xMode val="edge"/>
          <c:yMode val="edge"/>
          <c:x val="0.106195536487314"/>
          <c:y val="0.0104675505931612"/>
        </c:manualLayout>
      </c:layout>
      <c:overlay val="0"/>
      <c:spPr>
        <a:noFill/>
        <a:ln>
          <a:noFill/>
        </a:ln>
        <a:effectLst/>
      </c:spPr>
    </c:title>
    <c:autoTitleDeleted val="0"/>
    <c:plotArea>
      <c:layout>
        <c:manualLayout>
          <c:layoutTarget val="inner"/>
          <c:xMode val="edge"/>
          <c:yMode val="edge"/>
          <c:x val="0.320644770697745"/>
          <c:y val="0.335722819593787"/>
          <c:w val="0.416225215680339"/>
          <c:h val="0.657108721624851"/>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42.41</c:v>
                </c:pt>
                <c:pt idx="1">
                  <c:v>8.72</c:v>
                </c:pt>
                <c:pt idx="2">
                  <c:v>3.33</c:v>
                </c:pt>
                <c:pt idx="3">
                  <c:v>4.92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475302889096"/>
          <c:y val="0.58548499651081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9f8d7fde-3083-43a3-ac0c-4e161bde48b1}"/>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ed3cd5a2-74f1-4c37-a87c-276d20e9e06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33</Pages>
  <Words>10597</Words>
  <Characters>11296</Characters>
  <Lines>598</Lines>
  <Paragraphs>290</Paragraphs>
  <TotalTime>25</TotalTime>
  <ScaleCrop>false</ScaleCrop>
  <LinksUpToDate>false</LinksUpToDate>
  <CharactersWithSpaces>11405</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2021-08-07T09:38:00Z</dcterms:created>
  <dc:creator>曹颖</dc:creator>
  <cp:lastModifiedBy>kylin</cp:lastModifiedBy>
  <cp:lastPrinted>2024-10-25T02:48:00Z</cp:lastPrinted>
  <dcterms:modified xsi:type="dcterms:W3CDTF">2026-10-13T16:28:52Z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8CE5529CB4F749FA84D2923E9D0E1ECA_13</vt:lpwstr>
  </property>
  <property fmtid="{D5CDD505-2E9C-101B-9397-08002B2CF9AE}" pid="4" name="KSOTemplateDocerSaveRecord">
    <vt:lpwstr>eyJoZGlkIjoiOTQxNWQ1Njc5YzhiOTcwZWNmNjAwNzM0ZDFkNmFlYjQiLCJ1c2VySWQiOiI0MTQ1NTgzMTAifQ==</vt:lpwstr>
  </property>
</Properties>
</file>