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ascii="方正小标宋简体" w:hAnsi="宋体" w:eastAsia="方正小标宋简体"/>
          <w:color w:val="000000"/>
          <w:sz w:val="72"/>
          <w:szCs w:val="72"/>
        </w:rPr>
      </w:pPr>
      <w:bookmarkStart w:id="0" w:name="_Toc15306267"/>
    </w:p>
    <w:p>
      <w:pPr>
        <w:spacing w:line="600" w:lineRule="exact"/>
        <w:jc w:val="center"/>
        <w:outlineLvl w:val="0"/>
        <w:rPr>
          <w:rFonts w:ascii="方正小标宋简体" w:hAnsi="宋体" w:eastAsia="方正小标宋简体"/>
          <w:color w:val="000000"/>
          <w:sz w:val="72"/>
          <w:szCs w:val="72"/>
        </w:rPr>
      </w:pPr>
    </w:p>
    <w:p>
      <w:pPr>
        <w:spacing w:line="600" w:lineRule="exact"/>
        <w:jc w:val="center"/>
        <w:outlineLvl w:val="0"/>
        <w:rPr>
          <w:rFonts w:ascii="方正小标宋简体" w:hAnsi="宋体" w:eastAsia="方正小标宋简体"/>
          <w:color w:val="000000"/>
          <w:sz w:val="72"/>
          <w:szCs w:val="72"/>
        </w:rPr>
      </w:pPr>
    </w:p>
    <w:p>
      <w:pPr>
        <w:jc w:val="center"/>
        <w:rPr>
          <w:rFonts w:ascii="黑体" w:hAnsi="黑体" w:eastAsia="黑体"/>
          <w:sz w:val="72"/>
          <w:szCs w:val="72"/>
        </w:rPr>
      </w:pPr>
      <w:bookmarkStart w:id="1" w:name="_Toc15377425"/>
      <w:bookmarkStart w:id="2" w:name="_Toc15378441"/>
      <w:bookmarkStart w:id="3" w:name="_Toc15396475"/>
      <w:bookmarkStart w:id="4" w:name="_Toc15396597"/>
      <w:bookmarkStart w:id="5" w:name="_Toc15377193"/>
      <w:r>
        <w:rPr>
          <w:rFonts w:ascii="黑体" w:hAnsi="黑体" w:eastAsia="黑体"/>
          <w:sz w:val="72"/>
          <w:szCs w:val="72"/>
        </w:rPr>
        <w:t>202</w:t>
      </w:r>
      <w:r>
        <w:rPr>
          <w:rFonts w:hint="eastAsia" w:ascii="黑体" w:hAnsi="黑体" w:eastAsia="黑体"/>
          <w:sz w:val="72"/>
          <w:szCs w:val="72"/>
          <w:lang w:val="en-US" w:eastAsia="zh-CN"/>
        </w:rPr>
        <w:t>5</w:t>
      </w:r>
      <w:r>
        <w:rPr>
          <w:rFonts w:hint="eastAsia" w:ascii="黑体" w:hAnsi="黑体" w:eastAsia="黑体"/>
          <w:sz w:val="72"/>
          <w:szCs w:val="72"/>
        </w:rPr>
        <w:t>年度</w:t>
      </w:r>
      <w:bookmarkEnd w:id="1"/>
      <w:bookmarkEnd w:id="2"/>
      <w:bookmarkEnd w:id="3"/>
      <w:bookmarkEnd w:id="4"/>
      <w:bookmarkEnd w:id="5"/>
    </w:p>
    <w:p>
      <w:pPr>
        <w:jc w:val="center"/>
        <w:rPr>
          <w:rFonts w:ascii="方正小标宋简体" w:eastAsia="方正小标宋简体"/>
          <w:sz w:val="72"/>
          <w:szCs w:val="72"/>
        </w:rPr>
      </w:pPr>
      <w:bookmarkStart w:id="6" w:name="_Toc15396476"/>
      <w:bookmarkStart w:id="7" w:name="_Toc15396598"/>
      <w:bookmarkStart w:id="8" w:name="_Toc15377194"/>
      <w:bookmarkStart w:id="9" w:name="_Toc15378442"/>
      <w:bookmarkStart w:id="10" w:name="_Toc15377426"/>
      <w:r>
        <w:rPr>
          <w:rFonts w:hint="eastAsia" w:ascii="方正小标宋简体" w:eastAsia="方正小标宋简体"/>
          <w:sz w:val="72"/>
          <w:szCs w:val="72"/>
        </w:rPr>
        <w:t>四川省阿坝州</w:t>
      </w:r>
      <w:bookmarkEnd w:id="0"/>
      <w:bookmarkStart w:id="11" w:name="_Toc15306268"/>
      <w:r>
        <w:rPr>
          <w:rFonts w:hint="eastAsia" w:ascii="方正小标宋简体" w:eastAsia="方正小标宋简体"/>
          <w:sz w:val="72"/>
          <w:szCs w:val="72"/>
          <w:lang w:eastAsia="zh-CN"/>
        </w:rPr>
        <w:t>小金县公务服务中心</w:t>
      </w:r>
      <w:r>
        <w:rPr>
          <w:rFonts w:hint="eastAsia" w:ascii="方正小标宋简体" w:eastAsia="方正小标宋简体"/>
          <w:sz w:val="72"/>
          <w:szCs w:val="72"/>
        </w:rPr>
        <w:t>决算</w:t>
      </w:r>
      <w:bookmarkEnd w:id="6"/>
      <w:bookmarkEnd w:id="7"/>
      <w:bookmarkEnd w:id="8"/>
      <w:bookmarkEnd w:id="9"/>
      <w:bookmarkEnd w:id="10"/>
      <w:bookmarkEnd w:id="11"/>
    </w:p>
    <w:p>
      <w:pPr>
        <w:widowControl/>
        <w:jc w:val="center"/>
        <w:rPr>
          <w:rFonts w:ascii="方正小标宋简体" w:hAnsi="宋体" w:eastAsia="方正小标宋简体"/>
          <w:color w:val="000000"/>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widowControl/>
        <w:jc w:val="center"/>
        <w:rPr>
          <w:rFonts w:hint="eastAsia" w:ascii="黑体" w:hAnsi="黑体" w:eastAsia="黑体"/>
          <w:color w:val="000000"/>
          <w:sz w:val="48"/>
          <w:szCs w:val="48"/>
        </w:rPr>
        <w:sectPr>
          <w:footerReference r:id="rId3"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黑体" w:hAnsi="黑体" w:eastAsia="黑体"/>
          <w:color w:val="000000"/>
          <w:sz w:val="48"/>
          <w:szCs w:val="48"/>
        </w:rPr>
      </w:pPr>
      <w:r>
        <w:rPr>
          <w:rFonts w:hint="eastAsia" w:ascii="黑体" w:hAnsi="黑体" w:eastAsia="黑体"/>
          <w:color w:val="000000"/>
          <w:sz w:val="48"/>
          <w:szCs w:val="48"/>
        </w:rPr>
        <w:t>目录</w:t>
      </w:r>
    </w:p>
    <w:p>
      <w:pPr>
        <w:widowControl/>
        <w:jc w:val="center"/>
        <w:rPr>
          <w:rFonts w:ascii="黑体" w:hAnsi="黑体" w:eastAsia="黑体" w:cstheme="minorBidi"/>
          <w:sz w:val="28"/>
          <w:szCs w:val="28"/>
        </w:rPr>
      </w:pPr>
    </w:p>
    <w:p>
      <w:pPr>
        <w:pStyle w:val="13"/>
        <w:tabs>
          <w:tab w:val="right" w:leader="dot" w:pos="8296"/>
        </w:tabs>
        <w:jc w:val="center"/>
      </w:pPr>
      <w:r>
        <w:rPr>
          <w:rFonts w:hint="eastAsia" w:ascii="Times New Roman" w:hAnsi="Times New Roman" w:eastAsia="宋体" w:cs="Times New Roman"/>
          <w:kern w:val="2"/>
          <w:sz w:val="24"/>
          <w:szCs w:val="24"/>
          <w:lang w:val="en-US" w:eastAsia="zh-CN" w:bidi="ar-SA"/>
        </w:rPr>
        <w:t>公开时间：202</w:t>
      </w:r>
      <w:r>
        <w:rPr>
          <w:rFonts w:hint="eastAsia" w:ascii="Times New Roman" w:eastAsia="宋体" w:cs="Times New Roman"/>
          <w:kern w:val="2"/>
          <w:sz w:val="24"/>
          <w:szCs w:val="24"/>
          <w:lang w:val="en-US" w:eastAsia="zh-CN" w:bidi="ar-SA"/>
        </w:rPr>
        <w:t>6</w:t>
      </w:r>
      <w:r>
        <w:rPr>
          <w:rFonts w:hint="eastAsia" w:ascii="Times New Roman" w:hAnsi="Times New Roman" w:eastAsia="宋体" w:cs="Times New Roman"/>
          <w:kern w:val="2"/>
          <w:sz w:val="24"/>
          <w:szCs w:val="24"/>
          <w:lang w:val="en-US" w:eastAsia="zh-CN" w:bidi="ar-SA"/>
        </w:rPr>
        <w:t>年</w:t>
      </w:r>
      <w:r>
        <w:rPr>
          <w:rFonts w:hint="eastAsia" w:ascii="Times New Roman" w:eastAsia="宋体" w:cs="Times New Roman"/>
          <w:kern w:val="2"/>
          <w:sz w:val="24"/>
          <w:szCs w:val="24"/>
          <w:lang w:val="en-US" w:eastAsia="zh-CN" w:bidi="ar-SA"/>
        </w:rPr>
        <w:t>10</w:t>
      </w:r>
      <w:r>
        <w:rPr>
          <w:rFonts w:hint="eastAsia" w:ascii="Times New Roman" w:hAnsi="Times New Roman" w:eastAsia="宋体" w:cs="Times New Roman"/>
          <w:kern w:val="2"/>
          <w:sz w:val="24"/>
          <w:szCs w:val="24"/>
          <w:lang w:val="en-US" w:eastAsia="zh-CN" w:bidi="ar-SA"/>
        </w:rPr>
        <w:t>月</w:t>
      </w:r>
      <w:r>
        <w:rPr>
          <w:rFonts w:hint="eastAsia" w:ascii="Times New Roman" w:eastAsia="宋体" w:cs="Times New Roman"/>
          <w:kern w:val="2"/>
          <w:sz w:val="24"/>
          <w:szCs w:val="24"/>
          <w:lang w:val="en-US" w:eastAsia="zh-CN" w:bidi="ar-SA"/>
        </w:rPr>
        <w:t>16</w:t>
      </w:r>
      <w:r>
        <w:rPr>
          <w:rFonts w:hint="eastAsia" w:ascii="Times New Roman" w:hAnsi="Times New Roman" w:eastAsia="宋体" w:cs="Times New Roman"/>
          <w:kern w:val="2"/>
          <w:sz w:val="24"/>
          <w:szCs w:val="24"/>
          <w:lang w:val="en-US" w:eastAsia="zh-CN" w:bidi="ar-SA"/>
        </w:rPr>
        <w:t>日</w:t>
      </w:r>
    </w:p>
    <w:p/>
    <w:p>
      <w:pPr>
        <w:pStyle w:val="13"/>
        <w:tabs>
          <w:tab w:val="right" w:leader="dot" w:pos="8296"/>
        </w:tabs>
        <w:adjustRightInd w:val="0"/>
        <w:snapToGrid w:val="0"/>
        <w:spacing w:before="0" w:line="440" w:lineRule="exact"/>
        <w:jc w:val="left"/>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第一部分 部门概况</w:t>
      </w:r>
    </w:p>
    <w:p>
      <w:pPr>
        <w:pStyle w:val="16"/>
        <w:tabs>
          <w:tab w:val="right" w:leader="dot" w:pos="8296"/>
        </w:tabs>
        <w:adjustRightInd w:val="0"/>
        <w:snapToGrid w:val="0"/>
        <w:spacing w:line="440" w:lineRule="exact"/>
        <w:jc w:val="left"/>
        <w:rPr>
          <w:rFonts w:hint="eastAsia" w:ascii="宋体" w:hAnsi="宋体" w:eastAsia="宋体" w:cs="宋体"/>
          <w:kern w:val="2"/>
          <w:sz w:val="24"/>
          <w:szCs w:val="24"/>
          <w:lang w:val="en-US" w:eastAsia="zh-CN" w:bidi="ar-SA"/>
        </w:rPr>
      </w:pPr>
      <w:r>
        <w:rPr>
          <w:rFonts w:hint="eastAsia" w:ascii="Times New Roman" w:hAnsi="Times New Roman" w:eastAsia="宋体" w:cs="Times New Roman"/>
          <w:kern w:val="2"/>
          <w:sz w:val="24"/>
          <w:szCs w:val="24"/>
          <w:lang w:val="en-US" w:eastAsia="zh-CN" w:bidi="ar-SA"/>
        </w:rPr>
        <w:t>一、基本职能及主要工作</w:t>
      </w:r>
      <w:r>
        <w:tab/>
      </w:r>
      <w:r>
        <w:rPr>
          <w:rFonts w:hint="eastAsia"/>
          <w:lang w:val="en-US" w:eastAsia="zh-CN"/>
        </w:rPr>
        <w:t>1</w:t>
      </w:r>
    </w:p>
    <w:p>
      <w:pPr>
        <w:pStyle w:val="16"/>
        <w:tabs>
          <w:tab w:val="right" w:leader="dot" w:pos="8296"/>
        </w:tabs>
        <w:adjustRightInd w:val="0"/>
        <w:snapToGrid w:val="0"/>
        <w:spacing w:line="440" w:lineRule="exact"/>
        <w:jc w:val="left"/>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二、机构设置</w:t>
      </w:r>
      <w:r>
        <w:tab/>
      </w:r>
      <w:r>
        <w:rPr>
          <w:rFonts w:hint="eastAsia"/>
          <w:lang w:val="en-US" w:eastAsia="zh-CN"/>
        </w:rPr>
        <w:t>2</w:t>
      </w:r>
    </w:p>
    <w:p>
      <w:pPr>
        <w:pStyle w:val="13"/>
        <w:tabs>
          <w:tab w:val="right" w:leader="dot" w:pos="8296"/>
        </w:tabs>
        <w:adjustRightInd w:val="0"/>
        <w:snapToGrid w:val="0"/>
        <w:spacing w:before="0" w:line="440" w:lineRule="exact"/>
        <w:jc w:val="left"/>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第二部分度部门决算情况说明</w:t>
      </w:r>
    </w:p>
    <w:p>
      <w:pPr>
        <w:pStyle w:val="16"/>
        <w:tabs>
          <w:tab w:val="right" w:leader="dot" w:pos="8296"/>
        </w:tabs>
        <w:adjustRightInd w:val="0"/>
        <w:snapToGrid w:val="0"/>
        <w:spacing w:line="440" w:lineRule="exact"/>
        <w:jc w:val="left"/>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一、收入支出决算总体情况说明</w:t>
      </w:r>
      <w:r>
        <w:tab/>
      </w:r>
      <w:r>
        <w:rPr>
          <w:rFonts w:hint="eastAsia"/>
          <w:lang w:val="en-US" w:eastAsia="zh-CN"/>
        </w:rPr>
        <w:t>3</w:t>
      </w:r>
    </w:p>
    <w:p>
      <w:pPr>
        <w:pStyle w:val="16"/>
        <w:tabs>
          <w:tab w:val="right" w:leader="dot" w:pos="8296"/>
        </w:tabs>
        <w:adjustRightInd w:val="0"/>
        <w:snapToGrid w:val="0"/>
        <w:spacing w:line="440" w:lineRule="exact"/>
        <w:jc w:val="left"/>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二、收入决算情况说明</w:t>
      </w:r>
      <w:r>
        <w:tab/>
      </w:r>
      <w:r>
        <w:rPr>
          <w:rFonts w:hint="eastAsia"/>
          <w:lang w:val="en-US" w:eastAsia="zh-CN"/>
        </w:rPr>
        <w:t>3</w:t>
      </w:r>
    </w:p>
    <w:p>
      <w:pPr>
        <w:pStyle w:val="16"/>
        <w:tabs>
          <w:tab w:val="right" w:leader="dot" w:pos="8296"/>
        </w:tabs>
        <w:adjustRightInd w:val="0"/>
        <w:snapToGrid w:val="0"/>
        <w:spacing w:line="440" w:lineRule="exact"/>
        <w:jc w:val="left"/>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三、支出决算情况说明</w:t>
      </w:r>
      <w:r>
        <w:tab/>
      </w:r>
      <w:r>
        <w:rPr>
          <w:rFonts w:hint="eastAsia"/>
          <w:lang w:val="en-US" w:eastAsia="zh-CN"/>
        </w:rPr>
        <w:t>4</w:t>
      </w:r>
    </w:p>
    <w:p>
      <w:pPr>
        <w:pStyle w:val="16"/>
        <w:tabs>
          <w:tab w:val="right" w:leader="dot" w:pos="8296"/>
        </w:tabs>
        <w:adjustRightInd w:val="0"/>
        <w:snapToGrid w:val="0"/>
        <w:spacing w:line="440" w:lineRule="exact"/>
        <w:jc w:val="left"/>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四、财政拨款收入支出决算总体情况说明</w:t>
      </w:r>
      <w:r>
        <w:tab/>
      </w:r>
      <w:r>
        <w:rPr>
          <w:rFonts w:hint="eastAsia"/>
          <w:lang w:val="en-US" w:eastAsia="zh-CN"/>
        </w:rPr>
        <w:t>4</w:t>
      </w:r>
    </w:p>
    <w:p>
      <w:pPr>
        <w:pStyle w:val="16"/>
        <w:tabs>
          <w:tab w:val="right" w:leader="dot" w:pos="8296"/>
        </w:tabs>
        <w:adjustRightInd w:val="0"/>
        <w:snapToGrid w:val="0"/>
        <w:spacing w:line="440" w:lineRule="exact"/>
        <w:jc w:val="left"/>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五、一般公共预算财政拨款支出决算情况说明</w:t>
      </w:r>
      <w:r>
        <w:tab/>
      </w:r>
      <w:r>
        <w:rPr>
          <w:rFonts w:hint="eastAsia"/>
          <w:lang w:val="en-US" w:eastAsia="zh-CN"/>
        </w:rPr>
        <w:t>5</w:t>
      </w:r>
    </w:p>
    <w:p>
      <w:pPr>
        <w:pStyle w:val="16"/>
        <w:tabs>
          <w:tab w:val="right" w:leader="dot" w:pos="8296"/>
        </w:tabs>
        <w:adjustRightInd w:val="0"/>
        <w:snapToGrid w:val="0"/>
        <w:spacing w:line="440" w:lineRule="exact"/>
        <w:jc w:val="left"/>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六、一般公共预算财政拨款基本支出决算情况说明</w:t>
      </w:r>
      <w:r>
        <w:tab/>
      </w:r>
      <w:r>
        <w:rPr>
          <w:rFonts w:hint="eastAsia"/>
          <w:lang w:val="en-US" w:eastAsia="zh-CN"/>
        </w:rPr>
        <w:t>8</w:t>
      </w:r>
    </w:p>
    <w:p>
      <w:pPr>
        <w:pStyle w:val="16"/>
        <w:tabs>
          <w:tab w:val="right" w:leader="dot" w:pos="8296"/>
        </w:tabs>
        <w:adjustRightInd w:val="0"/>
        <w:snapToGrid w:val="0"/>
        <w:spacing w:line="440" w:lineRule="exact"/>
        <w:jc w:val="left"/>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七、“三公”经费财政拨款支出决算情况说明</w:t>
      </w:r>
      <w:r>
        <w:tab/>
      </w:r>
      <w:r>
        <w:rPr>
          <w:rFonts w:hint="eastAsia"/>
          <w:lang w:val="en-US" w:eastAsia="zh-CN"/>
        </w:rPr>
        <w:t>9</w:t>
      </w:r>
    </w:p>
    <w:p>
      <w:pPr>
        <w:pStyle w:val="16"/>
        <w:tabs>
          <w:tab w:val="right" w:leader="dot" w:pos="8296"/>
        </w:tabs>
        <w:adjustRightInd w:val="0"/>
        <w:snapToGrid w:val="0"/>
        <w:spacing w:line="440" w:lineRule="exact"/>
        <w:jc w:val="left"/>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八、政府性基金预算支出决算情况说明</w:t>
      </w:r>
      <w:r>
        <w:tab/>
      </w:r>
      <w:r>
        <w:rPr>
          <w:rFonts w:hint="eastAsia"/>
          <w:lang w:val="en-US" w:eastAsia="zh-CN"/>
        </w:rPr>
        <w:t>11</w:t>
      </w:r>
    </w:p>
    <w:p>
      <w:pPr>
        <w:pStyle w:val="16"/>
        <w:tabs>
          <w:tab w:val="right" w:leader="dot" w:pos="8296"/>
        </w:tabs>
        <w:adjustRightInd w:val="0"/>
        <w:snapToGrid w:val="0"/>
        <w:spacing w:line="440" w:lineRule="exact"/>
        <w:ind w:leftChars="0"/>
        <w:jc w:val="left"/>
        <w:rPr>
          <w:rFonts w:hint="default"/>
          <w:lang w:val="en-US" w:eastAsia="zh-CN"/>
        </w:rPr>
      </w:pPr>
      <w:r>
        <w:rPr>
          <w:rFonts w:hint="eastAsia" w:ascii="Times New Roman" w:hAnsi="Times New Roman" w:eastAsia="宋体" w:cs="Times New Roman"/>
          <w:kern w:val="2"/>
          <w:sz w:val="24"/>
          <w:szCs w:val="24"/>
          <w:lang w:val="en-US" w:eastAsia="zh-CN" w:bidi="ar-SA"/>
        </w:rPr>
        <w:t>九、 国有资本经营预算支出决算情况说明</w:t>
      </w:r>
      <w:r>
        <w:tab/>
      </w:r>
      <w:r>
        <w:rPr>
          <w:rFonts w:hint="eastAsia"/>
          <w:lang w:val="en-US" w:eastAsia="zh-CN"/>
        </w:rPr>
        <w:t>11</w:t>
      </w:r>
    </w:p>
    <w:p>
      <w:pPr>
        <w:pStyle w:val="16"/>
        <w:tabs>
          <w:tab w:val="right" w:leader="dot" w:pos="8296"/>
        </w:tabs>
        <w:adjustRightInd w:val="0"/>
        <w:snapToGrid w:val="0"/>
        <w:spacing w:line="440" w:lineRule="exact"/>
        <w:ind w:leftChars="0"/>
        <w:jc w:val="left"/>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十、其他重要事项的情</w:t>
      </w:r>
      <w:r>
        <w:tab/>
      </w:r>
      <w:r>
        <w:rPr>
          <w:rFonts w:hint="eastAsia"/>
          <w:lang w:val="en-US" w:eastAsia="zh-CN"/>
        </w:rPr>
        <w:t>11</w:t>
      </w:r>
    </w:p>
    <w:p>
      <w:pPr>
        <w:pStyle w:val="13"/>
        <w:tabs>
          <w:tab w:val="right" w:leader="dot" w:pos="8296"/>
        </w:tabs>
        <w:adjustRightInd w:val="0"/>
        <w:snapToGrid w:val="0"/>
        <w:spacing w:before="0" w:line="440" w:lineRule="exact"/>
        <w:jc w:val="left"/>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第三部分 名词解释</w:t>
      </w:r>
    </w:p>
    <w:p>
      <w:pPr>
        <w:pStyle w:val="13"/>
        <w:tabs>
          <w:tab w:val="right" w:leader="dot" w:pos="8296"/>
        </w:tabs>
        <w:adjustRightInd w:val="0"/>
        <w:snapToGrid w:val="0"/>
        <w:spacing w:before="0" w:line="440" w:lineRule="exact"/>
        <w:ind w:firstLine="240" w:firstLineChars="100"/>
        <w:jc w:val="left"/>
        <w:rPr>
          <w:rFonts w:hint="default" w:ascii="Times New Roman" w:hAnsi="Times New Roman" w:eastAsia="宋体" w:cs="Times New Roman"/>
          <w:b w:val="0"/>
          <w:bCs w:val="0"/>
          <w:caps w:val="0"/>
          <w:smallCaps/>
          <w:kern w:val="2"/>
          <w:sz w:val="24"/>
          <w:szCs w:val="24"/>
          <w:lang w:val="en-US" w:eastAsia="zh-CN" w:bidi="ar-SA"/>
        </w:rPr>
      </w:pPr>
      <w:r>
        <w:rPr>
          <w:rFonts w:hint="eastAsia" w:ascii="Times New Roman" w:hAnsi="Times New Roman" w:eastAsia="宋体" w:cs="Times New Roman"/>
          <w:b w:val="0"/>
          <w:bCs w:val="0"/>
          <w:caps w:val="0"/>
          <w:smallCaps/>
          <w:kern w:val="2"/>
          <w:sz w:val="24"/>
          <w:szCs w:val="24"/>
          <w:lang w:val="en-US" w:eastAsia="zh-CN" w:bidi="ar-SA"/>
        </w:rPr>
        <w:t>一、名词解释</w:t>
      </w:r>
      <w:r>
        <w:rPr>
          <w:rFonts w:hint="eastAsia" w:ascii="Times New Roman" w:hAnsi="Times New Roman" w:eastAsia="宋体" w:cs="Times New Roman"/>
          <w:b w:val="0"/>
          <w:bCs w:val="0"/>
          <w:caps w:val="0"/>
          <w:smallCaps/>
          <w:kern w:val="2"/>
          <w:sz w:val="24"/>
          <w:szCs w:val="24"/>
          <w:lang w:val="en-US" w:eastAsia="zh-CN" w:bidi="ar-SA"/>
        </w:rPr>
        <w:tab/>
      </w:r>
      <w:r>
        <w:rPr>
          <w:rFonts w:hint="eastAsia" w:ascii="Times New Roman" w:hAnsi="Times New Roman" w:eastAsia="宋体" w:cs="Times New Roman"/>
          <w:b w:val="0"/>
          <w:bCs w:val="0"/>
          <w:caps w:val="0"/>
          <w:smallCaps/>
          <w:kern w:val="2"/>
          <w:sz w:val="24"/>
          <w:szCs w:val="24"/>
          <w:lang w:val="en-US" w:eastAsia="zh-CN" w:bidi="ar-SA"/>
        </w:rPr>
        <w:t>1</w:t>
      </w:r>
      <w:r>
        <w:rPr>
          <w:rFonts w:hint="eastAsia" w:ascii="Times New Roman" w:eastAsia="宋体" w:cs="Times New Roman"/>
          <w:b w:val="0"/>
          <w:bCs w:val="0"/>
          <w:caps w:val="0"/>
          <w:smallCaps/>
          <w:kern w:val="2"/>
          <w:sz w:val="24"/>
          <w:szCs w:val="24"/>
          <w:lang w:val="en-US" w:eastAsia="zh-CN" w:bidi="ar-SA"/>
        </w:rPr>
        <w:t>3</w:t>
      </w:r>
    </w:p>
    <w:p>
      <w:pPr>
        <w:pStyle w:val="13"/>
        <w:tabs>
          <w:tab w:val="right" w:leader="dot" w:pos="8296"/>
        </w:tabs>
        <w:adjustRightInd w:val="0"/>
        <w:snapToGrid w:val="0"/>
        <w:spacing w:before="0" w:line="440" w:lineRule="exact"/>
        <w:jc w:val="left"/>
        <w:rPr>
          <w:rFonts w:hint="default" w:ascii="Times New Roman" w:hAnsi="Times New Roman" w:eastAsia="宋体" w:cs="Times New Roman"/>
          <w:b/>
          <w:bCs/>
          <w:caps w:val="0"/>
          <w:smallCaps/>
          <w:kern w:val="2"/>
          <w:sz w:val="24"/>
          <w:szCs w:val="24"/>
          <w:lang w:val="en-US" w:eastAsia="zh-CN" w:bidi="ar-SA"/>
        </w:rPr>
      </w:pPr>
      <w:r>
        <w:rPr>
          <w:rFonts w:hint="eastAsia" w:ascii="Times New Roman" w:hAnsi="Times New Roman" w:eastAsia="宋体" w:cs="Times New Roman"/>
          <w:b/>
          <w:bCs/>
          <w:caps w:val="0"/>
          <w:smallCaps/>
          <w:kern w:val="2"/>
          <w:sz w:val="24"/>
          <w:szCs w:val="24"/>
          <w:lang w:val="en-US" w:eastAsia="zh-CN" w:bidi="ar-SA"/>
        </w:rPr>
        <w:t xml:space="preserve">第四部分 </w:t>
      </w:r>
      <w:r>
        <w:rPr>
          <w:rFonts w:hint="default" w:ascii="Times New Roman" w:hAnsi="Times New Roman" w:eastAsia="宋体" w:cs="Times New Roman"/>
          <w:b/>
          <w:bCs/>
          <w:caps w:val="0"/>
          <w:smallCaps/>
          <w:kern w:val="2"/>
          <w:sz w:val="24"/>
          <w:szCs w:val="24"/>
          <w:lang w:val="en-US" w:eastAsia="zh-CN" w:bidi="ar-SA"/>
        </w:rPr>
        <w:t>小金县</w:t>
      </w:r>
      <w:r>
        <w:rPr>
          <w:rFonts w:hint="eastAsia" w:ascii="Times New Roman" w:hAnsi="Times New Roman" w:eastAsia="宋体" w:cs="Times New Roman"/>
          <w:b/>
          <w:bCs/>
          <w:caps w:val="0"/>
          <w:smallCaps/>
          <w:kern w:val="2"/>
          <w:sz w:val="24"/>
          <w:szCs w:val="24"/>
          <w:lang w:val="en-US" w:eastAsia="zh-CN" w:bidi="ar-SA"/>
        </w:rPr>
        <w:t>机关事务管理局</w:t>
      </w:r>
      <w:r>
        <w:rPr>
          <w:rFonts w:hint="eastAsia" w:ascii="Times New Roman" w:eastAsia="宋体" w:cs="Times New Roman"/>
          <w:b/>
          <w:bCs/>
          <w:caps w:val="0"/>
          <w:smallCaps/>
          <w:kern w:val="2"/>
          <w:sz w:val="24"/>
          <w:szCs w:val="24"/>
          <w:lang w:val="en-US" w:eastAsia="zh-CN" w:bidi="ar-SA"/>
        </w:rPr>
        <w:t>2024</w:t>
      </w:r>
      <w:r>
        <w:rPr>
          <w:rFonts w:hint="default" w:ascii="Times New Roman" w:hAnsi="Times New Roman" w:eastAsia="宋体" w:cs="Times New Roman"/>
          <w:b/>
          <w:bCs/>
          <w:caps w:val="0"/>
          <w:smallCaps/>
          <w:kern w:val="2"/>
          <w:sz w:val="24"/>
          <w:szCs w:val="24"/>
          <w:lang w:val="en-US" w:eastAsia="zh-CN" w:bidi="ar-SA"/>
        </w:rPr>
        <w:t>年部门整体支出绩效评价报告</w:t>
      </w:r>
    </w:p>
    <w:p>
      <w:pPr>
        <w:pStyle w:val="16"/>
        <w:tabs>
          <w:tab w:val="right" w:leader="dot" w:pos="8296"/>
        </w:tabs>
        <w:adjustRightInd w:val="0"/>
        <w:snapToGrid w:val="0"/>
        <w:spacing w:line="440" w:lineRule="exact"/>
        <w:jc w:val="left"/>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一、</w:t>
      </w:r>
      <w:r>
        <w:rPr>
          <w:rFonts w:hint="eastAsia" w:ascii="Times New Roman" w:hAnsi="Times New Roman" w:eastAsia="宋体" w:cs="Times New Roman"/>
          <w:b w:val="0"/>
          <w:bCs w:val="0"/>
          <w:caps w:val="0"/>
          <w:smallCaps/>
          <w:kern w:val="2"/>
          <w:sz w:val="24"/>
          <w:szCs w:val="24"/>
          <w:lang w:val="en-US" w:eastAsia="zh-CN" w:bidi="ar-SA"/>
        </w:rPr>
        <w:t>部门（单位）概况</w:t>
      </w:r>
      <w:r>
        <w:tab/>
      </w:r>
      <w:r>
        <w:rPr>
          <w:rFonts w:hint="eastAsia"/>
          <w:lang w:val="en-US" w:eastAsia="zh-CN"/>
        </w:rPr>
        <w:t>16</w:t>
      </w:r>
    </w:p>
    <w:p>
      <w:pPr>
        <w:pStyle w:val="16"/>
        <w:tabs>
          <w:tab w:val="right" w:leader="dot" w:pos="8296"/>
        </w:tabs>
        <w:adjustRightInd w:val="0"/>
        <w:snapToGrid w:val="0"/>
        <w:spacing w:line="440" w:lineRule="exact"/>
        <w:jc w:val="left"/>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二、</w:t>
      </w:r>
      <w:r>
        <w:rPr>
          <w:rFonts w:hint="eastAsia" w:ascii="Times New Roman" w:hAnsi="Times New Roman" w:eastAsia="宋体" w:cs="Times New Roman"/>
          <w:b w:val="0"/>
          <w:bCs w:val="0"/>
          <w:caps w:val="0"/>
          <w:smallCaps/>
          <w:kern w:val="2"/>
          <w:sz w:val="24"/>
          <w:szCs w:val="24"/>
          <w:lang w:val="en-US" w:eastAsia="zh-CN" w:bidi="ar-SA"/>
        </w:rPr>
        <w:t>人员概况</w:t>
      </w:r>
      <w:r>
        <w:tab/>
      </w:r>
      <w:r>
        <w:rPr>
          <w:rFonts w:hint="eastAsia"/>
          <w:lang w:val="en-US" w:eastAsia="zh-CN"/>
        </w:rPr>
        <w:t>16</w:t>
      </w:r>
    </w:p>
    <w:p>
      <w:pPr>
        <w:pStyle w:val="16"/>
        <w:tabs>
          <w:tab w:val="right" w:leader="dot" w:pos="8296"/>
        </w:tabs>
        <w:adjustRightInd w:val="0"/>
        <w:snapToGrid w:val="0"/>
        <w:spacing w:line="440" w:lineRule="exact"/>
        <w:jc w:val="left"/>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三、</w:t>
      </w:r>
      <w:r>
        <w:rPr>
          <w:rFonts w:hint="eastAsia" w:ascii="Times New Roman" w:hAnsi="Times New Roman" w:eastAsia="宋体" w:cs="Times New Roman"/>
          <w:b w:val="0"/>
          <w:bCs w:val="0"/>
          <w:caps w:val="0"/>
          <w:smallCaps/>
          <w:kern w:val="2"/>
          <w:sz w:val="24"/>
          <w:szCs w:val="24"/>
          <w:lang w:val="en-US" w:eastAsia="zh-CN" w:bidi="ar-SA"/>
        </w:rPr>
        <w:t>部门整体预算绩效管理情况</w:t>
      </w:r>
      <w:r>
        <w:tab/>
      </w:r>
      <w:r>
        <w:rPr>
          <w:rFonts w:hint="eastAsia"/>
          <w:lang w:val="en-US" w:eastAsia="zh-CN"/>
        </w:rPr>
        <w:t>17</w:t>
      </w:r>
    </w:p>
    <w:p>
      <w:pPr>
        <w:pStyle w:val="16"/>
        <w:tabs>
          <w:tab w:val="right" w:leader="dot" w:pos="8296"/>
        </w:tabs>
        <w:adjustRightInd w:val="0"/>
        <w:snapToGrid w:val="0"/>
        <w:spacing w:line="440" w:lineRule="exact"/>
        <w:jc w:val="left"/>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四、</w:t>
      </w:r>
      <w:r>
        <w:rPr>
          <w:rFonts w:hint="eastAsia" w:ascii="Times New Roman" w:hAnsi="Times New Roman" w:eastAsia="宋体" w:cs="Times New Roman"/>
          <w:b w:val="0"/>
          <w:bCs w:val="0"/>
          <w:caps w:val="0"/>
          <w:smallCaps/>
          <w:kern w:val="2"/>
          <w:sz w:val="24"/>
          <w:szCs w:val="24"/>
          <w:lang w:val="en-US" w:eastAsia="zh-CN" w:bidi="ar-SA"/>
        </w:rPr>
        <w:t>评价结论及建议</w:t>
      </w:r>
      <w:r>
        <w:tab/>
      </w:r>
      <w:r>
        <w:rPr>
          <w:rFonts w:hint="eastAsia"/>
          <w:lang w:val="en-US" w:eastAsia="zh-CN"/>
        </w:rPr>
        <w:t>18</w:t>
      </w:r>
    </w:p>
    <w:p>
      <w:pPr>
        <w:rPr>
          <w:rFonts w:hint="eastAsia"/>
          <w:lang w:val="en-US" w:eastAsia="zh-CN"/>
        </w:rPr>
      </w:pPr>
    </w:p>
    <w:p>
      <w:pPr>
        <w:pStyle w:val="13"/>
        <w:tabs>
          <w:tab w:val="right" w:leader="dot" w:pos="8296"/>
        </w:tabs>
        <w:adjustRightInd w:val="0"/>
        <w:snapToGrid w:val="0"/>
        <w:spacing w:before="0" w:line="440" w:lineRule="exact"/>
        <w:jc w:val="left"/>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第</w:t>
      </w:r>
      <w:r>
        <w:rPr>
          <w:rFonts w:hint="eastAsia" w:ascii="Times New Roman" w:eastAsia="宋体" w:cs="Times New Roman"/>
          <w:kern w:val="2"/>
          <w:sz w:val="24"/>
          <w:szCs w:val="24"/>
          <w:lang w:val="en-US" w:eastAsia="zh-CN" w:bidi="ar-SA"/>
        </w:rPr>
        <w:t>五</w:t>
      </w:r>
      <w:r>
        <w:rPr>
          <w:rFonts w:hint="eastAsia" w:ascii="Times New Roman" w:hAnsi="Times New Roman" w:eastAsia="宋体" w:cs="Times New Roman"/>
          <w:kern w:val="2"/>
          <w:sz w:val="24"/>
          <w:szCs w:val="24"/>
          <w:lang w:val="en-US" w:eastAsia="zh-CN" w:bidi="ar-SA"/>
        </w:rPr>
        <w:t>部分 第五部分附表</w:t>
      </w:r>
    </w:p>
    <w:p>
      <w:pPr>
        <w:pStyle w:val="13"/>
        <w:tabs>
          <w:tab w:val="right" w:leader="dot" w:pos="8296"/>
        </w:tabs>
        <w:adjustRightInd w:val="0"/>
        <w:snapToGrid w:val="0"/>
        <w:spacing w:before="0" w:line="440" w:lineRule="exact"/>
        <w:ind w:firstLine="240" w:firstLineChars="100"/>
        <w:jc w:val="left"/>
        <w:rPr>
          <w:rFonts w:hint="default" w:ascii="Times New Roman" w:hAnsi="Times New Roman" w:eastAsia="宋体" w:cs="Times New Roman"/>
          <w:b w:val="0"/>
          <w:bCs w:val="0"/>
          <w:caps w:val="0"/>
          <w:smallCaps/>
          <w:kern w:val="2"/>
          <w:sz w:val="24"/>
          <w:szCs w:val="24"/>
          <w:lang w:val="en-US" w:eastAsia="zh-CN" w:bidi="ar-SA"/>
        </w:rPr>
      </w:pPr>
      <w:r>
        <w:rPr>
          <w:rFonts w:hint="eastAsia" w:ascii="Times New Roman" w:hAnsi="Times New Roman" w:eastAsia="宋体" w:cs="Times New Roman"/>
          <w:b w:val="0"/>
          <w:bCs w:val="0"/>
          <w:caps w:val="0"/>
          <w:smallCaps/>
          <w:kern w:val="2"/>
          <w:sz w:val="24"/>
          <w:szCs w:val="24"/>
          <w:lang w:val="en-US" w:eastAsia="zh-CN" w:bidi="ar-SA"/>
        </w:rPr>
        <w:t>一、第五部分附表</w:t>
      </w:r>
      <w:r>
        <w:rPr>
          <w:rFonts w:hint="eastAsia" w:ascii="Times New Roman" w:hAnsi="Times New Roman" w:eastAsia="宋体" w:cs="Times New Roman"/>
          <w:b w:val="0"/>
          <w:bCs w:val="0"/>
          <w:caps w:val="0"/>
          <w:smallCaps/>
          <w:kern w:val="2"/>
          <w:sz w:val="24"/>
          <w:szCs w:val="24"/>
          <w:lang w:val="en-US" w:eastAsia="zh-CN" w:bidi="ar-SA"/>
        </w:rPr>
        <w:tab/>
      </w:r>
      <w:r>
        <w:rPr>
          <w:rFonts w:hint="eastAsia" w:ascii="Times New Roman" w:eastAsia="宋体" w:cs="Times New Roman"/>
          <w:b w:val="0"/>
          <w:bCs w:val="0"/>
          <w:caps w:val="0"/>
          <w:smallCaps/>
          <w:kern w:val="2"/>
          <w:sz w:val="24"/>
          <w:szCs w:val="24"/>
          <w:lang w:val="en-US" w:eastAsia="zh-CN" w:bidi="ar-SA"/>
        </w:rPr>
        <w:t>20</w:t>
      </w:r>
    </w:p>
    <w:p>
      <w:pPr>
        <w:rPr>
          <w:rFonts w:hint="default"/>
          <w:lang w:val="en-US" w:eastAsia="zh-CN"/>
        </w:rPr>
      </w:pPr>
    </w:p>
    <w:p>
      <w:pPr>
        <w:pStyle w:val="2"/>
        <w:ind w:right="440"/>
        <w:jc w:val="center"/>
        <w:rPr>
          <w:rFonts w:hint="eastAsia" w:ascii="黑体" w:hAnsi="黑体" w:eastAsia="黑体"/>
          <w:b w:val="0"/>
          <w:color w:val="000000"/>
        </w:rPr>
        <w:sectPr>
          <w:footerReference r:id="rId5" w:type="first"/>
          <w:footerReference r:id="rId4" w:type="default"/>
          <w:pgSz w:w="11906" w:h="16838"/>
          <w:pgMar w:top="1440" w:right="1800" w:bottom="1440" w:left="1800" w:header="851" w:footer="992" w:gutter="0"/>
          <w:pgNumType w:fmt="decimal" w:start="1"/>
          <w:cols w:space="425" w:num="1"/>
          <w:titlePg/>
          <w:docGrid w:type="lines" w:linePitch="312" w:charSpace="0"/>
        </w:sectPr>
      </w:pPr>
      <w:bookmarkStart w:id="12" w:name="_Toc79163859"/>
      <w:bookmarkStart w:id="13" w:name="_Toc15377204"/>
      <w:bookmarkStart w:id="14" w:name="_Toc15377199"/>
      <w:bookmarkStart w:id="15" w:name="_Toc15396602"/>
      <w:bookmarkStart w:id="16" w:name="_Toc15378446"/>
      <w:bookmarkStart w:id="17" w:name="_Toc79163609"/>
    </w:p>
    <w:p>
      <w:pPr>
        <w:pStyle w:val="2"/>
        <w:ind w:right="440"/>
        <w:jc w:val="center"/>
        <w:rPr>
          <w:rFonts w:hint="eastAsia" w:ascii="黑体" w:hAnsi="黑体" w:eastAsia="黑体"/>
          <w:b w:val="0"/>
          <w:color w:val="000000"/>
        </w:rPr>
      </w:pPr>
      <w:r>
        <w:rPr>
          <w:rFonts w:hint="eastAsia" w:ascii="黑体" w:hAnsi="黑体" w:eastAsia="黑体"/>
          <w:b w:val="0"/>
          <w:color w:val="000000"/>
        </w:rPr>
        <w:t>第一部分 部门概况</w:t>
      </w:r>
    </w:p>
    <w:p>
      <w:pPr>
        <w:pStyle w:val="38"/>
        <w:numPr>
          <w:ilvl w:val="0"/>
          <w:numId w:val="0"/>
        </w:numPr>
        <w:spacing w:line="600" w:lineRule="exact"/>
        <w:ind w:firstLine="640" w:firstLineChars="200"/>
        <w:outlineLvl w:val="1"/>
        <w:rPr>
          <w:rFonts w:hint="eastAsia" w:ascii="黑体" w:hAnsi="黑体" w:eastAsia="黑体"/>
          <w:color w:val="000000"/>
          <w:sz w:val="32"/>
          <w:szCs w:val="32"/>
        </w:rPr>
      </w:pPr>
      <w:bookmarkStart w:id="18" w:name="_Toc15377197"/>
      <w:bookmarkStart w:id="19" w:name="_Toc15396600"/>
      <w:r>
        <w:rPr>
          <w:rFonts w:hint="eastAsia" w:ascii="黑体" w:hAnsi="黑体" w:eastAsia="黑体"/>
          <w:color w:val="000000"/>
          <w:sz w:val="32"/>
          <w:szCs w:val="32"/>
        </w:rPr>
        <w:t>一、基本职能及主要工作</w:t>
      </w:r>
      <w:bookmarkEnd w:id="18"/>
      <w:bookmarkEnd w:id="19"/>
    </w:p>
    <w:p>
      <w:pPr>
        <w:pStyle w:val="38"/>
        <w:numPr>
          <w:ilvl w:val="0"/>
          <w:numId w:val="0"/>
        </w:numPr>
        <w:spacing w:line="600" w:lineRule="exact"/>
        <w:ind w:left="640" w:leftChars="0"/>
        <w:outlineLvl w:val="1"/>
        <w:rPr>
          <w:rFonts w:hint="eastAsia" w:ascii="黑体" w:hAnsi="黑体" w:eastAsia="黑体"/>
          <w:color w:val="000000"/>
          <w:sz w:val="32"/>
          <w:szCs w:val="32"/>
        </w:rPr>
      </w:pPr>
      <w:bookmarkStart w:id="20" w:name="YS060101"/>
      <w:r>
        <w:rPr>
          <w:rFonts w:hint="eastAsia" w:ascii="黑体" w:hAnsi="黑体" w:eastAsia="黑体"/>
          <w:color w:val="000000"/>
          <w:sz w:val="32"/>
          <w:szCs w:val="32"/>
        </w:rPr>
        <w:t>一、单位情况</w:t>
      </w:r>
    </w:p>
    <w:bookmarkEnd w:id="20"/>
    <w:p>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基本情况。</w:t>
      </w:r>
    </w:p>
    <w:p>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主要职能。</w:t>
      </w:r>
    </w:p>
    <w:p>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 负责中央、省、州各级领导干部（含曾经担任） 来县的服务保障工作。</w:t>
      </w:r>
    </w:p>
    <w:p>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（二）按照有关规定，负责中央、省、州级部门派出工作组来县的服务保障工作。</w:t>
      </w:r>
    </w:p>
    <w:p>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 负责外省党政领导、 代表团赴县考察和我县党政代表团赴外省考察的协调联络和服务保障工作。</w:t>
      </w:r>
    </w:p>
    <w:p>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（四）负责县委、县政府交办的由县公务服务中心承担的接待和招商引 资事项的服务保障工作。</w:t>
      </w:r>
    </w:p>
    <w:p>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（五）按照中央八项规定和省委、省政府十项规定及其实施 细则要求， 负责联系协调有关部门承办县委、 县政府重大公务活动和大型会务的服务保障工作。</w:t>
      </w:r>
    </w:p>
    <w:p>
      <w:pPr>
        <w:snapToGrid w:val="0"/>
        <w:spacing w:line="52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（六）负责后勤保障机关食堂建设和后续管理工作。</w:t>
      </w:r>
    </w:p>
    <w:p>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（七）完成县委、 县政府交办的其他任务。</w:t>
      </w:r>
    </w:p>
    <w:p>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2．机构情况，包括当年变动情况及原因。</w:t>
      </w:r>
    </w:p>
    <w:p>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（一）综合股。负责部门日 常后勤事务工作，承担公务接待信息化建设工作，承担重大接待任务交通保障。负责中心工作人员 工资、医保等费用发放和报销工作。</w:t>
      </w:r>
    </w:p>
    <w:p>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公务服务股。负责中央、省、州各级领导干部（含曾经担任）来县的服务保障；按照有关规定负责中央、省州巡视、督查、检查、调研、考察、考核、审计等工作组来县的服务保障工作；负责外省党政代表团赴县考察的服务保障；负责县委县政府交办的由公务服务中心承担的接待和招商引资事项的服务保障；按照中央八项规定和省委、省政府十项规定及其实施细则要求，负责县委、县政府重大公务活动的服务保障工作。</w:t>
      </w:r>
    </w:p>
    <w:p>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）后勤服务股。负责后勤保障机关食堂建设和后续管理工作。</w:t>
      </w:r>
    </w:p>
    <w:p>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人员情况，包括当年变动情况及原因。</w:t>
      </w:r>
    </w:p>
    <w:p>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县公务服务中心事业编制8名。其中，主任1名 ，副主任2名,股级领导职数</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名。</w:t>
      </w:r>
    </w:p>
    <w:p>
      <w:pPr>
        <w:snapToGrid w:val="0"/>
        <w:spacing w:line="520" w:lineRule="exact"/>
        <w:ind w:firstLine="640" w:firstLineChars="200"/>
        <w:rPr>
          <w:rFonts w:hint="eastAsia" w:ascii="仿宋_GB2312" w:hAnsi="仿宋_GB2312" w:eastAsia="仿宋_GB2312" w:cs="仿宋_GB2312"/>
          <w:sz w:val="32"/>
          <w:szCs w:val="32"/>
        </w:rPr>
      </w:pPr>
      <w:bookmarkStart w:id="21" w:name="_Toc15396601"/>
      <w:bookmarkStart w:id="22" w:name="_Toc15377200"/>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当年取得的主要事业成效。</w:t>
      </w:r>
    </w:p>
    <w:p>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加强公务接待管理。严格落实中央和省、州、县有关规定，加强公务接待管理，提升接待质量。结合我县实际，与定点接待点签订定点接待协议。先后圆满完成了中央、省、州领导来我县调研，脱贫攻坚全覆盖督导组、脱贫攻坚州级验收组等一系列重要会议、活动的后勤工作任务，受到了来宾及领导的充分肯定。二是高效有序的完成了小金县</w:t>
      </w:r>
      <w:r>
        <w:rPr>
          <w:rFonts w:hint="eastAsia" w:ascii="仿宋_GB2312" w:hAnsi="仿宋_GB2312" w:eastAsia="仿宋_GB2312" w:cs="仿宋_GB2312"/>
          <w:sz w:val="32"/>
          <w:szCs w:val="32"/>
          <w:lang w:eastAsia="zh-CN"/>
        </w:rPr>
        <w:t>各大型</w:t>
      </w:r>
      <w:r>
        <w:rPr>
          <w:rFonts w:hint="eastAsia" w:ascii="仿宋_GB2312" w:hAnsi="仿宋_GB2312" w:eastAsia="仿宋_GB2312" w:cs="仿宋_GB2312"/>
          <w:sz w:val="32"/>
          <w:szCs w:val="32"/>
        </w:rPr>
        <w:t>会活动后勤服务保障组的牵头工作，积极做好各项工作的统筹协调安排，圆满完成了后勤接待、志愿者服务、食品药品安全、医疗卫生、水电通讯、物价稳控、旅游执法等后勤保障工作。</w:t>
      </w:r>
    </w:p>
    <w:p>
      <w:pPr>
        <w:snapToGrid w:val="0"/>
        <w:spacing w:line="520" w:lineRule="exact"/>
        <w:ind w:firstLine="640" w:firstLineChars="200"/>
        <w:rPr>
          <w:rFonts w:hint="eastAsia" w:ascii="仿宋_GB2312" w:hAnsi="仿宋_GB2312" w:eastAsia="仿宋_GB2312" w:cs="仿宋_GB2312"/>
          <w:sz w:val="32"/>
          <w:szCs w:val="32"/>
        </w:rPr>
      </w:pPr>
      <w:r>
        <w:rPr>
          <w:rFonts w:hint="eastAsia" w:ascii="黑体" w:hAnsi="黑体" w:eastAsia="黑体" w:cs="Times New Roman"/>
          <w:color w:val="000000"/>
          <w:kern w:val="2"/>
          <w:sz w:val="32"/>
          <w:szCs w:val="32"/>
          <w:lang w:val="en-US" w:eastAsia="zh-CN" w:bidi="ar-SA"/>
        </w:rPr>
        <w:t>二、机构设置</w:t>
      </w:r>
      <w:bookmarkEnd w:id="21"/>
      <w:bookmarkEnd w:id="22"/>
    </w:p>
    <w:p>
      <w:pPr>
        <w:snapToGrid w:val="0"/>
        <w:spacing w:line="52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小金县机关事务管理局下属二级单位0个，其中行政单位0个，参照公务员法管理的事业单位0个，其他事业单位0个。</w:t>
      </w:r>
    </w:p>
    <w:p>
      <w:pPr>
        <w:rPr>
          <w:rFonts w:hint="eastAsia"/>
        </w:rPr>
      </w:pPr>
    </w:p>
    <w:p>
      <w:pPr>
        <w:pStyle w:val="2"/>
        <w:ind w:right="440"/>
        <w:jc w:val="center"/>
        <w:rPr>
          <w:rStyle w:val="23"/>
          <w:rFonts w:ascii="黑体" w:hAnsi="黑体" w:eastAsia="黑体"/>
          <w:b w:val="0"/>
          <w:bCs w:val="0"/>
        </w:rPr>
      </w:pPr>
      <w:r>
        <w:rPr>
          <w:rFonts w:hint="eastAsia" w:ascii="黑体" w:hAnsi="黑体" w:eastAsia="黑体"/>
          <w:b w:val="0"/>
          <w:color w:val="000000"/>
        </w:rPr>
        <w:t>第二部分</w:t>
      </w:r>
      <w:r>
        <w:rPr>
          <w:rFonts w:hint="eastAsia" w:ascii="黑体" w:hAnsi="黑体" w:eastAsia="黑体"/>
          <w:color w:val="000000"/>
        </w:rPr>
        <w:t xml:space="preserve"> </w:t>
      </w:r>
      <w:r>
        <w:rPr>
          <w:rStyle w:val="23"/>
          <w:rFonts w:hint="eastAsia" w:ascii="黑体" w:hAnsi="黑体" w:eastAsia="黑体"/>
          <w:b w:val="0"/>
          <w:bCs w:val="0"/>
          <w:lang w:eastAsia="zh-CN"/>
        </w:rPr>
        <w:t>202</w:t>
      </w:r>
      <w:r>
        <w:rPr>
          <w:rStyle w:val="23"/>
          <w:rFonts w:hint="eastAsia" w:ascii="黑体" w:hAnsi="黑体" w:eastAsia="黑体"/>
          <w:b w:val="0"/>
          <w:bCs w:val="0"/>
          <w:lang w:val="en-US" w:eastAsia="zh-CN"/>
        </w:rPr>
        <w:t>5</w:t>
      </w:r>
      <w:r>
        <w:rPr>
          <w:rStyle w:val="23"/>
          <w:rFonts w:hint="eastAsia" w:ascii="黑体" w:hAnsi="黑体" w:eastAsia="黑体"/>
          <w:b w:val="0"/>
          <w:bCs w:val="0"/>
        </w:rPr>
        <w:t>年度部门决算情况说明</w:t>
      </w:r>
    </w:p>
    <w:p/>
    <w:p>
      <w:pPr>
        <w:pStyle w:val="38"/>
        <w:numPr>
          <w:ilvl w:val="0"/>
          <w:numId w:val="1"/>
        </w:numPr>
        <w:spacing w:line="600" w:lineRule="exact"/>
        <w:ind w:firstLineChars="0"/>
        <w:outlineLvl w:val="1"/>
        <w:rPr>
          <w:rStyle w:val="24"/>
          <w:rFonts w:ascii="黑体" w:hAnsi="黑体" w:eastAsia="黑体"/>
          <w:b w:val="0"/>
        </w:rPr>
      </w:pPr>
      <w:r>
        <w:rPr>
          <w:rFonts w:hint="eastAsia" w:ascii="黑体" w:hAnsi="黑体" w:eastAsia="黑体"/>
          <w:color w:val="000000"/>
          <w:sz w:val="32"/>
          <w:szCs w:val="32"/>
        </w:rPr>
        <w:t>收</w:t>
      </w:r>
      <w:r>
        <w:rPr>
          <w:rStyle w:val="24"/>
          <w:rFonts w:hint="eastAsia" w:ascii="黑体" w:hAnsi="黑体" w:eastAsia="黑体"/>
          <w:b w:val="0"/>
        </w:rPr>
        <w:t>入支出决算总体情况说明</w:t>
      </w:r>
    </w:p>
    <w:p>
      <w:pPr>
        <w:snapToGrid w:val="0"/>
        <w:spacing w:line="520" w:lineRule="exact"/>
        <w:ind w:firstLine="640" w:firstLineChars="200"/>
        <w:rPr>
          <w:rFonts w:hint="eastAsia" w:ascii="仿宋_GB2312" w:hAnsi="仿宋" w:eastAsia="仿宋_GB2312"/>
          <w:sz w:val="32"/>
          <w:szCs w:val="32"/>
          <w:lang w:eastAsia="zh-CN"/>
        </w:rPr>
      </w:pPr>
      <w:r>
        <w:rPr>
          <w:rFonts w:hint="eastAsia" w:ascii="仿宋_GB2312" w:hAnsi="仿宋" w:eastAsia="仿宋_GB2312"/>
          <w:sz w:val="32"/>
          <w:szCs w:val="32"/>
          <w:lang w:eastAsia="zh-CN"/>
        </w:rPr>
        <w:t>202</w:t>
      </w:r>
      <w:r>
        <w:rPr>
          <w:rFonts w:hint="eastAsia" w:ascii="仿宋_GB2312" w:hAnsi="仿宋" w:eastAsia="仿宋_GB2312"/>
          <w:sz w:val="32"/>
          <w:szCs w:val="32"/>
          <w:lang w:val="en-US" w:eastAsia="zh-CN"/>
        </w:rPr>
        <w:t>4</w:t>
      </w:r>
      <w:r>
        <w:rPr>
          <w:rFonts w:hint="eastAsia" w:ascii="仿宋_GB2312" w:hAnsi="仿宋" w:eastAsia="仿宋_GB2312"/>
          <w:sz w:val="32"/>
          <w:szCs w:val="32"/>
        </w:rPr>
        <w:t>年</w:t>
      </w:r>
      <w:r>
        <w:rPr>
          <w:rFonts w:hint="eastAsia" w:ascii="仿宋_GB2312" w:hAnsi="仿宋" w:eastAsia="仿宋_GB2312"/>
          <w:sz w:val="32"/>
          <w:szCs w:val="32"/>
          <w:lang w:eastAsia="zh-CN"/>
        </w:rPr>
        <w:t>收入</w:t>
      </w:r>
      <w:r>
        <w:rPr>
          <w:rFonts w:hint="eastAsia" w:ascii="仿宋_GB2312" w:hAnsi="仿宋" w:eastAsia="仿宋_GB2312"/>
          <w:sz w:val="32"/>
          <w:szCs w:val="32"/>
        </w:rPr>
        <w:t>：</w:t>
      </w:r>
      <w:r>
        <w:rPr>
          <w:rFonts w:hint="eastAsia" w:ascii="仿宋_GB2312" w:hAnsi="仿宋" w:eastAsia="仿宋_GB2312"/>
          <w:sz w:val="32"/>
          <w:szCs w:val="32"/>
          <w:lang w:val="en-US" w:eastAsia="zh-CN"/>
        </w:rPr>
        <w:t>459.51</w:t>
      </w:r>
      <w:r>
        <w:rPr>
          <w:rFonts w:hint="eastAsia" w:ascii="仿宋_GB2312" w:hAnsi="仿宋" w:eastAsia="仿宋_GB2312"/>
          <w:sz w:val="32"/>
          <w:szCs w:val="32"/>
          <w:lang w:eastAsia="zh-CN"/>
        </w:rPr>
        <w:t>万</w:t>
      </w:r>
      <w:r>
        <w:rPr>
          <w:rFonts w:hint="eastAsia" w:ascii="仿宋_GB2312" w:hAnsi="仿宋" w:eastAsia="仿宋_GB2312"/>
          <w:sz w:val="32"/>
          <w:szCs w:val="32"/>
        </w:rPr>
        <w:t>元，</w:t>
      </w:r>
      <w:r>
        <w:rPr>
          <w:rFonts w:hint="eastAsia" w:ascii="仿宋_GB2312" w:hAnsi="仿宋" w:eastAsia="仿宋_GB2312"/>
          <w:sz w:val="32"/>
          <w:szCs w:val="32"/>
          <w:lang w:eastAsia="zh-CN"/>
        </w:rPr>
        <w:t>202</w:t>
      </w:r>
      <w:r>
        <w:rPr>
          <w:rFonts w:hint="eastAsia" w:ascii="仿宋_GB2312" w:hAnsi="仿宋" w:eastAsia="仿宋_GB2312"/>
          <w:sz w:val="32"/>
          <w:szCs w:val="32"/>
          <w:lang w:val="en-US" w:eastAsia="zh-CN"/>
        </w:rPr>
        <w:t>5</w:t>
      </w:r>
      <w:r>
        <w:rPr>
          <w:rFonts w:hint="eastAsia" w:ascii="仿宋_GB2312" w:hAnsi="仿宋" w:eastAsia="仿宋_GB2312"/>
          <w:sz w:val="32"/>
          <w:szCs w:val="32"/>
        </w:rPr>
        <w:t>年</w:t>
      </w:r>
      <w:r>
        <w:rPr>
          <w:rFonts w:hint="eastAsia" w:ascii="仿宋_GB2312" w:hAnsi="仿宋" w:eastAsia="仿宋_GB2312"/>
          <w:sz w:val="32"/>
          <w:szCs w:val="32"/>
          <w:lang w:eastAsia="zh-CN"/>
        </w:rPr>
        <w:t>收入：</w:t>
      </w:r>
      <w:r>
        <w:rPr>
          <w:rFonts w:hint="eastAsia" w:ascii="仿宋_GB2312" w:hAnsi="仿宋" w:eastAsia="仿宋_GB2312"/>
          <w:sz w:val="32"/>
          <w:szCs w:val="32"/>
          <w:lang w:val="en-US" w:eastAsia="zh-CN"/>
        </w:rPr>
        <w:t>196.96万</w:t>
      </w:r>
      <w:r>
        <w:rPr>
          <w:rFonts w:hint="eastAsia" w:ascii="仿宋_GB2312" w:hAnsi="仿宋" w:eastAsia="仿宋_GB2312"/>
          <w:sz w:val="32"/>
          <w:szCs w:val="32"/>
        </w:rPr>
        <w:t>元，比上年</w:t>
      </w:r>
      <w:r>
        <w:rPr>
          <w:rFonts w:hint="eastAsia" w:ascii="仿宋_GB2312" w:hAnsi="仿宋" w:eastAsia="仿宋_GB2312"/>
          <w:sz w:val="32"/>
          <w:szCs w:val="32"/>
          <w:lang w:val="en-US" w:eastAsia="zh-CN"/>
        </w:rPr>
        <w:t>减少262.55万</w:t>
      </w:r>
      <w:r>
        <w:rPr>
          <w:rFonts w:hint="eastAsia" w:ascii="仿宋_GB2312" w:hAnsi="仿宋" w:eastAsia="仿宋_GB2312"/>
          <w:sz w:val="32"/>
          <w:szCs w:val="32"/>
        </w:rPr>
        <w:t>元</w:t>
      </w:r>
      <w:r>
        <w:rPr>
          <w:rFonts w:hint="eastAsia" w:ascii="仿宋_GB2312" w:hAnsi="仿宋" w:eastAsia="仿宋_GB2312"/>
          <w:sz w:val="32"/>
          <w:szCs w:val="32"/>
          <w:lang w:eastAsia="zh-CN"/>
        </w:rPr>
        <w:t>，</w:t>
      </w:r>
      <w:r>
        <w:rPr>
          <w:rFonts w:hint="eastAsia" w:ascii="仿宋" w:hAnsi="仿宋" w:eastAsia="仿宋"/>
          <w:color w:val="000000"/>
          <w:sz w:val="32"/>
          <w:szCs w:val="32"/>
          <w:lang w:eastAsia="zh-CN"/>
        </w:rPr>
        <w:t>同比</w:t>
      </w:r>
      <w:r>
        <w:rPr>
          <w:rFonts w:hint="eastAsia" w:ascii="仿宋" w:hAnsi="仿宋" w:eastAsia="仿宋"/>
          <w:color w:val="000000"/>
          <w:sz w:val="32"/>
          <w:szCs w:val="32"/>
          <w:lang w:val="en-US" w:eastAsia="zh-CN"/>
        </w:rPr>
        <w:t>减少</w:t>
      </w:r>
      <w:r>
        <w:rPr>
          <w:rFonts w:hint="eastAsia" w:ascii="仿宋_GB2312" w:hAnsi="仿宋_GB2312" w:eastAsia="仿宋_GB2312" w:cs="仿宋_GB2312"/>
          <w:sz w:val="32"/>
          <w:szCs w:val="32"/>
          <w:lang w:val="en-US" w:eastAsia="zh-CN"/>
        </w:rPr>
        <w:t>57.14%，</w:t>
      </w:r>
      <w:r>
        <w:rPr>
          <w:rFonts w:hint="eastAsia" w:ascii="仿宋_GB2312" w:hAnsi="仿宋" w:eastAsia="仿宋_GB2312"/>
          <w:sz w:val="32"/>
          <w:szCs w:val="32"/>
          <w:lang w:eastAsia="zh-CN"/>
        </w:rPr>
        <w:t>主要是因为</w:t>
      </w:r>
      <w:r>
        <w:rPr>
          <w:rFonts w:hint="eastAsia" w:ascii="仿宋_GB2312" w:hAnsi="仿宋" w:eastAsia="仿宋_GB2312"/>
          <w:sz w:val="32"/>
          <w:szCs w:val="32"/>
          <w:lang w:val="en-US" w:eastAsia="zh-CN"/>
        </w:rPr>
        <w:t>2025年无委托业务费及公务接待费大量减少</w:t>
      </w:r>
      <w:r>
        <w:rPr>
          <w:rFonts w:hint="eastAsia" w:ascii="仿宋_GB2312" w:hAnsi="仿宋" w:eastAsia="仿宋_GB2312"/>
          <w:sz w:val="32"/>
          <w:szCs w:val="32"/>
          <w:lang w:eastAsia="zh-CN"/>
        </w:rPr>
        <w:t>。</w:t>
      </w:r>
    </w:p>
    <w:p>
      <w:pPr>
        <w:snapToGrid w:val="0"/>
        <w:spacing w:line="520" w:lineRule="exact"/>
        <w:ind w:firstLine="640" w:firstLineChars="200"/>
        <w:rPr>
          <w:rFonts w:hint="eastAsia" w:ascii="仿宋_GB2312" w:hAnsi="仿宋" w:eastAsia="仿宋_GB2312"/>
          <w:sz w:val="32"/>
          <w:szCs w:val="32"/>
          <w:lang w:eastAsia="zh-CN"/>
        </w:rPr>
      </w:pPr>
      <w:r>
        <w:rPr>
          <w:rFonts w:hint="eastAsia" w:ascii="仿宋_GB2312" w:hAnsi="仿宋" w:eastAsia="仿宋_GB2312"/>
          <w:sz w:val="32"/>
          <w:szCs w:val="32"/>
          <w:lang w:val="en-US" w:eastAsia="zh-CN"/>
        </w:rPr>
        <w:t>2024年</w:t>
      </w:r>
      <w:r>
        <w:rPr>
          <w:rFonts w:hint="eastAsia" w:ascii="仿宋_GB2312" w:hAnsi="仿宋" w:eastAsia="仿宋_GB2312"/>
          <w:sz w:val="32"/>
          <w:szCs w:val="32"/>
        </w:rPr>
        <w:t>支出：</w:t>
      </w:r>
      <w:r>
        <w:rPr>
          <w:rFonts w:hint="eastAsia" w:ascii="仿宋_GB2312" w:hAnsi="仿宋" w:eastAsia="仿宋_GB2312"/>
          <w:sz w:val="32"/>
          <w:szCs w:val="32"/>
          <w:lang w:val="en-US" w:eastAsia="zh-CN"/>
        </w:rPr>
        <w:t>459.51万</w:t>
      </w:r>
      <w:r>
        <w:rPr>
          <w:rFonts w:hint="eastAsia" w:ascii="仿宋_GB2312" w:hAnsi="仿宋" w:eastAsia="仿宋_GB2312"/>
          <w:sz w:val="32"/>
          <w:szCs w:val="32"/>
        </w:rPr>
        <w:t>元。</w:t>
      </w:r>
      <w:r>
        <w:rPr>
          <w:rFonts w:hint="eastAsia" w:ascii="仿宋_GB2312" w:hAnsi="仿宋" w:eastAsia="仿宋_GB2312"/>
          <w:sz w:val="32"/>
          <w:szCs w:val="32"/>
          <w:lang w:val="en-US" w:eastAsia="zh-CN"/>
        </w:rPr>
        <w:t>2025</w:t>
      </w:r>
      <w:r>
        <w:rPr>
          <w:rFonts w:hint="eastAsia" w:ascii="仿宋_GB2312" w:hAnsi="仿宋" w:eastAsia="仿宋_GB2312"/>
          <w:sz w:val="32"/>
          <w:szCs w:val="32"/>
        </w:rPr>
        <w:t>年支出：</w:t>
      </w:r>
      <w:r>
        <w:rPr>
          <w:rFonts w:hint="eastAsia" w:ascii="仿宋_GB2312" w:hAnsi="仿宋" w:eastAsia="仿宋_GB2312"/>
          <w:sz w:val="32"/>
          <w:szCs w:val="32"/>
          <w:lang w:val="en-US" w:eastAsia="zh-CN"/>
        </w:rPr>
        <w:t>196.96</w:t>
      </w:r>
      <w:r>
        <w:rPr>
          <w:rFonts w:hint="eastAsia" w:ascii="仿宋_GB2312" w:hAnsi="仿宋" w:eastAsia="仿宋_GB2312"/>
          <w:sz w:val="32"/>
          <w:szCs w:val="32"/>
          <w:lang w:eastAsia="zh-CN"/>
        </w:rPr>
        <w:t>万元，</w:t>
      </w:r>
      <w:r>
        <w:rPr>
          <w:rFonts w:hint="eastAsia" w:ascii="仿宋_GB2312" w:hAnsi="仿宋" w:eastAsia="仿宋_GB2312"/>
          <w:sz w:val="32"/>
          <w:szCs w:val="32"/>
        </w:rPr>
        <w:t>比上年</w:t>
      </w:r>
      <w:r>
        <w:rPr>
          <w:rFonts w:hint="eastAsia" w:ascii="仿宋_GB2312" w:hAnsi="仿宋" w:eastAsia="仿宋_GB2312"/>
          <w:sz w:val="32"/>
          <w:szCs w:val="32"/>
          <w:lang w:val="en-US" w:eastAsia="zh-CN"/>
        </w:rPr>
        <w:t>减少262.55万</w:t>
      </w:r>
      <w:r>
        <w:rPr>
          <w:rFonts w:hint="eastAsia" w:ascii="仿宋_GB2312" w:hAnsi="仿宋" w:eastAsia="仿宋_GB2312"/>
          <w:sz w:val="32"/>
          <w:szCs w:val="32"/>
        </w:rPr>
        <w:t>元</w:t>
      </w:r>
      <w:r>
        <w:rPr>
          <w:rFonts w:hint="eastAsia" w:ascii="仿宋_GB2312" w:hAnsi="仿宋" w:eastAsia="仿宋_GB2312"/>
          <w:sz w:val="32"/>
          <w:szCs w:val="32"/>
          <w:lang w:eastAsia="zh-CN"/>
        </w:rPr>
        <w:t>，</w:t>
      </w:r>
      <w:r>
        <w:rPr>
          <w:rFonts w:hint="eastAsia" w:ascii="仿宋" w:hAnsi="仿宋" w:eastAsia="仿宋"/>
          <w:color w:val="000000"/>
          <w:sz w:val="32"/>
          <w:szCs w:val="32"/>
          <w:lang w:eastAsia="zh-CN"/>
        </w:rPr>
        <w:t>同比</w:t>
      </w:r>
      <w:r>
        <w:rPr>
          <w:rFonts w:hint="eastAsia" w:ascii="仿宋" w:hAnsi="仿宋" w:eastAsia="仿宋"/>
          <w:color w:val="000000"/>
          <w:sz w:val="32"/>
          <w:szCs w:val="32"/>
          <w:lang w:val="en-US" w:eastAsia="zh-CN"/>
        </w:rPr>
        <w:t>减少</w:t>
      </w:r>
      <w:r>
        <w:rPr>
          <w:rFonts w:hint="eastAsia" w:ascii="仿宋_GB2312" w:hAnsi="仿宋_GB2312" w:eastAsia="仿宋_GB2312" w:cs="仿宋_GB2312"/>
          <w:sz w:val="32"/>
          <w:szCs w:val="32"/>
          <w:lang w:val="en-US" w:eastAsia="zh-CN"/>
        </w:rPr>
        <w:t>57.14%，</w:t>
      </w:r>
      <w:r>
        <w:rPr>
          <w:rFonts w:hint="eastAsia" w:ascii="仿宋_GB2312" w:hAnsi="仿宋" w:eastAsia="仿宋_GB2312"/>
          <w:sz w:val="32"/>
          <w:szCs w:val="32"/>
          <w:lang w:eastAsia="zh-CN"/>
        </w:rPr>
        <w:t>主要是因为</w:t>
      </w:r>
      <w:r>
        <w:rPr>
          <w:rFonts w:hint="eastAsia" w:ascii="仿宋_GB2312" w:hAnsi="仿宋" w:eastAsia="仿宋_GB2312"/>
          <w:sz w:val="32"/>
          <w:szCs w:val="32"/>
          <w:lang w:val="en-US" w:eastAsia="zh-CN"/>
        </w:rPr>
        <w:t>2025年无委托业务费及公务接待费大量减少</w:t>
      </w:r>
      <w:r>
        <w:rPr>
          <w:rFonts w:hint="eastAsia" w:ascii="仿宋_GB2312" w:hAnsi="仿宋" w:eastAsia="仿宋_GB2312"/>
          <w:sz w:val="32"/>
          <w:szCs w:val="32"/>
          <w:lang w:eastAsia="zh-CN"/>
        </w:rPr>
        <w:t>。</w:t>
      </w:r>
    </w:p>
    <w:p>
      <w:pPr>
        <w:snapToGrid w:val="0"/>
        <w:spacing w:line="520" w:lineRule="exact"/>
        <w:ind w:firstLine="640" w:firstLineChars="200"/>
        <w:rPr>
          <w:rFonts w:hint="eastAsia" w:ascii="仿宋_GB2312" w:hAnsi="仿宋" w:eastAsia="仿宋_GB2312"/>
          <w:sz w:val="32"/>
          <w:szCs w:val="32"/>
          <w:lang w:eastAsia="zh-CN"/>
        </w:rPr>
      </w:pPr>
    </w:p>
    <w:p>
      <w:pPr>
        <w:snapToGrid w:val="0"/>
        <w:spacing w:line="520" w:lineRule="exact"/>
        <w:ind w:firstLine="640" w:firstLineChars="200"/>
        <w:rPr>
          <w:rFonts w:hint="eastAsia" w:ascii="仿宋_GB2312" w:hAnsi="仿宋" w:eastAsia="仿宋_GB2312"/>
          <w:sz w:val="32"/>
          <w:szCs w:val="32"/>
          <w:lang w:eastAsia="zh-CN"/>
        </w:rPr>
      </w:pPr>
    </w:p>
    <w:p>
      <w:pPr>
        <w:spacing w:line="600" w:lineRule="exact"/>
        <w:ind w:firstLine="640" w:firstLineChars="20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（图</w:t>
      </w:r>
      <w:r>
        <w:rPr>
          <w:rFonts w:ascii="仿宋" w:hAnsi="仿宋" w:eastAsia="仿宋"/>
          <w:color w:val="000000" w:themeColor="text1"/>
          <w:sz w:val="32"/>
          <w:szCs w:val="32"/>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：收、支决算总计变动情况图）</w:t>
      </w:r>
    </w:p>
    <w:p>
      <w:pPr>
        <w:snapToGrid w:val="0"/>
        <w:spacing w:line="520" w:lineRule="exact"/>
        <w:rPr>
          <w:rFonts w:hint="eastAsia" w:ascii="仿宋_GB2312" w:hAnsi="仿宋_GB2312" w:eastAsia="仿宋_GB2312" w:cs="仿宋_GB2312"/>
          <w:sz w:val="32"/>
          <w:szCs w:val="32"/>
          <w:lang w:val="en-US" w:eastAsia="zh-CN"/>
        </w:rPr>
      </w:pPr>
    </w:p>
    <w:p>
      <w:pPr>
        <w:snapToGrid w:val="0"/>
        <w:spacing w:line="520" w:lineRule="exact"/>
        <w:rPr>
          <w:rFonts w:hint="eastAsia" w:ascii="仿宋_GB2312" w:hAnsi="仿宋_GB2312" w:eastAsia="仿宋_GB2312" w:cs="仿宋_GB2312"/>
          <w:sz w:val="32"/>
          <w:szCs w:val="32"/>
          <w:lang w:eastAsia="zh-CN"/>
        </w:rPr>
      </w:pPr>
      <w:r>
        <w:rPr>
          <w:rFonts w:hint="eastAsia" w:ascii="仿宋_GB2312" w:eastAsia="仿宋_GB2312"/>
          <w:color w:val="000000"/>
          <w:sz w:val="32"/>
          <w:szCs w:val="32"/>
          <w:lang w:eastAsia="zh-CN"/>
        </w:rPr>
        <w:drawing>
          <wp:anchor distT="0" distB="0" distL="114300" distR="114300" simplePos="0" relativeHeight="251659264" behindDoc="0" locked="0" layoutInCell="1" allowOverlap="1">
            <wp:simplePos x="0" y="0"/>
            <wp:positionH relativeFrom="column">
              <wp:posOffset>-8255</wp:posOffset>
            </wp:positionH>
            <wp:positionV relativeFrom="page">
              <wp:posOffset>5607685</wp:posOffset>
            </wp:positionV>
            <wp:extent cx="5080000" cy="3810000"/>
            <wp:effectExtent l="4445" t="4445" r="20955" b="14605"/>
            <wp:wrapTopAndBottom/>
            <wp:docPr id="8" name="图表 8" title="收入支出决算总体情表"/>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38"/>
        <w:numPr>
          <w:ilvl w:val="0"/>
          <w:numId w:val="1"/>
        </w:numPr>
        <w:spacing w:line="600" w:lineRule="exact"/>
        <w:ind w:firstLineChars="0"/>
        <w:outlineLvl w:val="1"/>
        <w:rPr>
          <w:rStyle w:val="24"/>
          <w:rFonts w:ascii="黑体" w:hAnsi="黑体" w:eastAsia="黑体"/>
          <w:b w:val="0"/>
        </w:rPr>
      </w:pPr>
      <w:r>
        <w:rPr>
          <w:rFonts w:hint="eastAsia" w:ascii="黑体" w:hAnsi="黑体" w:eastAsia="黑体"/>
          <w:color w:val="000000"/>
          <w:sz w:val="32"/>
          <w:szCs w:val="32"/>
        </w:rPr>
        <w:t>收</w:t>
      </w:r>
      <w:r>
        <w:rPr>
          <w:rStyle w:val="24"/>
          <w:rFonts w:hint="eastAsia" w:ascii="黑体" w:hAnsi="黑体" w:eastAsia="黑体"/>
          <w:b w:val="0"/>
        </w:rPr>
        <w:t>入决算情况说明</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年本年收入合计</w:t>
      </w:r>
      <w:r>
        <w:rPr>
          <w:rFonts w:hint="eastAsia" w:ascii="仿宋_GB2312" w:hAnsi="仿宋" w:eastAsia="仿宋_GB2312"/>
          <w:sz w:val="32"/>
          <w:szCs w:val="32"/>
          <w:lang w:val="en-US" w:eastAsia="zh-CN"/>
        </w:rPr>
        <w:t>196.96万</w:t>
      </w:r>
      <w:r>
        <w:rPr>
          <w:rFonts w:hint="eastAsia" w:ascii="仿宋_GB2312" w:hAnsi="仿宋" w:eastAsia="仿宋_GB2312"/>
          <w:sz w:val="32"/>
          <w:szCs w:val="32"/>
        </w:rPr>
        <w:t>元</w:t>
      </w:r>
      <w:r>
        <w:rPr>
          <w:rFonts w:hint="eastAsia" w:ascii="仿宋" w:hAnsi="仿宋" w:eastAsia="仿宋"/>
          <w:color w:val="000000"/>
          <w:sz w:val="32"/>
          <w:szCs w:val="32"/>
        </w:rPr>
        <w:t>，其中：一般公共预算财政拨款收入</w:t>
      </w:r>
      <w:r>
        <w:rPr>
          <w:rFonts w:hint="eastAsia" w:ascii="仿宋_GB2312" w:hAnsi="仿宋" w:eastAsia="仿宋_GB2312"/>
          <w:sz w:val="32"/>
          <w:szCs w:val="32"/>
          <w:lang w:val="en-US" w:eastAsia="zh-CN"/>
        </w:rPr>
        <w:t>196.96万</w:t>
      </w:r>
      <w:r>
        <w:rPr>
          <w:rFonts w:hint="eastAsia" w:ascii="仿宋_GB2312" w:hAnsi="仿宋" w:eastAsia="仿宋_GB2312"/>
          <w:sz w:val="32"/>
          <w:szCs w:val="32"/>
        </w:rPr>
        <w:t>元</w:t>
      </w:r>
      <w:r>
        <w:rPr>
          <w:rFonts w:hint="eastAsia" w:ascii="仿宋" w:hAnsi="仿宋" w:eastAsia="仿宋"/>
          <w:color w:val="000000"/>
          <w:sz w:val="32"/>
          <w:szCs w:val="32"/>
        </w:rPr>
        <w:t>，占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w:t>
      </w:r>
    </w:p>
    <w:p>
      <w:pPr>
        <w:snapToGrid w:val="0"/>
        <w:spacing w:line="520" w:lineRule="exact"/>
        <w:ind w:firstLine="640" w:firstLineChars="200"/>
        <w:rPr>
          <w:rFonts w:hint="default" w:ascii="仿宋_GB2312" w:hAnsi="仿宋_GB2312" w:eastAsia="仿宋_GB2312" w:cs="仿宋_GB2312"/>
          <w:sz w:val="32"/>
          <w:szCs w:val="32"/>
          <w:lang w:val="en-US" w:eastAsia="zh-CN"/>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年本年收入合计</w:t>
      </w:r>
      <w:r>
        <w:rPr>
          <w:rFonts w:hint="eastAsia" w:ascii="仿宋_GB2312" w:hAnsi="仿宋" w:eastAsia="仿宋_GB2312"/>
          <w:sz w:val="32"/>
          <w:szCs w:val="32"/>
          <w:lang w:val="en-US" w:eastAsia="zh-CN"/>
        </w:rPr>
        <w:t>196.96万</w:t>
      </w:r>
      <w:r>
        <w:rPr>
          <w:rFonts w:hint="eastAsia" w:ascii="仿宋_GB2312" w:hAnsi="仿宋" w:eastAsia="仿宋_GB2312"/>
          <w:sz w:val="32"/>
          <w:szCs w:val="32"/>
        </w:rPr>
        <w:t>元</w:t>
      </w:r>
      <w:r>
        <w:rPr>
          <w:rFonts w:hint="eastAsia" w:ascii="仿宋" w:hAnsi="仿宋" w:eastAsia="仿宋"/>
          <w:color w:val="000000"/>
          <w:sz w:val="32"/>
          <w:szCs w:val="32"/>
        </w:rPr>
        <w:t>，其中：一般公共预算财政拨款</w:t>
      </w:r>
      <w:r>
        <w:rPr>
          <w:rFonts w:hint="eastAsia" w:ascii="仿宋_GB2312" w:hAnsi="仿宋" w:eastAsia="仿宋_GB2312"/>
          <w:sz w:val="32"/>
          <w:szCs w:val="32"/>
          <w:lang w:val="en-US" w:eastAsia="zh-CN"/>
        </w:rPr>
        <w:t>196.96万</w:t>
      </w:r>
      <w:r>
        <w:rPr>
          <w:rFonts w:hint="eastAsia" w:ascii="仿宋_GB2312" w:hAnsi="仿宋" w:eastAsia="仿宋_GB2312"/>
          <w:sz w:val="32"/>
          <w:szCs w:val="32"/>
        </w:rPr>
        <w:t>元</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_GB2312" w:hAnsi="仿宋" w:eastAsia="仿宋_GB2312"/>
          <w:sz w:val="32"/>
          <w:szCs w:val="32"/>
        </w:rPr>
        <w:t>比上年</w:t>
      </w:r>
      <w:r>
        <w:rPr>
          <w:rFonts w:hint="eastAsia" w:ascii="仿宋_GB2312" w:hAnsi="仿宋" w:eastAsia="仿宋_GB2312"/>
          <w:sz w:val="32"/>
          <w:szCs w:val="32"/>
          <w:lang w:val="en-US" w:eastAsia="zh-CN"/>
        </w:rPr>
        <w:t>减少262.55万</w:t>
      </w:r>
      <w:r>
        <w:rPr>
          <w:rFonts w:hint="eastAsia" w:ascii="仿宋_GB2312" w:hAnsi="仿宋" w:eastAsia="仿宋_GB2312"/>
          <w:sz w:val="32"/>
          <w:szCs w:val="32"/>
        </w:rPr>
        <w:t>元</w:t>
      </w:r>
      <w:r>
        <w:rPr>
          <w:rFonts w:hint="eastAsia" w:ascii="仿宋_GB2312" w:hAnsi="仿宋" w:eastAsia="仿宋_GB2312"/>
          <w:sz w:val="32"/>
          <w:szCs w:val="32"/>
          <w:lang w:eastAsia="zh-CN"/>
        </w:rPr>
        <w:t>，</w:t>
      </w:r>
      <w:r>
        <w:rPr>
          <w:rFonts w:hint="eastAsia" w:ascii="仿宋" w:hAnsi="仿宋" w:eastAsia="仿宋"/>
          <w:color w:val="000000"/>
          <w:sz w:val="32"/>
          <w:szCs w:val="32"/>
          <w:lang w:eastAsia="zh-CN"/>
        </w:rPr>
        <w:t>同比</w:t>
      </w:r>
      <w:r>
        <w:rPr>
          <w:rFonts w:hint="eastAsia" w:ascii="仿宋" w:hAnsi="仿宋" w:eastAsia="仿宋"/>
          <w:color w:val="000000"/>
          <w:sz w:val="32"/>
          <w:szCs w:val="32"/>
          <w:lang w:val="en-US" w:eastAsia="zh-CN"/>
        </w:rPr>
        <w:t>减少</w:t>
      </w:r>
      <w:r>
        <w:rPr>
          <w:rFonts w:hint="eastAsia" w:ascii="仿宋_GB2312" w:hAnsi="仿宋_GB2312" w:eastAsia="仿宋_GB2312" w:cs="仿宋_GB2312"/>
          <w:sz w:val="32"/>
          <w:szCs w:val="32"/>
          <w:lang w:val="en-US" w:eastAsia="zh-CN"/>
        </w:rPr>
        <w:t>57.14%</w:t>
      </w:r>
      <w:r>
        <w:rPr>
          <w:rFonts w:hint="eastAsia" w:ascii="仿宋_GB2312" w:hAnsi="仿宋" w:eastAsia="仿宋_GB2312"/>
          <w:sz w:val="32"/>
          <w:szCs w:val="32"/>
          <w:lang w:eastAsia="zh-CN"/>
        </w:rPr>
        <w:t>。</w:t>
      </w:r>
    </w:p>
    <w:p>
      <w:pPr>
        <w:pStyle w:val="38"/>
        <w:keepNext w:val="0"/>
        <w:keepLines w:val="0"/>
        <w:pageBreakBefore w:val="0"/>
        <w:widowControl w:val="0"/>
        <w:numPr>
          <w:ilvl w:val="0"/>
          <w:numId w:val="0"/>
        </w:numPr>
        <w:kinsoku/>
        <w:wordWrap/>
        <w:overflowPunct/>
        <w:topLinePunct w:val="0"/>
        <w:autoSpaceDE/>
        <w:autoSpaceDN/>
        <w:bidi w:val="0"/>
        <w:adjustRightInd/>
        <w:spacing w:line="570" w:lineRule="exact"/>
        <w:ind w:left="640" w:leftChars="0"/>
        <w:textAlignment w:val="auto"/>
        <w:outlineLvl w:val="1"/>
        <w:rPr>
          <w:rStyle w:val="24"/>
          <w:rFonts w:ascii="黑体" w:hAnsi="黑体" w:eastAsia="黑体"/>
          <w:b w:val="0"/>
        </w:rPr>
      </w:pPr>
      <w:r>
        <w:rPr>
          <w:rFonts w:hint="eastAsia" w:ascii="黑体" w:hAnsi="黑体" w:eastAsia="黑体"/>
          <w:color w:val="000000"/>
          <w:sz w:val="32"/>
          <w:szCs w:val="32"/>
          <w:lang w:eastAsia="zh-CN"/>
        </w:rPr>
        <w:t>三、</w:t>
      </w:r>
      <w:r>
        <w:rPr>
          <w:rFonts w:hint="eastAsia" w:ascii="黑体" w:hAnsi="黑体" w:eastAsia="黑体"/>
          <w:color w:val="000000"/>
          <w:sz w:val="32"/>
          <w:szCs w:val="32"/>
        </w:rPr>
        <w:t>支</w:t>
      </w:r>
      <w:r>
        <w:rPr>
          <w:rStyle w:val="24"/>
          <w:rFonts w:hint="eastAsia" w:ascii="黑体" w:hAnsi="黑体" w:eastAsia="黑体"/>
          <w:b w:val="0"/>
        </w:rPr>
        <w:t>出决算情况说明</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年本年</w:t>
      </w:r>
      <w:r>
        <w:rPr>
          <w:rFonts w:hint="eastAsia" w:ascii="仿宋" w:hAnsi="仿宋" w:eastAsia="仿宋"/>
          <w:color w:val="000000"/>
          <w:sz w:val="32"/>
          <w:szCs w:val="32"/>
          <w:lang w:eastAsia="zh-CN"/>
        </w:rPr>
        <w:t>支出</w:t>
      </w:r>
      <w:r>
        <w:rPr>
          <w:rFonts w:hint="eastAsia" w:ascii="仿宋" w:hAnsi="仿宋" w:eastAsia="仿宋"/>
          <w:color w:val="000000"/>
          <w:sz w:val="32"/>
          <w:szCs w:val="32"/>
        </w:rPr>
        <w:t>合计</w:t>
      </w:r>
      <w:r>
        <w:rPr>
          <w:rFonts w:hint="eastAsia" w:ascii="仿宋_GB2312" w:hAnsi="仿宋" w:eastAsia="仿宋_GB2312"/>
          <w:sz w:val="32"/>
          <w:szCs w:val="32"/>
          <w:lang w:val="en-US" w:eastAsia="zh-CN"/>
        </w:rPr>
        <w:t>196.96万</w:t>
      </w:r>
      <w:r>
        <w:rPr>
          <w:rFonts w:hint="eastAsia" w:ascii="仿宋_GB2312" w:hAnsi="仿宋" w:eastAsia="仿宋_GB2312"/>
          <w:sz w:val="32"/>
          <w:szCs w:val="32"/>
        </w:rPr>
        <w:t>元</w:t>
      </w:r>
      <w:r>
        <w:rPr>
          <w:rFonts w:hint="eastAsia" w:ascii="仿宋" w:hAnsi="仿宋" w:eastAsia="仿宋"/>
          <w:color w:val="000000"/>
          <w:sz w:val="32"/>
          <w:szCs w:val="32"/>
        </w:rPr>
        <w:t>，其中：一般公共预算财政拨款收入</w:t>
      </w:r>
      <w:r>
        <w:rPr>
          <w:rFonts w:hint="eastAsia" w:ascii="仿宋_GB2312" w:hAnsi="仿宋" w:eastAsia="仿宋_GB2312"/>
          <w:sz w:val="32"/>
          <w:szCs w:val="32"/>
          <w:lang w:val="en-US" w:eastAsia="zh-CN"/>
        </w:rPr>
        <w:t>196.96万</w:t>
      </w:r>
      <w:r>
        <w:rPr>
          <w:rFonts w:hint="eastAsia" w:ascii="仿宋_GB2312" w:hAnsi="仿宋" w:eastAsia="仿宋_GB2312"/>
          <w:sz w:val="32"/>
          <w:szCs w:val="32"/>
        </w:rPr>
        <w:t>元</w:t>
      </w:r>
      <w:r>
        <w:rPr>
          <w:rFonts w:hint="eastAsia" w:ascii="仿宋" w:hAnsi="仿宋" w:eastAsia="仿宋"/>
          <w:color w:val="000000"/>
          <w:sz w:val="32"/>
          <w:szCs w:val="32"/>
        </w:rPr>
        <w:t>，占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年本年</w:t>
      </w:r>
      <w:r>
        <w:rPr>
          <w:rFonts w:hint="eastAsia" w:ascii="仿宋" w:hAnsi="仿宋" w:eastAsia="仿宋"/>
          <w:color w:val="000000"/>
          <w:sz w:val="32"/>
          <w:szCs w:val="32"/>
          <w:lang w:eastAsia="zh-CN"/>
        </w:rPr>
        <w:t>支出</w:t>
      </w:r>
      <w:r>
        <w:rPr>
          <w:rFonts w:hint="eastAsia" w:ascii="仿宋" w:hAnsi="仿宋" w:eastAsia="仿宋"/>
          <w:color w:val="000000"/>
          <w:sz w:val="32"/>
          <w:szCs w:val="32"/>
        </w:rPr>
        <w:t>合计</w:t>
      </w:r>
      <w:r>
        <w:rPr>
          <w:rFonts w:hint="eastAsia" w:ascii="仿宋_GB2312" w:hAnsi="仿宋" w:eastAsia="仿宋_GB2312"/>
          <w:sz w:val="32"/>
          <w:szCs w:val="32"/>
          <w:lang w:val="en-US" w:eastAsia="zh-CN"/>
        </w:rPr>
        <w:t>196.96万</w:t>
      </w:r>
      <w:r>
        <w:rPr>
          <w:rFonts w:hint="eastAsia" w:ascii="仿宋_GB2312" w:hAnsi="仿宋" w:eastAsia="仿宋_GB2312"/>
          <w:sz w:val="32"/>
          <w:szCs w:val="32"/>
        </w:rPr>
        <w:t>元</w:t>
      </w:r>
      <w:r>
        <w:rPr>
          <w:rFonts w:hint="eastAsia" w:ascii="仿宋" w:hAnsi="仿宋" w:eastAsia="仿宋"/>
          <w:color w:val="000000"/>
          <w:sz w:val="32"/>
          <w:szCs w:val="32"/>
        </w:rPr>
        <w:t>，其中：一般公共预算财政拨款</w:t>
      </w:r>
      <w:r>
        <w:rPr>
          <w:rFonts w:hint="eastAsia" w:ascii="仿宋_GB2312" w:hAnsi="仿宋" w:eastAsia="仿宋_GB2312"/>
          <w:sz w:val="32"/>
          <w:szCs w:val="32"/>
          <w:lang w:val="en-US" w:eastAsia="zh-CN"/>
        </w:rPr>
        <w:t>196.96万</w:t>
      </w:r>
      <w:r>
        <w:rPr>
          <w:rFonts w:hint="eastAsia" w:ascii="仿宋_GB2312" w:hAnsi="仿宋" w:eastAsia="仿宋_GB2312"/>
          <w:sz w:val="32"/>
          <w:szCs w:val="32"/>
        </w:rPr>
        <w:t>元</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_GB2312" w:hAnsi="仿宋" w:eastAsia="仿宋_GB2312"/>
          <w:sz w:val="32"/>
          <w:szCs w:val="32"/>
        </w:rPr>
        <w:t>比上年</w:t>
      </w:r>
      <w:r>
        <w:rPr>
          <w:rFonts w:hint="eastAsia" w:ascii="仿宋_GB2312" w:hAnsi="仿宋" w:eastAsia="仿宋_GB2312"/>
          <w:sz w:val="32"/>
          <w:szCs w:val="32"/>
          <w:lang w:val="en-US" w:eastAsia="zh-CN"/>
        </w:rPr>
        <w:t>减少262.55万</w:t>
      </w:r>
      <w:r>
        <w:rPr>
          <w:rFonts w:hint="eastAsia" w:ascii="仿宋_GB2312" w:hAnsi="仿宋" w:eastAsia="仿宋_GB2312"/>
          <w:sz w:val="32"/>
          <w:szCs w:val="32"/>
        </w:rPr>
        <w:t>元</w:t>
      </w:r>
      <w:r>
        <w:rPr>
          <w:rFonts w:hint="eastAsia" w:ascii="仿宋_GB2312" w:hAnsi="仿宋" w:eastAsia="仿宋_GB2312"/>
          <w:sz w:val="32"/>
          <w:szCs w:val="32"/>
          <w:lang w:eastAsia="zh-CN"/>
        </w:rPr>
        <w:t>，</w:t>
      </w:r>
      <w:r>
        <w:rPr>
          <w:rFonts w:hint="eastAsia" w:ascii="仿宋" w:hAnsi="仿宋" w:eastAsia="仿宋"/>
          <w:color w:val="000000"/>
          <w:sz w:val="32"/>
          <w:szCs w:val="32"/>
          <w:lang w:eastAsia="zh-CN"/>
        </w:rPr>
        <w:t>同比</w:t>
      </w:r>
      <w:r>
        <w:rPr>
          <w:rFonts w:hint="eastAsia" w:ascii="仿宋" w:hAnsi="仿宋" w:eastAsia="仿宋"/>
          <w:color w:val="000000"/>
          <w:sz w:val="32"/>
          <w:szCs w:val="32"/>
          <w:lang w:val="en-US" w:eastAsia="zh-CN"/>
        </w:rPr>
        <w:t>减少</w:t>
      </w:r>
      <w:r>
        <w:rPr>
          <w:rFonts w:hint="eastAsia" w:ascii="仿宋_GB2312" w:hAnsi="仿宋_GB2312" w:eastAsia="仿宋_GB2312" w:cs="仿宋_GB2312"/>
          <w:sz w:val="32"/>
          <w:szCs w:val="32"/>
          <w:lang w:val="en-US" w:eastAsia="zh-CN"/>
        </w:rPr>
        <w:t>57.14%</w:t>
      </w:r>
      <w:r>
        <w:rPr>
          <w:rFonts w:hint="eastAsia" w:ascii="仿宋_GB2312" w:hAnsi="仿宋" w:eastAsia="仿宋_GB2312"/>
          <w:sz w:val="32"/>
          <w:szCs w:val="32"/>
          <w:lang w:val="en-US" w:eastAsia="zh-CN"/>
        </w:rPr>
        <w:t>。</w:t>
      </w:r>
    </w:p>
    <w:p>
      <w:pPr>
        <w:keepNext w:val="0"/>
        <w:keepLines w:val="0"/>
        <w:pageBreakBefore w:val="0"/>
        <w:widowControl w:val="0"/>
        <w:kinsoku/>
        <w:wordWrap/>
        <w:overflowPunct/>
        <w:topLinePunct w:val="0"/>
        <w:autoSpaceDE/>
        <w:autoSpaceDN/>
        <w:bidi w:val="0"/>
        <w:adjustRightInd/>
        <w:spacing w:line="570" w:lineRule="exact"/>
        <w:ind w:firstLine="640" w:firstLineChars="200"/>
        <w:textAlignment w:val="auto"/>
        <w:outlineLvl w:val="1"/>
        <w:rPr>
          <w:rStyle w:val="24"/>
          <w:rFonts w:ascii="黑体" w:hAnsi="黑体" w:eastAsia="黑体"/>
          <w:b w:val="0"/>
        </w:rPr>
      </w:pPr>
      <w:r>
        <w:rPr>
          <w:rFonts w:hint="eastAsia" w:ascii="黑体" w:hAnsi="黑体" w:eastAsia="黑体"/>
          <w:color w:val="000000"/>
          <w:sz w:val="32"/>
          <w:szCs w:val="32"/>
        </w:rPr>
        <w:t>四、财</w:t>
      </w:r>
      <w:r>
        <w:rPr>
          <w:rStyle w:val="24"/>
          <w:rFonts w:hint="eastAsia" w:ascii="黑体" w:hAnsi="黑体" w:eastAsia="黑体"/>
          <w:b w:val="0"/>
        </w:rPr>
        <w:t>政拨款收入支出决算总体情况说明</w:t>
      </w:r>
    </w:p>
    <w:p>
      <w:pPr>
        <w:snapToGrid w:val="0"/>
        <w:spacing w:line="520" w:lineRule="exact"/>
        <w:ind w:firstLine="640" w:firstLineChars="200"/>
        <w:rPr>
          <w:rFonts w:hint="eastAsia" w:ascii="仿宋_GB2312" w:hAnsi="仿宋" w:eastAsia="仿宋_GB2312"/>
          <w:sz w:val="32"/>
          <w:szCs w:val="32"/>
          <w:lang w:eastAsia="zh-CN"/>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年财政拨款收、支总计</w:t>
      </w:r>
      <w:r>
        <w:rPr>
          <w:rFonts w:hint="eastAsia" w:ascii="仿宋_GB2312" w:hAnsi="仿宋_GB2312" w:eastAsia="仿宋_GB2312" w:cs="仿宋_GB2312"/>
          <w:sz w:val="32"/>
          <w:szCs w:val="32"/>
          <w:lang w:val="en-US" w:eastAsia="zh-CN"/>
        </w:rPr>
        <w:t>393.92</w:t>
      </w:r>
      <w:r>
        <w:rPr>
          <w:rFonts w:hint="eastAsia" w:ascii="仿宋" w:hAnsi="仿宋" w:eastAsia="仿宋"/>
          <w:color w:val="000000"/>
          <w:sz w:val="32"/>
          <w:szCs w:val="32"/>
        </w:rPr>
        <w:t>万元。与</w:t>
      </w:r>
      <w:r>
        <w:rPr>
          <w:rFonts w:hint="eastAsia" w:ascii="仿宋" w:hAnsi="仿宋" w:eastAsia="仿宋"/>
          <w:color w:val="000000"/>
          <w:sz w:val="32"/>
          <w:szCs w:val="32"/>
          <w:lang w:val="en-US" w:eastAsia="zh-CN"/>
        </w:rPr>
        <w:t>2024</w:t>
      </w:r>
      <w:r>
        <w:rPr>
          <w:rFonts w:hint="eastAsia" w:ascii="仿宋" w:hAnsi="仿宋" w:eastAsia="仿宋"/>
          <w:color w:val="000000"/>
          <w:sz w:val="32"/>
          <w:szCs w:val="32"/>
        </w:rPr>
        <w:t>年相比，财政拨款收、支总计各</w:t>
      </w:r>
      <w:r>
        <w:rPr>
          <w:rFonts w:hint="eastAsia" w:ascii="仿宋_GB2312" w:hAnsi="仿宋" w:eastAsia="仿宋_GB2312"/>
          <w:sz w:val="32"/>
          <w:szCs w:val="32"/>
        </w:rPr>
        <w:t>比上年</w:t>
      </w:r>
      <w:r>
        <w:rPr>
          <w:rFonts w:hint="eastAsia" w:ascii="仿宋_GB2312" w:hAnsi="仿宋" w:eastAsia="仿宋_GB2312"/>
          <w:sz w:val="32"/>
          <w:szCs w:val="32"/>
          <w:lang w:val="en-US" w:eastAsia="zh-CN"/>
        </w:rPr>
        <w:t>减少262.55万</w:t>
      </w:r>
      <w:r>
        <w:rPr>
          <w:rFonts w:hint="eastAsia" w:ascii="仿宋_GB2312" w:hAnsi="仿宋" w:eastAsia="仿宋_GB2312"/>
          <w:sz w:val="32"/>
          <w:szCs w:val="32"/>
        </w:rPr>
        <w:t>元</w:t>
      </w:r>
      <w:r>
        <w:rPr>
          <w:rFonts w:hint="eastAsia" w:ascii="仿宋_GB2312" w:hAnsi="仿宋" w:eastAsia="仿宋_GB2312"/>
          <w:sz w:val="32"/>
          <w:szCs w:val="32"/>
          <w:lang w:eastAsia="zh-CN"/>
        </w:rPr>
        <w:t>，</w:t>
      </w:r>
      <w:r>
        <w:rPr>
          <w:rFonts w:hint="eastAsia" w:ascii="仿宋" w:hAnsi="仿宋" w:eastAsia="仿宋"/>
          <w:color w:val="000000"/>
          <w:sz w:val="32"/>
          <w:szCs w:val="32"/>
          <w:lang w:eastAsia="zh-CN"/>
        </w:rPr>
        <w:t>同比</w:t>
      </w:r>
      <w:r>
        <w:rPr>
          <w:rFonts w:hint="eastAsia" w:ascii="仿宋" w:hAnsi="仿宋" w:eastAsia="仿宋"/>
          <w:color w:val="000000"/>
          <w:sz w:val="32"/>
          <w:szCs w:val="32"/>
          <w:lang w:val="en-US" w:eastAsia="zh-CN"/>
        </w:rPr>
        <w:t>减少</w:t>
      </w:r>
      <w:r>
        <w:rPr>
          <w:rFonts w:hint="eastAsia" w:ascii="仿宋_GB2312" w:hAnsi="仿宋_GB2312" w:eastAsia="仿宋_GB2312" w:cs="仿宋_GB2312"/>
          <w:sz w:val="32"/>
          <w:szCs w:val="32"/>
          <w:lang w:val="en-US" w:eastAsia="zh-CN"/>
        </w:rPr>
        <w:t>57.14%</w:t>
      </w:r>
      <w:r>
        <w:rPr>
          <w:rFonts w:hint="eastAsia" w:ascii="仿宋_GB2312" w:hAnsi="仿宋" w:eastAsia="仿宋_GB2312"/>
          <w:sz w:val="32"/>
          <w:szCs w:val="32"/>
          <w:lang w:val="en-US" w:eastAsia="zh-CN"/>
        </w:rPr>
        <w:t>。</w:t>
      </w:r>
      <w:r>
        <w:rPr>
          <w:rFonts w:hint="eastAsia" w:ascii="仿宋_GB2312" w:hAnsi="仿宋" w:eastAsia="仿宋_GB2312"/>
          <w:sz w:val="32"/>
          <w:szCs w:val="32"/>
          <w:lang w:eastAsia="zh-CN"/>
        </w:rPr>
        <w:t>主要是因为</w:t>
      </w:r>
      <w:r>
        <w:rPr>
          <w:rFonts w:hint="eastAsia" w:ascii="仿宋_GB2312" w:hAnsi="仿宋" w:eastAsia="仿宋_GB2312"/>
          <w:sz w:val="32"/>
          <w:szCs w:val="32"/>
          <w:lang w:val="en-US" w:eastAsia="zh-CN"/>
        </w:rPr>
        <w:t>2025年无委托业务费及公务接待费大量减少</w:t>
      </w:r>
      <w:r>
        <w:rPr>
          <w:rFonts w:hint="eastAsia" w:ascii="仿宋_GB2312" w:hAnsi="仿宋" w:eastAsia="仿宋_GB2312"/>
          <w:sz w:val="32"/>
          <w:szCs w:val="32"/>
          <w:lang w:eastAsia="zh-CN"/>
        </w:rPr>
        <w:t>。</w:t>
      </w:r>
    </w:p>
    <w:p>
      <w:pPr>
        <w:snapToGrid w:val="0"/>
        <w:spacing w:line="520" w:lineRule="exact"/>
        <w:rPr>
          <w:rFonts w:hint="eastAsia" w:ascii="仿宋_GB2312" w:hAnsi="仿宋" w:eastAsia="仿宋_GB2312"/>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default" w:ascii="仿宋_GB2312" w:eastAsia="仿宋_GB2312"/>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ascii="仿宋" w:hAnsi="仿宋" w:eastAsia="仿宋"/>
          <w:color w:val="000000"/>
          <w:sz w:val="32"/>
          <w:szCs w:val="32"/>
        </w:rPr>
      </w:pPr>
    </w:p>
    <w:p>
      <w:pPr>
        <w:keepNext w:val="0"/>
        <w:keepLines w:val="0"/>
        <w:pageBreakBefore w:val="0"/>
        <w:widowControl w:val="0"/>
        <w:kinsoku/>
        <w:wordWrap/>
        <w:overflowPunct/>
        <w:topLinePunct w:val="0"/>
        <w:autoSpaceDE/>
        <w:autoSpaceDN/>
        <w:bidi w:val="0"/>
        <w:adjustRightInd/>
        <w:spacing w:line="570" w:lineRule="exact"/>
        <w:ind w:firstLine="643" w:firstLineChars="200"/>
        <w:textAlignment w:val="auto"/>
        <w:rPr>
          <w:rFonts w:ascii="仿宋" w:hAnsi="仿宋" w:eastAsia="仿宋"/>
          <w:color w:val="000000" w:themeColor="text1"/>
          <w:sz w:val="32"/>
          <w:szCs w:val="32"/>
          <w14:textFill>
            <w14:solidFill>
              <w14:schemeClr w14:val="tx1"/>
            </w14:solidFill>
          </w14:textFill>
        </w:rPr>
      </w:pPr>
      <w:r>
        <w:rPr>
          <w:rFonts w:hint="eastAsia" w:ascii="仿宋" w:hAnsi="仿宋" w:eastAsia="仿宋"/>
          <w:b/>
          <w:color w:val="00B050"/>
          <w:sz w:val="32"/>
          <w:szCs w:val="32"/>
          <w:lang w:eastAsia="zh-CN"/>
        </w:rPr>
        <w:drawing>
          <wp:anchor distT="0" distB="0" distL="114300" distR="114300" simplePos="0" relativeHeight="251660288" behindDoc="0" locked="0" layoutInCell="1" allowOverlap="1">
            <wp:simplePos x="0" y="0"/>
            <wp:positionH relativeFrom="column">
              <wp:posOffset>19050</wp:posOffset>
            </wp:positionH>
            <wp:positionV relativeFrom="paragraph">
              <wp:posOffset>373380</wp:posOffset>
            </wp:positionV>
            <wp:extent cx="5080000" cy="3810000"/>
            <wp:effectExtent l="4445" t="4445" r="20955" b="14605"/>
            <wp:wrapTopAndBottom/>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仿宋" w:hAnsi="仿宋" w:eastAsia="仿宋"/>
          <w:color w:val="000000" w:themeColor="text1"/>
          <w:sz w:val="32"/>
          <w:szCs w:val="32"/>
          <w14:textFill>
            <w14:solidFill>
              <w14:schemeClr w14:val="tx1"/>
            </w14:solidFill>
          </w14:textFill>
        </w:rPr>
        <w:t>（图4：财政拨款收、支决算总计变动情况）</w:t>
      </w:r>
    </w:p>
    <w:p>
      <w:pPr>
        <w:spacing w:line="600" w:lineRule="exact"/>
        <w:ind w:firstLine="640"/>
        <w:rPr>
          <w:rFonts w:hint="eastAsia" w:ascii="仿宋" w:hAnsi="仿宋" w:eastAsia="仿宋"/>
          <w:b/>
          <w:color w:val="00B050"/>
          <w:sz w:val="32"/>
          <w:szCs w:val="32"/>
          <w:lang w:eastAsia="zh-CN"/>
        </w:rPr>
      </w:pPr>
    </w:p>
    <w:p>
      <w:pPr>
        <w:spacing w:line="600" w:lineRule="exact"/>
        <w:ind w:firstLine="640" w:firstLineChars="200"/>
        <w:outlineLvl w:val="1"/>
        <w:rPr>
          <w:rStyle w:val="24"/>
          <w:rFonts w:ascii="黑体" w:hAnsi="黑体" w:eastAsia="黑体"/>
          <w:b w:val="0"/>
        </w:rPr>
      </w:pPr>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4"/>
          <w:rFonts w:hint="eastAsia" w:ascii="黑体" w:hAnsi="黑体" w:eastAsia="黑体"/>
          <w:b w:val="0"/>
        </w:rPr>
        <w:t>般公共预算财政拨款支出决算情况说明</w:t>
      </w:r>
    </w:p>
    <w:p>
      <w:pPr>
        <w:spacing w:line="600" w:lineRule="exact"/>
        <w:ind w:firstLine="643" w:firstLineChars="200"/>
        <w:outlineLvl w:val="2"/>
        <w:rPr>
          <w:rFonts w:ascii="仿宋" w:hAnsi="仿宋" w:eastAsia="仿宋"/>
          <w:b/>
          <w:color w:val="000000"/>
          <w:sz w:val="32"/>
          <w:szCs w:val="32"/>
        </w:rPr>
      </w:pPr>
      <w:r>
        <w:rPr>
          <w:rFonts w:hint="eastAsia" w:ascii="仿宋" w:hAnsi="仿宋" w:eastAsia="仿宋"/>
          <w:b/>
          <w:color w:val="000000"/>
          <w:sz w:val="32"/>
          <w:szCs w:val="32"/>
        </w:rPr>
        <w:t>（一）一般公共预算财政拨款支出决算总体情况</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年一般公共预算财政拨款支出</w:t>
      </w:r>
      <w:r>
        <w:rPr>
          <w:rFonts w:hint="eastAsia" w:ascii="仿宋_GB2312" w:hAnsi="仿宋" w:eastAsia="仿宋_GB2312"/>
          <w:sz w:val="32"/>
          <w:szCs w:val="32"/>
          <w:lang w:val="en-US" w:eastAsia="zh-CN"/>
        </w:rPr>
        <w:t>459.51</w:t>
      </w:r>
      <w:r>
        <w:rPr>
          <w:rFonts w:hint="eastAsia" w:ascii="仿宋" w:hAnsi="仿宋" w:eastAsia="仿宋"/>
          <w:color w:val="000000"/>
          <w:sz w:val="32"/>
          <w:szCs w:val="32"/>
        </w:rPr>
        <w:t>万，占本年支出合计的</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。与</w:t>
      </w: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年一般公共预算财政拨款支出</w:t>
      </w:r>
      <w:r>
        <w:rPr>
          <w:rFonts w:hint="eastAsia" w:ascii="仿宋_GB2312" w:hAnsi="仿宋" w:eastAsia="仿宋_GB2312"/>
          <w:sz w:val="32"/>
          <w:szCs w:val="32"/>
          <w:lang w:val="en-US" w:eastAsia="zh-CN"/>
        </w:rPr>
        <w:t>196.96</w:t>
      </w:r>
      <w:r>
        <w:rPr>
          <w:rFonts w:hint="eastAsia" w:ascii="仿宋" w:hAnsi="仿宋" w:eastAsia="仿宋"/>
          <w:color w:val="000000"/>
          <w:sz w:val="32"/>
          <w:szCs w:val="32"/>
        </w:rPr>
        <w:t>万元相比，一般公共预算财政拨款</w:t>
      </w:r>
      <w:r>
        <w:rPr>
          <w:rFonts w:hint="eastAsia" w:ascii="仿宋" w:hAnsi="仿宋" w:eastAsia="仿宋"/>
          <w:color w:val="000000"/>
          <w:sz w:val="32"/>
          <w:szCs w:val="32"/>
          <w:lang w:val="en-US" w:eastAsia="zh-CN"/>
        </w:rPr>
        <w:t>支出</w:t>
      </w:r>
      <w:r>
        <w:rPr>
          <w:rFonts w:hint="eastAsia" w:ascii="仿宋_GB2312" w:hAnsi="仿宋_GB2312" w:eastAsia="仿宋_GB2312" w:cs="仿宋_GB2312"/>
          <w:sz w:val="32"/>
          <w:szCs w:val="32"/>
        </w:rPr>
        <w:t>比上年</w:t>
      </w:r>
      <w:r>
        <w:rPr>
          <w:rFonts w:hint="eastAsia" w:ascii="仿宋_GB2312" w:hAnsi="仿宋" w:eastAsia="仿宋_GB2312"/>
          <w:sz w:val="32"/>
          <w:szCs w:val="32"/>
          <w:lang w:val="en-US" w:eastAsia="zh-CN"/>
        </w:rPr>
        <w:t>减少262.55万</w:t>
      </w:r>
      <w:r>
        <w:rPr>
          <w:rFonts w:hint="eastAsia" w:ascii="仿宋_GB2312" w:hAnsi="仿宋" w:eastAsia="仿宋_GB2312"/>
          <w:sz w:val="32"/>
          <w:szCs w:val="32"/>
        </w:rPr>
        <w:t>元</w:t>
      </w:r>
      <w:r>
        <w:rPr>
          <w:rFonts w:hint="eastAsia" w:ascii="仿宋_GB2312" w:hAnsi="仿宋" w:eastAsia="仿宋_GB2312"/>
          <w:sz w:val="32"/>
          <w:szCs w:val="32"/>
          <w:lang w:eastAsia="zh-CN"/>
        </w:rPr>
        <w:t>，</w:t>
      </w:r>
      <w:r>
        <w:rPr>
          <w:rFonts w:hint="eastAsia" w:ascii="仿宋" w:hAnsi="仿宋" w:eastAsia="仿宋"/>
          <w:color w:val="000000"/>
          <w:sz w:val="32"/>
          <w:szCs w:val="32"/>
          <w:lang w:eastAsia="zh-CN"/>
        </w:rPr>
        <w:t>同比</w:t>
      </w:r>
      <w:r>
        <w:rPr>
          <w:rFonts w:hint="eastAsia" w:ascii="仿宋" w:hAnsi="仿宋" w:eastAsia="仿宋"/>
          <w:color w:val="000000"/>
          <w:sz w:val="32"/>
          <w:szCs w:val="32"/>
          <w:lang w:val="en-US" w:eastAsia="zh-CN"/>
        </w:rPr>
        <w:t>减少</w:t>
      </w:r>
      <w:r>
        <w:rPr>
          <w:rFonts w:hint="eastAsia" w:ascii="仿宋_GB2312" w:hAnsi="仿宋_GB2312" w:eastAsia="仿宋_GB2312" w:cs="仿宋_GB2312"/>
          <w:sz w:val="32"/>
          <w:szCs w:val="32"/>
          <w:lang w:val="en-US" w:eastAsia="zh-CN"/>
        </w:rPr>
        <w:t>57.14%</w:t>
      </w:r>
      <w:r>
        <w:rPr>
          <w:rFonts w:hint="eastAsia" w:ascii="仿宋_GB2312" w:hAnsi="仿宋" w:eastAsia="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仿宋_GB2312" w:hAnsi="仿宋_GB2312" w:eastAsia="仿宋_GB2312" w:cs="仿宋_GB2312"/>
          <w:sz w:val="32"/>
          <w:szCs w:val="32"/>
          <w:lang w:val="en-US" w:eastAsia="zh-CN"/>
        </w:rPr>
      </w:pPr>
    </w:p>
    <w:p>
      <w:pPr>
        <w:snapToGrid w:val="0"/>
        <w:spacing w:line="520" w:lineRule="exact"/>
        <w:ind w:firstLine="640" w:firstLineChars="200"/>
        <w:rPr>
          <w:rFonts w:hint="eastAsia" w:ascii="仿宋" w:hAnsi="仿宋" w:eastAsia="仿宋"/>
          <w:color w:val="000000"/>
          <w:sz w:val="32"/>
          <w:szCs w:val="32"/>
          <w:lang w:eastAsia="zh-CN"/>
        </w:rPr>
      </w:pPr>
    </w:p>
    <w:p>
      <w:pPr>
        <w:spacing w:line="600" w:lineRule="exact"/>
        <w:ind w:firstLine="640" w:firstLineChars="200"/>
        <w:rPr>
          <w:rFonts w:hint="eastAsia" w:ascii="仿宋" w:hAnsi="仿宋" w:eastAsia="仿宋"/>
          <w:color w:val="000000" w:themeColor="text1"/>
          <w:sz w:val="32"/>
          <w:szCs w:val="32"/>
          <w14:textFill>
            <w14:solidFill>
              <w14:schemeClr w14:val="tx1"/>
            </w14:solidFill>
          </w14:textFill>
        </w:rPr>
      </w:pPr>
    </w:p>
    <w:p>
      <w:pPr>
        <w:spacing w:line="600" w:lineRule="exact"/>
        <w:ind w:firstLine="640" w:firstLineChars="200"/>
        <w:rPr>
          <w:rFonts w:hint="eastAsia" w:ascii="仿宋" w:hAnsi="仿宋" w:eastAsia="仿宋"/>
          <w:color w:val="000000" w:themeColor="text1"/>
          <w:sz w:val="32"/>
          <w:szCs w:val="32"/>
          <w14:textFill>
            <w14:solidFill>
              <w14:schemeClr w14:val="tx1"/>
            </w14:solidFill>
          </w14:textFill>
        </w:rPr>
      </w:pPr>
    </w:p>
    <w:p>
      <w:pPr>
        <w:spacing w:line="600" w:lineRule="exact"/>
        <w:ind w:firstLine="640" w:firstLineChars="200"/>
        <w:rPr>
          <w:rFonts w:hint="eastAsia" w:ascii="仿宋" w:hAnsi="仿宋" w:eastAsia="仿宋"/>
          <w:color w:val="000000" w:themeColor="text1"/>
          <w:sz w:val="32"/>
          <w:szCs w:val="32"/>
          <w14:textFill>
            <w14:solidFill>
              <w14:schemeClr w14:val="tx1"/>
            </w14:solidFill>
          </w14:textFill>
        </w:rPr>
      </w:pPr>
    </w:p>
    <w:p>
      <w:pPr>
        <w:spacing w:line="600" w:lineRule="exact"/>
        <w:ind w:firstLine="640" w:firstLineChars="200"/>
        <w:rPr>
          <w:rFonts w:hint="eastAsia" w:ascii="仿宋" w:hAnsi="仿宋" w:eastAsia="仿宋"/>
          <w:color w:val="000000" w:themeColor="text1"/>
          <w:sz w:val="32"/>
          <w:szCs w:val="32"/>
          <w14:textFill>
            <w14:solidFill>
              <w14:schemeClr w14:val="tx1"/>
            </w14:solidFill>
          </w14:textFill>
        </w:rPr>
      </w:pPr>
    </w:p>
    <w:p>
      <w:pPr>
        <w:spacing w:line="600" w:lineRule="exact"/>
        <w:ind w:firstLine="640" w:firstLineChars="20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（图5：一般公共预算财政拨款支出决算变动情况）</w:t>
      </w:r>
    </w:p>
    <w:p>
      <w:pPr>
        <w:spacing w:line="600" w:lineRule="exact"/>
        <w:ind w:firstLine="640" w:firstLineChars="200"/>
        <w:rPr>
          <w:rFonts w:hint="eastAsia" w:ascii="仿宋" w:hAnsi="仿宋" w:eastAsia="仿宋"/>
          <w:color w:val="000000" w:themeColor="text1"/>
          <w:sz w:val="32"/>
          <w:szCs w:val="32"/>
          <w:lang w:eastAsia="zh-CN"/>
          <w14:textFill>
            <w14:solidFill>
              <w14:schemeClr w14:val="tx1"/>
            </w14:solidFill>
          </w14:textFill>
        </w:rPr>
      </w:pPr>
      <w:r>
        <w:rPr>
          <w:rFonts w:hint="eastAsia" w:ascii="仿宋" w:hAnsi="仿宋" w:eastAsia="仿宋"/>
          <w:color w:val="000000" w:themeColor="text1"/>
          <w:sz w:val="32"/>
          <w:szCs w:val="32"/>
          <w:lang w:eastAsia="zh-CN"/>
          <w14:textFill>
            <w14:solidFill>
              <w14:schemeClr w14:val="tx1"/>
            </w14:solidFill>
          </w14:textFill>
        </w:rPr>
        <w:drawing>
          <wp:anchor distT="0" distB="0" distL="114300" distR="114300" simplePos="0" relativeHeight="251661312" behindDoc="0" locked="0" layoutInCell="1" allowOverlap="1">
            <wp:simplePos x="0" y="0"/>
            <wp:positionH relativeFrom="column">
              <wp:posOffset>258445</wp:posOffset>
            </wp:positionH>
            <wp:positionV relativeFrom="paragraph">
              <wp:posOffset>118745</wp:posOffset>
            </wp:positionV>
            <wp:extent cx="5080000" cy="3810000"/>
            <wp:effectExtent l="7620" t="7620" r="17780" b="11430"/>
            <wp:wrapTopAndBottom/>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spacing w:line="600" w:lineRule="exact"/>
        <w:ind w:firstLine="643" w:firstLineChars="200"/>
        <w:outlineLvl w:val="2"/>
        <w:rPr>
          <w:rFonts w:ascii="仿宋" w:hAnsi="仿宋" w:eastAsia="仿宋"/>
          <w:b/>
          <w:color w:val="000000"/>
          <w:sz w:val="32"/>
          <w:szCs w:val="32"/>
        </w:rPr>
      </w:pPr>
      <w:r>
        <w:rPr>
          <w:rFonts w:hint="eastAsia" w:ascii="仿宋" w:hAnsi="仿宋" w:eastAsia="仿宋"/>
          <w:b/>
          <w:color w:val="000000"/>
          <w:sz w:val="32"/>
          <w:szCs w:val="32"/>
        </w:rPr>
        <w:t>（二）一般公共预算财政拨款支出决算结构情况</w:t>
      </w:r>
    </w:p>
    <w:p>
      <w:pPr>
        <w:spacing w:line="60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b w:val="0"/>
          <w:bCs w:val="0"/>
          <w:color w:val="000000"/>
          <w:sz w:val="32"/>
          <w:szCs w:val="32"/>
          <w:lang w:eastAsia="zh-CN"/>
        </w:rPr>
        <w:t>202</w:t>
      </w:r>
      <w:r>
        <w:rPr>
          <w:rFonts w:hint="eastAsia" w:ascii="仿宋" w:hAnsi="仿宋" w:eastAsia="仿宋"/>
          <w:b w:val="0"/>
          <w:bCs w:val="0"/>
          <w:color w:val="000000"/>
          <w:sz w:val="32"/>
          <w:szCs w:val="32"/>
          <w:lang w:val="en-US" w:eastAsia="zh-CN"/>
        </w:rPr>
        <w:t>5</w:t>
      </w:r>
      <w:r>
        <w:rPr>
          <w:rFonts w:hint="eastAsia" w:ascii="仿宋" w:hAnsi="仿宋" w:eastAsia="仿宋"/>
          <w:b w:val="0"/>
          <w:bCs w:val="0"/>
          <w:color w:val="000000"/>
          <w:sz w:val="32"/>
          <w:szCs w:val="32"/>
        </w:rPr>
        <w:t>年一般公共预算财</w:t>
      </w:r>
      <w:r>
        <w:rPr>
          <w:rFonts w:hint="eastAsia" w:ascii="仿宋" w:hAnsi="仿宋" w:eastAsia="仿宋"/>
          <w:b w:val="0"/>
          <w:bCs w:val="0"/>
          <w:color w:val="000000" w:themeColor="text1"/>
          <w:sz w:val="32"/>
          <w:szCs w:val="32"/>
          <w14:textFill>
            <w14:solidFill>
              <w14:schemeClr w14:val="tx1"/>
            </w14:solidFill>
          </w14:textFill>
        </w:rPr>
        <w:t>政拨款支出</w:t>
      </w:r>
      <w:r>
        <w:rPr>
          <w:rFonts w:hint="eastAsia" w:ascii="仿宋_GB2312" w:hAnsi="仿宋" w:eastAsia="仿宋_GB2312"/>
          <w:sz w:val="32"/>
          <w:szCs w:val="32"/>
          <w:lang w:val="en-US" w:eastAsia="zh-CN"/>
        </w:rPr>
        <w:t>196.96</w:t>
      </w:r>
      <w:r>
        <w:rPr>
          <w:rFonts w:hint="eastAsia" w:ascii="仿宋" w:hAnsi="仿宋" w:eastAsia="仿宋"/>
          <w:b w:val="0"/>
          <w:bCs w:val="0"/>
          <w:color w:val="000000" w:themeColor="text1"/>
          <w:sz w:val="32"/>
          <w:szCs w:val="32"/>
          <w14:textFill>
            <w14:solidFill>
              <w14:schemeClr w14:val="tx1"/>
            </w14:solidFill>
          </w14:textFill>
        </w:rPr>
        <w:t>万元，主要用于以下方面</w:t>
      </w:r>
      <w:r>
        <w:rPr>
          <w:rFonts w:ascii="仿宋" w:hAnsi="仿宋" w:eastAsia="仿宋"/>
          <w:b w:val="0"/>
          <w:bCs w:val="0"/>
          <w:color w:val="000000" w:themeColor="text1"/>
          <w:sz w:val="32"/>
          <w:szCs w:val="32"/>
          <w14:textFill>
            <w14:solidFill>
              <w14:schemeClr w14:val="tx1"/>
            </w14:solidFill>
          </w14:textFill>
        </w:rPr>
        <w:t>:</w:t>
      </w:r>
      <w:r>
        <w:rPr>
          <w:rFonts w:hint="eastAsia" w:ascii="仿宋" w:hAnsi="仿宋" w:eastAsia="仿宋"/>
          <w:b w:val="0"/>
          <w:bCs w:val="0"/>
          <w:color w:val="000000" w:themeColor="text1"/>
          <w:sz w:val="32"/>
          <w:szCs w:val="32"/>
          <w14:textFill>
            <w14:solidFill>
              <w14:schemeClr w14:val="tx1"/>
            </w14:solidFill>
          </w14:textFill>
        </w:rPr>
        <w:t>一般公共服务支出</w:t>
      </w:r>
      <w:r>
        <w:rPr>
          <w:rFonts w:hint="eastAsia" w:ascii="仿宋_GB2312" w:hAnsi="仿宋" w:eastAsia="仿宋_GB2312"/>
          <w:sz w:val="32"/>
          <w:szCs w:val="32"/>
          <w:lang w:val="en-US" w:eastAsia="zh-CN"/>
        </w:rPr>
        <w:t>159.11</w:t>
      </w:r>
      <w:r>
        <w:rPr>
          <w:rFonts w:hint="eastAsia" w:ascii="仿宋" w:hAnsi="仿宋" w:eastAsia="仿宋"/>
          <w:b w:val="0"/>
          <w:bCs w:val="0"/>
          <w:color w:val="000000" w:themeColor="text1"/>
          <w:sz w:val="32"/>
          <w:szCs w:val="32"/>
          <w14:textFill>
            <w14:solidFill>
              <w14:schemeClr w14:val="tx1"/>
            </w14:solidFill>
          </w14:textFill>
        </w:rPr>
        <w:t>万元，占</w:t>
      </w:r>
      <w:r>
        <w:rPr>
          <w:rFonts w:hint="eastAsia" w:ascii="仿宋" w:hAnsi="仿宋" w:eastAsia="仿宋"/>
          <w:b w:val="0"/>
          <w:bCs w:val="0"/>
          <w:color w:val="000000" w:themeColor="text1"/>
          <w:sz w:val="32"/>
          <w:szCs w:val="32"/>
          <w:lang w:val="en-US" w:eastAsia="zh-CN"/>
          <w14:textFill>
            <w14:solidFill>
              <w14:schemeClr w14:val="tx1"/>
            </w14:solidFill>
          </w14:textFill>
        </w:rPr>
        <w:t>80.78</w:t>
      </w:r>
      <w:r>
        <w:rPr>
          <w:rFonts w:ascii="仿宋" w:hAnsi="仿宋" w:eastAsia="仿宋"/>
          <w:b w:val="0"/>
          <w:bCs w:val="0"/>
          <w:color w:val="000000" w:themeColor="text1"/>
          <w:sz w:val="32"/>
          <w:szCs w:val="32"/>
          <w14:textFill>
            <w14:solidFill>
              <w14:schemeClr w14:val="tx1"/>
            </w14:solidFill>
          </w14:textFill>
        </w:rPr>
        <w:t>%</w:t>
      </w:r>
      <w:r>
        <w:rPr>
          <w:rFonts w:hint="eastAsia" w:ascii="仿宋" w:hAnsi="仿宋" w:eastAsia="仿宋"/>
          <w:b w:val="0"/>
          <w:bCs w:val="0"/>
          <w:color w:val="000000" w:themeColor="text1"/>
          <w:sz w:val="32"/>
          <w:szCs w:val="32"/>
          <w14:textFill>
            <w14:solidFill>
              <w14:schemeClr w14:val="tx1"/>
            </w14:solidFill>
          </w14:textFill>
        </w:rPr>
        <w:t>；社会保障和就业支出</w:t>
      </w:r>
      <w:r>
        <w:rPr>
          <w:rFonts w:hint="eastAsia" w:ascii="仿宋_GB2312" w:hAnsi="仿宋" w:eastAsia="仿宋_GB2312"/>
          <w:sz w:val="32"/>
          <w:szCs w:val="32"/>
          <w:lang w:val="en-US" w:eastAsia="zh-CN"/>
        </w:rPr>
        <w:t>19.62</w:t>
      </w:r>
      <w:r>
        <w:rPr>
          <w:rFonts w:hint="eastAsia" w:ascii="仿宋" w:hAnsi="仿宋" w:eastAsia="仿宋"/>
          <w:b w:val="0"/>
          <w:bCs w:val="0"/>
          <w:color w:val="000000" w:themeColor="text1"/>
          <w:sz w:val="32"/>
          <w:szCs w:val="32"/>
          <w14:textFill>
            <w14:solidFill>
              <w14:schemeClr w14:val="tx1"/>
            </w14:solidFill>
          </w14:textFill>
        </w:rPr>
        <w:t>万元，占</w:t>
      </w:r>
      <w:r>
        <w:rPr>
          <w:rFonts w:hint="eastAsia" w:ascii="仿宋" w:hAnsi="仿宋" w:eastAsia="仿宋"/>
          <w:b w:val="0"/>
          <w:bCs w:val="0"/>
          <w:color w:val="000000" w:themeColor="text1"/>
          <w:sz w:val="32"/>
          <w:szCs w:val="32"/>
          <w:lang w:val="en-US" w:eastAsia="zh-CN"/>
          <w14:textFill>
            <w14:solidFill>
              <w14:schemeClr w14:val="tx1"/>
            </w14:solidFill>
          </w14:textFill>
        </w:rPr>
        <w:t>9.96</w:t>
      </w:r>
      <w:r>
        <w:rPr>
          <w:rFonts w:ascii="仿宋" w:hAnsi="仿宋" w:eastAsia="仿宋"/>
          <w:b w:val="0"/>
          <w:bCs w:val="0"/>
          <w:color w:val="000000" w:themeColor="text1"/>
          <w:sz w:val="32"/>
          <w:szCs w:val="32"/>
          <w14:textFill>
            <w14:solidFill>
              <w14:schemeClr w14:val="tx1"/>
            </w14:solidFill>
          </w14:textFill>
        </w:rPr>
        <w:t>%</w:t>
      </w:r>
      <w:r>
        <w:rPr>
          <w:rFonts w:hint="eastAsia" w:ascii="仿宋" w:hAnsi="仿宋" w:eastAsia="仿宋"/>
          <w:b w:val="0"/>
          <w:bCs w:val="0"/>
          <w:color w:val="000000" w:themeColor="text1"/>
          <w:sz w:val="32"/>
          <w:szCs w:val="32"/>
          <w14:textFill>
            <w14:solidFill>
              <w14:schemeClr w14:val="tx1"/>
            </w14:solidFill>
          </w14:textFill>
        </w:rPr>
        <w:t>；卫生健康支出</w:t>
      </w:r>
      <w:r>
        <w:rPr>
          <w:rFonts w:hint="eastAsia" w:ascii="仿宋" w:hAnsi="仿宋" w:eastAsia="仿宋"/>
          <w:b w:val="0"/>
          <w:bCs w:val="0"/>
          <w:color w:val="000000" w:themeColor="text1"/>
          <w:sz w:val="32"/>
          <w:szCs w:val="32"/>
          <w:lang w:val="en-US" w:eastAsia="zh-CN"/>
          <w14:textFill>
            <w14:solidFill>
              <w14:schemeClr w14:val="tx1"/>
            </w14:solidFill>
          </w14:textFill>
        </w:rPr>
        <w:t>7.39</w:t>
      </w:r>
      <w:r>
        <w:rPr>
          <w:rFonts w:hint="eastAsia" w:ascii="仿宋" w:hAnsi="仿宋" w:eastAsia="仿宋"/>
          <w:b w:val="0"/>
          <w:bCs w:val="0"/>
          <w:color w:val="000000" w:themeColor="text1"/>
          <w:sz w:val="32"/>
          <w:szCs w:val="32"/>
          <w14:textFill>
            <w14:solidFill>
              <w14:schemeClr w14:val="tx1"/>
            </w14:solidFill>
          </w14:textFill>
        </w:rPr>
        <w:t>万元，占</w:t>
      </w:r>
      <w:r>
        <w:rPr>
          <w:rFonts w:hint="eastAsia" w:ascii="仿宋" w:hAnsi="仿宋" w:eastAsia="仿宋"/>
          <w:b w:val="0"/>
          <w:bCs w:val="0"/>
          <w:color w:val="000000" w:themeColor="text1"/>
          <w:sz w:val="32"/>
          <w:szCs w:val="32"/>
          <w:lang w:val="en-US" w:eastAsia="zh-CN"/>
          <w14:textFill>
            <w14:solidFill>
              <w14:schemeClr w14:val="tx1"/>
            </w14:solidFill>
          </w14:textFill>
        </w:rPr>
        <w:t>3.75</w:t>
      </w:r>
      <w:r>
        <w:rPr>
          <w:rFonts w:ascii="仿宋" w:hAnsi="仿宋" w:eastAsia="仿宋"/>
          <w:b w:val="0"/>
          <w:bCs w:val="0"/>
          <w:color w:val="000000" w:themeColor="text1"/>
          <w:sz w:val="32"/>
          <w:szCs w:val="32"/>
          <w14:textFill>
            <w14:solidFill>
              <w14:schemeClr w14:val="tx1"/>
            </w14:solidFill>
          </w14:textFill>
        </w:rPr>
        <w:t>%</w:t>
      </w:r>
      <w:r>
        <w:rPr>
          <w:rFonts w:hint="eastAsia" w:ascii="仿宋" w:hAnsi="仿宋" w:eastAsia="仿宋"/>
          <w:b w:val="0"/>
          <w:bCs w:val="0"/>
          <w:color w:val="000000" w:themeColor="text1"/>
          <w:sz w:val="32"/>
          <w:szCs w:val="32"/>
          <w14:textFill>
            <w14:solidFill>
              <w14:schemeClr w14:val="tx1"/>
            </w14:solidFill>
          </w14:textFill>
        </w:rPr>
        <w:t>；住房保障支出</w:t>
      </w:r>
      <w:r>
        <w:rPr>
          <w:rFonts w:hint="eastAsia" w:ascii="仿宋_GB2312" w:hAnsi="仿宋" w:eastAsia="仿宋_GB2312"/>
          <w:sz w:val="32"/>
          <w:szCs w:val="32"/>
          <w:lang w:val="en-US" w:eastAsia="zh-CN"/>
        </w:rPr>
        <w:t>10.83</w:t>
      </w:r>
      <w:r>
        <w:rPr>
          <w:rFonts w:hint="eastAsia" w:ascii="仿宋" w:hAnsi="仿宋" w:eastAsia="仿宋"/>
          <w:b w:val="0"/>
          <w:bCs w:val="0"/>
          <w:color w:val="000000" w:themeColor="text1"/>
          <w:sz w:val="32"/>
          <w:szCs w:val="32"/>
          <w14:textFill>
            <w14:solidFill>
              <w14:schemeClr w14:val="tx1"/>
            </w14:solidFill>
          </w14:textFill>
        </w:rPr>
        <w:t>万元，占</w:t>
      </w:r>
      <w:r>
        <w:rPr>
          <w:rFonts w:hint="eastAsia" w:ascii="仿宋" w:hAnsi="仿宋" w:eastAsia="仿宋"/>
          <w:b w:val="0"/>
          <w:bCs w:val="0"/>
          <w:color w:val="000000" w:themeColor="text1"/>
          <w:sz w:val="32"/>
          <w:szCs w:val="32"/>
          <w:lang w:val="en-US" w:eastAsia="zh-CN"/>
          <w14:textFill>
            <w14:solidFill>
              <w14:schemeClr w14:val="tx1"/>
            </w14:solidFill>
          </w14:textFill>
        </w:rPr>
        <w:t>5.5</w:t>
      </w:r>
      <w:r>
        <w:rPr>
          <w:rFonts w:ascii="仿宋" w:hAnsi="仿宋" w:eastAsia="仿宋"/>
          <w:b w:val="0"/>
          <w:bCs w:val="0"/>
          <w:color w:val="000000" w:themeColor="text1"/>
          <w:sz w:val="32"/>
          <w:szCs w:val="32"/>
          <w14:textFill>
            <w14:solidFill>
              <w14:schemeClr w14:val="tx1"/>
            </w14:solidFill>
          </w14:textFill>
        </w:rPr>
        <w:t>%</w:t>
      </w:r>
      <w:r>
        <w:rPr>
          <w:rFonts w:hint="eastAsia" w:ascii="仿宋" w:hAnsi="仿宋" w:eastAsia="仿宋"/>
          <w:b w:val="0"/>
          <w:bCs w:val="0"/>
          <w:color w:val="000000" w:themeColor="text1"/>
          <w:sz w:val="32"/>
          <w:szCs w:val="32"/>
          <w14:textFill>
            <w14:solidFill>
              <w14:schemeClr w14:val="tx1"/>
            </w14:solidFill>
          </w14:textFill>
        </w:rPr>
        <w:t>。</w:t>
      </w:r>
    </w:p>
    <w:p>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（图6：一般公共预算财政拨款支出决算结构）</w:t>
      </w:r>
    </w:p>
    <w:p>
      <w:pPr>
        <w:spacing w:line="600" w:lineRule="exac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drawing>
          <wp:anchor distT="0" distB="0" distL="114300" distR="114300" simplePos="0" relativeHeight="251662336" behindDoc="0" locked="0" layoutInCell="1" allowOverlap="1">
            <wp:simplePos x="0" y="0"/>
            <wp:positionH relativeFrom="column">
              <wp:posOffset>134620</wp:posOffset>
            </wp:positionH>
            <wp:positionV relativeFrom="paragraph">
              <wp:posOffset>128270</wp:posOffset>
            </wp:positionV>
            <wp:extent cx="5080000" cy="3810000"/>
            <wp:effectExtent l="4445" t="4445" r="20955" b="14605"/>
            <wp:wrapTopAndBottom/>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ind w:firstLine="643" w:firstLineChars="200"/>
        <w:outlineLvl w:val="2"/>
        <w:rPr>
          <w:rFonts w:ascii="仿宋" w:hAnsi="仿宋" w:eastAsia="仿宋"/>
          <w:b/>
          <w:color w:val="000000"/>
          <w:sz w:val="32"/>
          <w:szCs w:val="32"/>
        </w:rPr>
      </w:pPr>
      <w:r>
        <w:rPr>
          <w:rFonts w:hint="eastAsia" w:ascii="仿宋" w:hAnsi="仿宋" w:eastAsia="仿宋"/>
          <w:b/>
          <w:color w:val="000000"/>
          <w:sz w:val="32"/>
          <w:szCs w:val="32"/>
        </w:rPr>
        <w:t>（三）一般公共预算财政拨款支出决算具体情况</w:t>
      </w:r>
    </w:p>
    <w:p>
      <w:pPr>
        <w:spacing w:line="600" w:lineRule="exact"/>
        <w:ind w:firstLine="640" w:firstLineChars="200"/>
        <w:outlineLvl w:val="2"/>
        <w:rPr>
          <w:rFonts w:ascii="仿宋" w:hAnsi="仿宋" w:eastAsia="仿宋"/>
          <w:b w:val="0"/>
          <w:bCs/>
          <w:color w:val="FF0000"/>
          <w:sz w:val="32"/>
          <w:szCs w:val="32"/>
        </w:rPr>
      </w:pPr>
      <w:r>
        <w:rPr>
          <w:rFonts w:hint="eastAsia" w:ascii="仿宋" w:hAnsi="仿宋" w:eastAsia="仿宋"/>
          <w:b w:val="0"/>
          <w:bCs/>
          <w:color w:val="000000" w:themeColor="text1"/>
          <w:sz w:val="32"/>
          <w:szCs w:val="32"/>
          <w:lang w:eastAsia="zh-CN"/>
          <w14:textFill>
            <w14:solidFill>
              <w14:schemeClr w14:val="tx1"/>
            </w14:solidFill>
          </w14:textFill>
        </w:rPr>
        <w:t>202</w:t>
      </w:r>
      <w:r>
        <w:rPr>
          <w:rFonts w:hint="eastAsia" w:ascii="仿宋" w:hAnsi="仿宋" w:eastAsia="仿宋"/>
          <w:b w:val="0"/>
          <w:bCs/>
          <w:color w:val="000000" w:themeColor="text1"/>
          <w:sz w:val="32"/>
          <w:szCs w:val="32"/>
          <w:lang w:val="en-US" w:eastAsia="zh-CN"/>
          <w14:textFill>
            <w14:solidFill>
              <w14:schemeClr w14:val="tx1"/>
            </w14:solidFill>
          </w14:textFill>
        </w:rPr>
        <w:t>5</w:t>
      </w:r>
      <w:r>
        <w:rPr>
          <w:rFonts w:hint="eastAsia" w:ascii="仿宋" w:hAnsi="仿宋" w:eastAsia="仿宋"/>
          <w:b w:val="0"/>
          <w:bCs/>
          <w:color w:val="000000" w:themeColor="text1"/>
          <w:sz w:val="32"/>
          <w:szCs w:val="32"/>
          <w14:textFill>
            <w14:solidFill>
              <w14:schemeClr w14:val="tx1"/>
            </w14:solidFill>
          </w14:textFill>
        </w:rPr>
        <w:t>年</w:t>
      </w:r>
      <w:r>
        <w:rPr>
          <w:rFonts w:hint="eastAsia" w:ascii="仿宋" w:hAnsi="仿宋" w:eastAsia="仿宋"/>
          <w:b w:val="0"/>
          <w:bCs/>
          <w:color w:val="000000" w:themeColor="text1"/>
          <w:sz w:val="32"/>
          <w:szCs w:val="32"/>
          <w:lang w:eastAsia="zh-CN"/>
          <w14:textFill>
            <w14:solidFill>
              <w14:schemeClr w14:val="tx1"/>
            </w14:solidFill>
          </w14:textFill>
        </w:rPr>
        <w:t>一</w:t>
      </w:r>
      <w:r>
        <w:rPr>
          <w:rFonts w:hint="eastAsia" w:ascii="仿宋" w:hAnsi="仿宋" w:eastAsia="仿宋"/>
          <w:b w:val="0"/>
          <w:bCs/>
          <w:color w:val="000000" w:themeColor="text1"/>
          <w:sz w:val="32"/>
          <w:szCs w:val="32"/>
          <w14:textFill>
            <w14:solidFill>
              <w14:schemeClr w14:val="tx1"/>
            </w14:solidFill>
          </w14:textFill>
        </w:rPr>
        <w:t>般公共预算支出决算数为</w:t>
      </w:r>
      <w:r>
        <w:rPr>
          <w:rFonts w:hint="eastAsia" w:ascii="仿宋_GB2312" w:hAnsi="仿宋" w:eastAsia="仿宋_GB2312"/>
          <w:sz w:val="32"/>
          <w:szCs w:val="32"/>
          <w:lang w:val="en-US" w:eastAsia="zh-CN"/>
        </w:rPr>
        <w:t>196.96</w:t>
      </w:r>
      <w:r>
        <w:rPr>
          <w:rFonts w:hint="eastAsia" w:ascii="仿宋_GB2312" w:hAnsi="仿宋_GB2312" w:eastAsia="仿宋_GB2312" w:cs="仿宋_GB2312"/>
          <w:sz w:val="32"/>
          <w:szCs w:val="32"/>
          <w:lang w:val="en-US" w:eastAsia="zh-CN"/>
        </w:rPr>
        <w:t>万元</w:t>
      </w:r>
      <w:r>
        <w:rPr>
          <w:rFonts w:hint="eastAsia" w:ascii="仿宋" w:hAnsi="仿宋" w:eastAsia="仿宋"/>
          <w:b w:val="0"/>
          <w:bCs/>
          <w:color w:val="000000" w:themeColor="text1"/>
          <w:sz w:val="32"/>
          <w:szCs w:val="32"/>
          <w14:textFill>
            <w14:solidFill>
              <w14:schemeClr w14:val="tx1"/>
            </w14:solidFill>
          </w14:textFill>
        </w:rPr>
        <w:t>，</w:t>
      </w:r>
      <w:r>
        <w:rPr>
          <w:rStyle w:val="21"/>
          <w:rFonts w:hint="eastAsia" w:ascii="仿宋" w:hAnsi="仿宋" w:eastAsia="仿宋"/>
          <w:b w:val="0"/>
          <w:bCs/>
          <w:color w:val="000000" w:themeColor="text1"/>
          <w:sz w:val="32"/>
          <w:szCs w:val="32"/>
          <w14:textFill>
            <w14:solidFill>
              <w14:schemeClr w14:val="tx1"/>
            </w14:solidFill>
          </w14:textFill>
        </w:rPr>
        <w:t>完成</w:t>
      </w:r>
      <w:r>
        <w:rPr>
          <w:rStyle w:val="21"/>
          <w:rFonts w:hint="eastAsia" w:ascii="仿宋" w:hAnsi="仿宋" w:eastAsia="仿宋"/>
          <w:b w:val="0"/>
          <w:bCs/>
          <w:color w:val="000000"/>
          <w:sz w:val="32"/>
          <w:szCs w:val="32"/>
        </w:rPr>
        <w:t>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。其中：</w:t>
      </w:r>
    </w:p>
    <w:p>
      <w:pPr>
        <w:spacing w:line="600" w:lineRule="exact"/>
        <w:ind w:firstLine="640" w:firstLineChars="200"/>
        <w:rPr>
          <w:rFonts w:ascii="仿宋" w:hAnsi="仿宋" w:eastAsia="仿宋"/>
          <w:b w:val="0"/>
          <w:bCs/>
          <w:color w:val="000000"/>
          <w:sz w:val="32"/>
          <w:szCs w:val="32"/>
        </w:rPr>
      </w:pPr>
      <w:r>
        <w:rPr>
          <w:rStyle w:val="21"/>
          <w:rFonts w:ascii="仿宋" w:hAnsi="仿宋" w:eastAsia="仿宋"/>
          <w:b w:val="0"/>
          <w:bCs/>
          <w:color w:val="000000"/>
          <w:sz w:val="32"/>
          <w:szCs w:val="32"/>
        </w:rPr>
        <w:t>1.</w:t>
      </w:r>
      <w:r>
        <w:rPr>
          <w:rStyle w:val="21"/>
          <w:rFonts w:hint="eastAsia" w:ascii="仿宋" w:hAnsi="仿宋" w:eastAsia="仿宋"/>
          <w:b w:val="0"/>
          <w:bCs/>
          <w:color w:val="000000"/>
          <w:sz w:val="32"/>
          <w:szCs w:val="32"/>
        </w:rPr>
        <w:t>一般公共服务2010350</w:t>
      </w:r>
      <w:r>
        <w:rPr>
          <w:rStyle w:val="21"/>
          <w:rFonts w:hint="eastAsia" w:ascii="仿宋" w:hAnsi="仿宋" w:eastAsia="仿宋"/>
          <w:b w:val="0"/>
          <w:bCs/>
          <w:color w:val="000000"/>
          <w:sz w:val="32"/>
          <w:szCs w:val="32"/>
          <w:lang w:val="en-US" w:eastAsia="zh-CN"/>
        </w:rPr>
        <w:t>-事业运行</w:t>
      </w:r>
      <w:r>
        <w:rPr>
          <w:rStyle w:val="21"/>
          <w:rFonts w:ascii="仿宋" w:hAnsi="仿宋" w:eastAsia="仿宋"/>
          <w:b w:val="0"/>
          <w:bCs/>
          <w:color w:val="000000"/>
          <w:sz w:val="32"/>
          <w:szCs w:val="32"/>
        </w:rPr>
        <w:t xml:space="preserve">: </w:t>
      </w:r>
      <w:r>
        <w:rPr>
          <w:rStyle w:val="21"/>
          <w:rFonts w:hint="eastAsia" w:ascii="仿宋" w:hAnsi="仿宋" w:eastAsia="仿宋"/>
          <w:b w:val="0"/>
          <w:bCs/>
          <w:color w:val="000000"/>
          <w:sz w:val="32"/>
          <w:szCs w:val="32"/>
        </w:rPr>
        <w:t>支出决算为</w:t>
      </w:r>
      <w:r>
        <w:rPr>
          <w:rFonts w:hint="eastAsia" w:ascii="仿宋_GB2312" w:hAnsi="仿宋" w:eastAsia="仿宋_GB2312"/>
          <w:sz w:val="32"/>
          <w:szCs w:val="32"/>
          <w:lang w:val="en-US" w:eastAsia="zh-CN"/>
        </w:rPr>
        <w:t>159.11</w:t>
      </w:r>
      <w:r>
        <w:rPr>
          <w:rFonts w:hint="eastAsia" w:ascii="仿宋" w:hAnsi="仿宋" w:eastAsia="仿宋"/>
          <w:b w:val="0"/>
          <w:bCs/>
          <w:color w:val="000000" w:themeColor="text1"/>
          <w:sz w:val="32"/>
          <w:szCs w:val="32"/>
          <w14:textFill>
            <w14:solidFill>
              <w14:schemeClr w14:val="tx1"/>
            </w14:solidFill>
          </w14:textFill>
        </w:rPr>
        <w:t>万元</w:t>
      </w:r>
      <w:r>
        <w:rPr>
          <w:rStyle w:val="21"/>
          <w:rFonts w:hint="eastAsia" w:ascii="仿宋" w:hAnsi="仿宋" w:eastAsia="仿宋"/>
          <w:b w:val="0"/>
          <w:bCs/>
          <w:color w:val="000000"/>
          <w:sz w:val="32"/>
          <w:szCs w:val="32"/>
        </w:rPr>
        <w:t>，完成预算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，决算数等于预算数。</w:t>
      </w:r>
    </w:p>
    <w:p>
      <w:pPr>
        <w:spacing w:line="600" w:lineRule="exact"/>
        <w:ind w:firstLine="640" w:firstLineChars="200"/>
        <w:rPr>
          <w:rFonts w:ascii="仿宋" w:hAnsi="仿宋" w:eastAsia="仿宋"/>
          <w:b w:val="0"/>
          <w:bCs/>
          <w:color w:val="000000"/>
          <w:sz w:val="32"/>
          <w:szCs w:val="32"/>
        </w:rPr>
      </w:pPr>
      <w:r>
        <w:rPr>
          <w:rStyle w:val="21"/>
          <w:rFonts w:hint="eastAsia" w:ascii="仿宋" w:hAnsi="仿宋" w:eastAsia="仿宋"/>
          <w:b w:val="0"/>
          <w:bCs/>
          <w:color w:val="000000"/>
          <w:sz w:val="32"/>
          <w:szCs w:val="32"/>
          <w:lang w:val="en-US" w:eastAsia="zh-CN"/>
        </w:rPr>
        <w:t>2</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社会保障和就业</w:t>
      </w:r>
      <w:r>
        <w:rPr>
          <w:rFonts w:hint="eastAsia" w:ascii="仿宋_GB2312" w:eastAsia="仿宋_GB2312"/>
          <w:spacing w:val="-6"/>
          <w:sz w:val="32"/>
          <w:szCs w:val="32"/>
        </w:rPr>
        <w:t>2080505机关事业单位基本养老保险缴费支出</w:t>
      </w:r>
      <w:r>
        <w:rPr>
          <w:rFonts w:hint="eastAsia" w:ascii="仿宋_GB2312" w:eastAsia="仿宋_GB2312"/>
          <w:spacing w:val="-6"/>
          <w:sz w:val="32"/>
          <w:szCs w:val="32"/>
          <w:lang w:eastAsia="zh-CN"/>
        </w:rPr>
        <w:t>和</w:t>
      </w:r>
      <w:r>
        <w:rPr>
          <w:rFonts w:hint="eastAsia" w:ascii="仿宋_GB2312" w:eastAsia="仿宋_GB2312"/>
          <w:spacing w:val="-6"/>
          <w:sz w:val="32"/>
          <w:szCs w:val="32"/>
        </w:rPr>
        <w:t>2080506机关事业单位职业年金缴费支出</w:t>
      </w:r>
      <w:r>
        <w:rPr>
          <w:rStyle w:val="21"/>
          <w:rFonts w:hint="eastAsia" w:ascii="仿宋" w:hAnsi="仿宋" w:eastAsia="仿宋"/>
          <w:b w:val="0"/>
          <w:bCs/>
          <w:color w:val="000000"/>
          <w:sz w:val="32"/>
          <w:szCs w:val="32"/>
        </w:rPr>
        <w:t>决算为</w:t>
      </w:r>
      <w:r>
        <w:rPr>
          <w:rFonts w:hint="eastAsia" w:ascii="仿宋_GB2312" w:hAnsi="仿宋" w:eastAsia="仿宋_GB2312"/>
          <w:sz w:val="32"/>
          <w:szCs w:val="32"/>
          <w:lang w:val="en-US" w:eastAsia="zh-CN"/>
        </w:rPr>
        <w:t>19.62</w:t>
      </w:r>
      <w:r>
        <w:rPr>
          <w:rStyle w:val="21"/>
          <w:rFonts w:hint="eastAsia" w:ascii="仿宋" w:hAnsi="仿宋" w:eastAsia="仿宋"/>
          <w:b w:val="0"/>
          <w:bCs/>
          <w:color w:val="000000"/>
          <w:sz w:val="32"/>
          <w:szCs w:val="32"/>
        </w:rPr>
        <w:t>万元，完成预算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，决算数等于预算数。</w:t>
      </w:r>
    </w:p>
    <w:p>
      <w:pPr>
        <w:spacing w:line="600" w:lineRule="exact"/>
        <w:ind w:firstLine="640" w:firstLineChars="200"/>
        <w:rPr>
          <w:rStyle w:val="21"/>
          <w:rFonts w:hint="eastAsia" w:ascii="仿宋" w:hAnsi="仿宋" w:eastAsia="仿宋"/>
          <w:b w:val="0"/>
          <w:bCs/>
          <w:color w:val="000000"/>
          <w:sz w:val="32"/>
          <w:szCs w:val="32"/>
        </w:rPr>
      </w:pPr>
      <w:r>
        <w:rPr>
          <w:rStyle w:val="21"/>
          <w:rFonts w:hint="eastAsia" w:ascii="仿宋" w:hAnsi="仿宋" w:eastAsia="仿宋"/>
          <w:b w:val="0"/>
          <w:bCs/>
          <w:color w:val="000000"/>
          <w:sz w:val="32"/>
          <w:szCs w:val="32"/>
          <w:lang w:val="en-US" w:eastAsia="zh-CN"/>
        </w:rPr>
        <w:t>3</w:t>
      </w:r>
      <w:r>
        <w:rPr>
          <w:rStyle w:val="21"/>
          <w:rFonts w:ascii="仿宋" w:hAnsi="仿宋" w:eastAsia="仿宋"/>
          <w:b w:val="0"/>
          <w:bCs/>
          <w:color w:val="000000"/>
          <w:sz w:val="32"/>
          <w:szCs w:val="32"/>
        </w:rPr>
        <w:t>.</w:t>
      </w:r>
      <w:r>
        <w:rPr>
          <w:rFonts w:hint="eastAsia" w:ascii="仿宋" w:hAnsi="仿宋" w:eastAsia="仿宋"/>
          <w:b w:val="0"/>
          <w:bCs/>
          <w:color w:val="000000" w:themeColor="text1"/>
          <w:sz w:val="32"/>
          <w:szCs w:val="32"/>
          <w14:textFill>
            <w14:solidFill>
              <w14:schemeClr w14:val="tx1"/>
            </w14:solidFill>
          </w14:textFill>
        </w:rPr>
        <w:t>卫生健康</w:t>
      </w:r>
      <w:r>
        <w:rPr>
          <w:rFonts w:hint="eastAsia" w:ascii="仿宋_GB2312" w:eastAsia="仿宋_GB2312"/>
          <w:spacing w:val="-6"/>
          <w:sz w:val="32"/>
          <w:szCs w:val="32"/>
        </w:rPr>
        <w:t>2101102事业单位医疗支出</w:t>
      </w:r>
      <w:r>
        <w:rPr>
          <w:rFonts w:hint="eastAsia" w:ascii="仿宋_GB2312" w:eastAsia="仿宋_GB2312"/>
          <w:spacing w:val="-6"/>
          <w:sz w:val="32"/>
          <w:szCs w:val="32"/>
          <w:lang w:eastAsia="zh-CN"/>
        </w:rPr>
        <w:t>和</w:t>
      </w:r>
      <w:r>
        <w:rPr>
          <w:rFonts w:hint="eastAsia" w:ascii="仿宋_GB2312" w:eastAsia="仿宋_GB2312"/>
          <w:spacing w:val="-6"/>
          <w:sz w:val="32"/>
          <w:szCs w:val="32"/>
        </w:rPr>
        <w:t>2101199 其他行政事业单位医疗</w:t>
      </w:r>
      <w:r>
        <w:rPr>
          <w:rStyle w:val="21"/>
          <w:rFonts w:hint="eastAsia" w:ascii="仿宋" w:hAnsi="仿宋" w:eastAsia="仿宋"/>
          <w:b w:val="0"/>
          <w:bCs/>
          <w:color w:val="000000"/>
          <w:sz w:val="32"/>
          <w:szCs w:val="32"/>
        </w:rPr>
        <w:t>支出决算为</w:t>
      </w:r>
      <w:r>
        <w:rPr>
          <w:rFonts w:hint="eastAsia" w:ascii="仿宋" w:hAnsi="仿宋" w:eastAsia="仿宋"/>
          <w:b w:val="0"/>
          <w:bCs w:val="0"/>
          <w:color w:val="000000" w:themeColor="text1"/>
          <w:sz w:val="32"/>
          <w:szCs w:val="32"/>
          <w:lang w:val="en-US" w:eastAsia="zh-CN"/>
          <w14:textFill>
            <w14:solidFill>
              <w14:schemeClr w14:val="tx1"/>
            </w14:solidFill>
          </w14:textFill>
        </w:rPr>
        <w:t>7.39</w:t>
      </w:r>
      <w:r>
        <w:rPr>
          <w:rStyle w:val="21"/>
          <w:rFonts w:hint="eastAsia" w:ascii="仿宋" w:hAnsi="仿宋" w:eastAsia="仿宋"/>
          <w:b w:val="0"/>
          <w:bCs/>
          <w:color w:val="000000"/>
          <w:sz w:val="32"/>
          <w:szCs w:val="32"/>
        </w:rPr>
        <w:t>万元，完成预算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，决算数等于预算数。</w:t>
      </w:r>
    </w:p>
    <w:p>
      <w:pPr>
        <w:spacing w:line="600" w:lineRule="exact"/>
        <w:ind w:firstLine="640" w:firstLineChars="200"/>
        <w:rPr>
          <w:rFonts w:ascii="仿宋" w:hAnsi="仿宋" w:eastAsia="仿宋"/>
          <w:b/>
          <w:color w:val="000000"/>
          <w:sz w:val="32"/>
          <w:szCs w:val="32"/>
        </w:rPr>
      </w:pPr>
      <w:r>
        <w:rPr>
          <w:rFonts w:hint="eastAsia" w:ascii="仿宋" w:hAnsi="仿宋" w:eastAsia="仿宋"/>
          <w:b w:val="0"/>
          <w:bCs/>
          <w:color w:val="000000" w:themeColor="text1"/>
          <w:sz w:val="32"/>
          <w:szCs w:val="32"/>
          <w:lang w:val="en-US" w:eastAsia="zh-CN"/>
          <w14:textFill>
            <w14:solidFill>
              <w14:schemeClr w14:val="tx1"/>
            </w14:solidFill>
          </w14:textFill>
        </w:rPr>
        <w:t>4.</w:t>
      </w:r>
      <w:r>
        <w:rPr>
          <w:rFonts w:hint="eastAsia" w:ascii="仿宋" w:hAnsi="仿宋" w:eastAsia="仿宋"/>
          <w:b w:val="0"/>
          <w:bCs w:val="0"/>
          <w:color w:val="000000" w:themeColor="text1"/>
          <w:sz w:val="32"/>
          <w:szCs w:val="32"/>
          <w14:textFill>
            <w14:solidFill>
              <w14:schemeClr w14:val="tx1"/>
            </w14:solidFill>
          </w14:textFill>
        </w:rPr>
        <w:t>住房保障支出</w:t>
      </w:r>
      <w:r>
        <w:rPr>
          <w:rFonts w:hint="eastAsia" w:ascii="仿宋_GB2312" w:eastAsia="仿宋_GB2312"/>
          <w:spacing w:val="-6"/>
          <w:sz w:val="32"/>
          <w:szCs w:val="32"/>
        </w:rPr>
        <w:t>2210201住房公积金支出</w:t>
      </w:r>
      <w:bookmarkStart w:id="71" w:name="_GoBack"/>
      <w:bookmarkEnd w:id="71"/>
      <w:r>
        <w:rPr>
          <w:rFonts w:hint="eastAsia" w:ascii="仿宋_GB2312" w:hAnsi="仿宋" w:eastAsia="仿宋_GB2312"/>
          <w:sz w:val="32"/>
          <w:szCs w:val="32"/>
          <w:lang w:val="en-US" w:eastAsia="zh-CN"/>
        </w:rPr>
        <w:t>10.83</w:t>
      </w:r>
      <w:r>
        <w:rPr>
          <w:rFonts w:hint="eastAsia" w:ascii="仿宋" w:hAnsi="仿宋" w:eastAsia="仿宋"/>
          <w:b w:val="0"/>
          <w:bCs/>
          <w:color w:val="000000" w:themeColor="text1"/>
          <w:sz w:val="32"/>
          <w:szCs w:val="32"/>
          <w14:textFill>
            <w14:solidFill>
              <w14:schemeClr w14:val="tx1"/>
            </w14:solidFill>
          </w14:textFill>
        </w:rPr>
        <w:t>万元，</w:t>
      </w:r>
      <w:r>
        <w:rPr>
          <w:rStyle w:val="21"/>
          <w:rFonts w:hint="eastAsia" w:ascii="仿宋" w:hAnsi="仿宋" w:eastAsia="仿宋"/>
          <w:b w:val="0"/>
          <w:bCs/>
          <w:color w:val="000000"/>
          <w:sz w:val="32"/>
          <w:szCs w:val="32"/>
        </w:rPr>
        <w:t>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，决算数等于预算数。</w:t>
      </w:r>
    </w:p>
    <w:p>
      <w:pPr>
        <w:tabs>
          <w:tab w:val="right" w:pos="8306"/>
        </w:tabs>
        <w:spacing w:line="600" w:lineRule="exact"/>
        <w:ind w:firstLine="640"/>
        <w:outlineLvl w:val="1"/>
        <w:rPr>
          <w:rStyle w:val="24"/>
        </w:rPr>
      </w:pPr>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4"/>
          <w:rFonts w:hint="eastAsia" w:ascii="黑体" w:hAnsi="黑体" w:eastAsia="黑体"/>
          <w:b w:val="0"/>
        </w:rPr>
        <w:t>般公共预算财政拨款基本支出决算情况说明</w:t>
      </w:r>
      <w:r>
        <w:rPr>
          <w:rStyle w:val="24"/>
          <w:rFonts w:ascii="黑体" w:hAnsi="黑体" w:eastAsia="黑体"/>
          <w:b w:val="0"/>
        </w:rPr>
        <w:tab/>
      </w:r>
    </w:p>
    <w:p>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年一般公共预算财政拨款基本支出</w:t>
      </w:r>
      <w:r>
        <w:rPr>
          <w:rFonts w:hint="eastAsia" w:ascii="仿宋" w:hAnsi="仿宋" w:eastAsia="仿宋"/>
          <w:color w:val="000000"/>
          <w:sz w:val="32"/>
          <w:szCs w:val="32"/>
          <w:lang w:val="en-US" w:eastAsia="zh-CN"/>
        </w:rPr>
        <w:t>196.96</w:t>
      </w:r>
      <w:r>
        <w:rPr>
          <w:rFonts w:hint="eastAsia" w:ascii="仿宋" w:hAnsi="仿宋" w:eastAsia="仿宋"/>
          <w:color w:val="000000"/>
          <w:sz w:val="32"/>
          <w:szCs w:val="32"/>
        </w:rPr>
        <w:t>万元，其中：</w:t>
      </w:r>
    </w:p>
    <w:p>
      <w:pPr>
        <w:spacing w:line="600" w:lineRule="exact"/>
        <w:ind w:firstLine="645"/>
        <w:rPr>
          <w:rFonts w:hint="eastAsia" w:ascii="仿宋" w:hAnsi="仿宋" w:eastAsia="仿宋"/>
          <w:color w:val="000000"/>
          <w:sz w:val="32"/>
          <w:szCs w:val="32"/>
          <w:lang w:eastAsia="zh-CN"/>
        </w:rPr>
      </w:pPr>
      <w:r>
        <w:rPr>
          <w:rFonts w:ascii="仿宋" w:hAnsi="仿宋" w:eastAsia="仿宋"/>
          <w:color w:val="000000"/>
          <w:sz w:val="32"/>
          <w:szCs w:val="32"/>
        </w:rPr>
        <w:drawing>
          <wp:anchor distT="0" distB="0" distL="114300" distR="114300" simplePos="0" relativeHeight="251664384" behindDoc="0" locked="0" layoutInCell="1" allowOverlap="1">
            <wp:simplePos x="0" y="0"/>
            <wp:positionH relativeFrom="column">
              <wp:posOffset>66040</wp:posOffset>
            </wp:positionH>
            <wp:positionV relativeFrom="paragraph">
              <wp:posOffset>2811780</wp:posOffset>
            </wp:positionV>
            <wp:extent cx="5412740" cy="3838575"/>
            <wp:effectExtent l="4445" t="4445" r="12065" b="5080"/>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仿宋" w:hAnsi="仿宋" w:eastAsia="仿宋"/>
          <w:color w:val="000000"/>
          <w:sz w:val="32"/>
          <w:szCs w:val="32"/>
          <w:lang w:eastAsia="zh-CN"/>
        </w:rPr>
        <w:t>工资与福利支出：</w:t>
      </w:r>
      <w:r>
        <w:rPr>
          <w:rFonts w:hint="eastAsia" w:ascii="仿宋" w:hAnsi="仿宋" w:eastAsia="仿宋"/>
          <w:color w:val="000000"/>
          <w:sz w:val="32"/>
          <w:szCs w:val="32"/>
          <w:lang w:val="en-US" w:eastAsia="zh-CN"/>
        </w:rPr>
        <w:t>127.27</w:t>
      </w:r>
      <w:r>
        <w:rPr>
          <w:rFonts w:hint="eastAsia" w:ascii="仿宋" w:hAnsi="仿宋" w:eastAsia="仿宋"/>
          <w:color w:val="000000"/>
          <w:sz w:val="32"/>
          <w:szCs w:val="32"/>
        </w:rPr>
        <w:t>万元，主要包括：基本工资</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29.46万元</w:t>
      </w:r>
      <w:r>
        <w:rPr>
          <w:rFonts w:hint="eastAsia" w:ascii="仿宋" w:hAnsi="仿宋" w:eastAsia="仿宋"/>
          <w:color w:val="000000"/>
          <w:sz w:val="32"/>
          <w:szCs w:val="32"/>
        </w:rPr>
        <w:t>、津贴补贴</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11.51万元</w:t>
      </w:r>
      <w:r>
        <w:rPr>
          <w:rFonts w:hint="eastAsia" w:ascii="仿宋" w:hAnsi="仿宋" w:eastAsia="仿宋"/>
          <w:color w:val="000000"/>
          <w:sz w:val="32"/>
          <w:szCs w:val="32"/>
        </w:rPr>
        <w:t>、奖金</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32.97万元</w:t>
      </w:r>
      <w:r>
        <w:rPr>
          <w:rFonts w:hint="eastAsia" w:ascii="仿宋" w:hAnsi="仿宋" w:eastAsia="仿宋"/>
          <w:color w:val="000000"/>
          <w:sz w:val="32"/>
          <w:szCs w:val="32"/>
        </w:rPr>
        <w:t>、绩效工资</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13.78万元</w:t>
      </w:r>
      <w:r>
        <w:rPr>
          <w:rFonts w:hint="eastAsia" w:ascii="仿宋" w:hAnsi="仿宋" w:eastAsia="仿宋"/>
          <w:color w:val="000000"/>
          <w:sz w:val="32"/>
          <w:szCs w:val="32"/>
        </w:rPr>
        <w:t>、机关事业单位基本养老保险缴费</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13.08万元</w:t>
      </w:r>
      <w:r>
        <w:rPr>
          <w:rFonts w:hint="eastAsia" w:ascii="仿宋" w:hAnsi="仿宋" w:eastAsia="仿宋"/>
          <w:color w:val="000000"/>
          <w:sz w:val="32"/>
          <w:szCs w:val="32"/>
        </w:rPr>
        <w:t>、职业年金缴费</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6.54万元</w:t>
      </w:r>
      <w:r>
        <w:rPr>
          <w:rFonts w:hint="eastAsia" w:ascii="仿宋" w:hAnsi="仿宋" w:eastAsia="仿宋"/>
          <w:color w:val="000000"/>
          <w:sz w:val="32"/>
          <w:szCs w:val="32"/>
        </w:rPr>
        <w:t>、职工基本医疗保险缴费</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6.22万元、公务员医疗补助缴费：1.17万元、</w:t>
      </w:r>
      <w:r>
        <w:rPr>
          <w:rFonts w:hint="eastAsia" w:ascii="仿宋" w:hAnsi="仿宋" w:eastAsia="仿宋"/>
          <w:color w:val="000000"/>
          <w:sz w:val="32"/>
          <w:szCs w:val="32"/>
        </w:rPr>
        <w:t>其他社会保障缴费</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0.64万元</w:t>
      </w:r>
      <w:r>
        <w:rPr>
          <w:rFonts w:hint="eastAsia" w:ascii="仿宋" w:hAnsi="仿宋" w:eastAsia="仿宋"/>
          <w:color w:val="000000"/>
          <w:sz w:val="32"/>
          <w:szCs w:val="32"/>
        </w:rPr>
        <w:t>、住房公积金</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10.83万元其、医疗费：1.06万元</w:t>
      </w:r>
      <w:r>
        <w:rPr>
          <w:rFonts w:hint="eastAsia" w:ascii="仿宋" w:hAnsi="仿宋" w:eastAsia="仿宋"/>
          <w:color w:val="000000"/>
          <w:sz w:val="32"/>
          <w:szCs w:val="32"/>
          <w:lang w:eastAsia="zh-CN"/>
        </w:rPr>
        <w:t>；</w:t>
      </w:r>
    </w:p>
    <w:p>
      <w:pPr>
        <w:spacing w:line="600" w:lineRule="exact"/>
        <w:ind w:firstLine="645"/>
        <w:rPr>
          <w:rFonts w:hint="eastAsia" w:ascii="仿宋" w:hAnsi="仿宋" w:eastAsia="仿宋"/>
          <w:color w:val="000000"/>
          <w:sz w:val="32"/>
          <w:szCs w:val="32"/>
        </w:rPr>
      </w:pPr>
    </w:p>
    <w:p>
      <w:pPr>
        <w:spacing w:line="600" w:lineRule="exact"/>
        <w:ind w:firstLine="645"/>
        <w:rPr>
          <w:rFonts w:hint="eastAsia" w:ascii="仿宋" w:hAnsi="仿宋" w:eastAsia="仿宋"/>
          <w:color w:val="000000"/>
          <w:sz w:val="32"/>
          <w:szCs w:val="32"/>
        </w:rPr>
      </w:pPr>
    </w:p>
    <w:p>
      <w:pPr>
        <w:spacing w:line="600" w:lineRule="exact"/>
        <w:ind w:firstLine="645"/>
        <w:rPr>
          <w:rFonts w:hint="default" w:ascii="仿宋" w:hAnsi="仿宋" w:eastAsia="仿宋"/>
          <w:color w:val="000000"/>
          <w:sz w:val="32"/>
          <w:szCs w:val="32"/>
          <w:lang w:val="en-US" w:eastAsia="zh-CN"/>
        </w:rPr>
      </w:pPr>
      <w:r>
        <w:rPr>
          <w:rFonts w:hint="eastAsia" w:ascii="仿宋" w:hAnsi="仿宋" w:eastAsia="仿宋"/>
          <w:color w:val="000000"/>
          <w:sz w:val="32"/>
          <w:szCs w:val="32"/>
        </w:rPr>
        <w:t>日常公用经费</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49.47</w:t>
      </w:r>
      <w:r>
        <w:rPr>
          <w:rFonts w:hint="eastAsia" w:ascii="仿宋" w:hAnsi="仿宋" w:eastAsia="仿宋"/>
          <w:color w:val="000000"/>
          <w:sz w:val="32"/>
          <w:szCs w:val="32"/>
        </w:rPr>
        <w:t>万元，主要包括：办公费</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1.31万元</w:t>
      </w:r>
      <w:r>
        <w:rPr>
          <w:rFonts w:hint="eastAsia" w:ascii="仿宋" w:hAnsi="仿宋" w:eastAsia="仿宋"/>
          <w:color w:val="000000"/>
          <w:sz w:val="32"/>
          <w:szCs w:val="32"/>
        </w:rPr>
        <w:t>、</w:t>
      </w:r>
      <w:r>
        <w:rPr>
          <w:rFonts w:hint="eastAsia" w:ascii="仿宋" w:hAnsi="仿宋" w:eastAsia="仿宋"/>
          <w:color w:val="000000"/>
          <w:sz w:val="32"/>
          <w:szCs w:val="32"/>
          <w:lang w:val="en-US" w:eastAsia="zh-CN"/>
        </w:rPr>
        <w:t>水费：0.05万元、电费：0.18万元、</w:t>
      </w:r>
      <w:r>
        <w:rPr>
          <w:rFonts w:hint="eastAsia" w:ascii="仿宋" w:hAnsi="仿宋" w:eastAsia="仿宋"/>
          <w:color w:val="000000"/>
          <w:sz w:val="32"/>
          <w:szCs w:val="32"/>
        </w:rPr>
        <w:t>邮电费</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0.6万元</w:t>
      </w:r>
      <w:r>
        <w:rPr>
          <w:rFonts w:hint="eastAsia" w:ascii="仿宋" w:hAnsi="仿宋" w:eastAsia="仿宋"/>
          <w:color w:val="000000"/>
          <w:sz w:val="32"/>
          <w:szCs w:val="32"/>
        </w:rPr>
        <w:t>、差旅费</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4.19万元</w:t>
      </w:r>
      <w:r>
        <w:rPr>
          <w:rFonts w:hint="eastAsia" w:ascii="仿宋" w:hAnsi="仿宋" w:eastAsia="仿宋"/>
          <w:color w:val="000000"/>
          <w:sz w:val="32"/>
          <w:szCs w:val="32"/>
        </w:rPr>
        <w:t>、公务接待费</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37.31万元、其他交通费：4.62万元，其他商品服务支出：1.22万元。</w:t>
      </w:r>
    </w:p>
    <w:p>
      <w:pPr>
        <w:spacing w:line="600" w:lineRule="exact"/>
        <w:ind w:firstLine="645"/>
        <w:rPr>
          <w:rFonts w:hint="default" w:ascii="仿宋" w:hAnsi="仿宋" w:eastAsia="仿宋"/>
          <w:color w:val="000000"/>
          <w:sz w:val="32"/>
          <w:szCs w:val="32"/>
          <w:lang w:val="en-US" w:eastAsia="zh-CN"/>
        </w:rPr>
      </w:pPr>
      <w:r>
        <w:rPr>
          <w:rFonts w:hint="eastAsia" w:ascii="仿宋" w:hAnsi="仿宋" w:eastAsia="仿宋"/>
          <w:color w:val="000000"/>
          <w:sz w:val="32"/>
          <w:szCs w:val="32"/>
          <w:lang w:eastAsia="zh-CN"/>
        </w:rPr>
        <w:drawing>
          <wp:anchor distT="0" distB="0" distL="114300" distR="114300" simplePos="0" relativeHeight="251665408" behindDoc="0" locked="0" layoutInCell="1" allowOverlap="1">
            <wp:simplePos x="0" y="0"/>
            <wp:positionH relativeFrom="column">
              <wp:posOffset>-217805</wp:posOffset>
            </wp:positionH>
            <wp:positionV relativeFrom="paragraph">
              <wp:posOffset>276225</wp:posOffset>
            </wp:positionV>
            <wp:extent cx="5640070" cy="3932555"/>
            <wp:effectExtent l="4445" t="4445" r="13335" b="6350"/>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default" w:ascii="仿宋" w:hAnsi="仿宋" w:eastAsia="仿宋"/>
          <w:color w:val="000000"/>
          <w:sz w:val="32"/>
          <w:szCs w:val="32"/>
          <w:lang w:val="en-US" w:eastAsia="zh-CN"/>
        </w:rPr>
        <w:t>对个人和家庭的补助</w:t>
      </w:r>
      <w:r>
        <w:rPr>
          <w:rFonts w:hint="eastAsia" w:ascii="仿宋" w:hAnsi="仿宋" w:eastAsia="仿宋"/>
          <w:color w:val="000000"/>
          <w:sz w:val="32"/>
          <w:szCs w:val="32"/>
          <w:lang w:val="en-US" w:eastAsia="zh-CN"/>
        </w:rPr>
        <w:t>：20.21万元，其中生活补助：20.21万元。</w:t>
      </w:r>
    </w:p>
    <w:p>
      <w:pPr>
        <w:spacing w:line="600" w:lineRule="exact"/>
        <w:ind w:firstLine="640"/>
        <w:outlineLvl w:val="1"/>
        <w:rPr>
          <w:rStyle w:val="24"/>
          <w:rFonts w:ascii="黑体" w:hAnsi="黑体" w:eastAsia="黑体"/>
          <w:b w:val="0"/>
        </w:rPr>
      </w:pPr>
      <w:r>
        <w:rPr>
          <w:rFonts w:hint="eastAsia" w:ascii="黑体" w:eastAsia="黑体"/>
          <w:color w:val="000000"/>
          <w:sz w:val="32"/>
          <w:szCs w:val="32"/>
        </w:rPr>
        <w:t>七、</w:t>
      </w:r>
      <w:r>
        <w:rPr>
          <w:rStyle w:val="24"/>
          <w:rFonts w:hint="eastAsia" w:ascii="黑体" w:hAnsi="黑体" w:eastAsia="黑体"/>
        </w:rPr>
        <w:t>“</w:t>
      </w:r>
      <w:r>
        <w:rPr>
          <w:rStyle w:val="24"/>
          <w:rFonts w:hint="eastAsia" w:ascii="黑体" w:hAnsi="黑体" w:eastAsia="黑体"/>
          <w:b w:val="0"/>
        </w:rPr>
        <w:t>三公”经费财政拨款支出决算情况说明</w:t>
      </w:r>
    </w:p>
    <w:p>
      <w:pPr>
        <w:spacing w:line="600" w:lineRule="exact"/>
        <w:ind w:firstLine="640"/>
        <w:outlineLvl w:val="2"/>
        <w:rPr>
          <w:rFonts w:ascii="仿宋" w:hAnsi="仿宋" w:eastAsia="仿宋"/>
          <w:b/>
          <w:color w:val="000000"/>
          <w:sz w:val="32"/>
          <w:szCs w:val="32"/>
        </w:rPr>
      </w:pPr>
      <w:r>
        <w:rPr>
          <w:rFonts w:hint="eastAsia" w:ascii="仿宋" w:hAnsi="仿宋" w:eastAsia="仿宋"/>
          <w:b/>
          <w:color w:val="000000"/>
          <w:sz w:val="32"/>
          <w:szCs w:val="32"/>
        </w:rPr>
        <w:t>（一）“三公”经费财政拨款支出决算总体情况说明</w:t>
      </w:r>
    </w:p>
    <w:p>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年“三公”经费财政拨款支出决算为</w:t>
      </w:r>
      <w:r>
        <w:rPr>
          <w:rFonts w:hint="eastAsia" w:ascii="仿宋" w:hAnsi="仿宋" w:eastAsia="仿宋"/>
          <w:color w:val="000000"/>
          <w:sz w:val="32"/>
          <w:szCs w:val="32"/>
          <w:lang w:val="en-US" w:eastAsia="zh-CN"/>
        </w:rPr>
        <w:t>37.31</w:t>
      </w:r>
      <w:r>
        <w:rPr>
          <w:rFonts w:hint="eastAsia" w:ascii="仿宋" w:hAnsi="仿宋" w:eastAsia="仿宋"/>
          <w:color w:val="000000"/>
          <w:sz w:val="32"/>
          <w:szCs w:val="32"/>
        </w:rPr>
        <w:t>万元，完成预算</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w:t>
      </w:r>
      <w:r>
        <w:rPr>
          <w:rStyle w:val="21"/>
          <w:rFonts w:hint="eastAsia" w:ascii="仿宋" w:hAnsi="仿宋" w:eastAsia="仿宋"/>
          <w:b w:val="0"/>
          <w:bCs/>
          <w:color w:val="000000"/>
          <w:sz w:val="32"/>
          <w:szCs w:val="32"/>
        </w:rPr>
        <w:t>决算数等于预算数</w:t>
      </w:r>
      <w:r>
        <w:rPr>
          <w:rFonts w:hint="eastAsia" w:ascii="仿宋" w:hAnsi="仿宋" w:eastAsia="仿宋"/>
          <w:color w:val="000000"/>
          <w:sz w:val="32"/>
          <w:szCs w:val="32"/>
        </w:rPr>
        <w:t>。</w:t>
      </w:r>
    </w:p>
    <w:p>
      <w:pPr>
        <w:spacing w:line="600" w:lineRule="exact"/>
        <w:ind w:firstLine="640"/>
        <w:outlineLvl w:val="2"/>
        <w:rPr>
          <w:rFonts w:ascii="仿宋" w:hAnsi="仿宋" w:eastAsia="仿宋"/>
          <w:b/>
          <w:color w:val="000000"/>
          <w:sz w:val="32"/>
          <w:szCs w:val="32"/>
        </w:rPr>
      </w:pPr>
      <w:r>
        <w:rPr>
          <w:rFonts w:hint="eastAsia" w:ascii="仿宋" w:hAnsi="仿宋" w:eastAsia="仿宋"/>
          <w:b/>
          <w:color w:val="000000"/>
          <w:sz w:val="32"/>
          <w:szCs w:val="32"/>
        </w:rPr>
        <w:t>（二）“三公”经费财政拨款支出决算具体情况说明</w:t>
      </w:r>
    </w:p>
    <w:p>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年“三公”经费财政拨款支出决算中，因公出国（境）费支出决算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；公务接待费支出决算</w:t>
      </w:r>
      <w:r>
        <w:rPr>
          <w:rFonts w:hint="eastAsia" w:ascii="仿宋" w:hAnsi="仿宋" w:eastAsia="仿宋"/>
          <w:color w:val="000000"/>
          <w:sz w:val="32"/>
          <w:szCs w:val="32"/>
          <w:lang w:val="en-US" w:eastAsia="zh-CN"/>
        </w:rPr>
        <w:t>37.31</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。具体情况如下：</w:t>
      </w:r>
    </w:p>
    <w:p>
      <w:pPr>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rPr>
        <w:t>（图7：“三公”经费财政拨款支出结构）</w:t>
      </w:r>
    </w:p>
    <w:p>
      <w:pPr>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drawing>
          <wp:anchor distT="0" distB="0" distL="114300" distR="114300" simplePos="0" relativeHeight="251663360" behindDoc="0" locked="0" layoutInCell="1" allowOverlap="1">
            <wp:simplePos x="0" y="0"/>
            <wp:positionH relativeFrom="column">
              <wp:posOffset>315595</wp:posOffset>
            </wp:positionH>
            <wp:positionV relativeFrom="paragraph">
              <wp:posOffset>147320</wp:posOffset>
            </wp:positionV>
            <wp:extent cx="5080000" cy="3810000"/>
            <wp:effectExtent l="4445" t="4445" r="20955" b="14605"/>
            <wp:wrapTopAndBottom/>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numPr>
          <w:ilvl w:val="0"/>
          <w:numId w:val="0"/>
        </w:numPr>
        <w:spacing w:line="600" w:lineRule="exact"/>
        <w:ind w:firstLine="640" w:firstLineChars="200"/>
        <w:rPr>
          <w:rFonts w:hint="eastAsia" w:ascii="仿宋_GB2312" w:eastAsia="仿宋_GB2312"/>
          <w:b w:val="0"/>
          <w:bCs/>
          <w:color w:val="000000"/>
          <w:sz w:val="32"/>
          <w:szCs w:val="32"/>
          <w:lang w:eastAsia="zh-CN"/>
        </w:rPr>
      </w:pPr>
      <w:r>
        <w:rPr>
          <w:rFonts w:hint="eastAsia" w:ascii="仿宋_GB2312" w:eastAsia="仿宋_GB2312"/>
          <w:b w:val="0"/>
          <w:bCs/>
          <w:color w:val="000000"/>
          <w:sz w:val="32"/>
          <w:szCs w:val="32"/>
          <w:lang w:val="en-US" w:eastAsia="zh-CN"/>
        </w:rPr>
        <w:t>1.</w:t>
      </w:r>
      <w:r>
        <w:rPr>
          <w:rFonts w:hint="eastAsia" w:ascii="仿宋_GB2312" w:eastAsia="仿宋_GB2312"/>
          <w:b w:val="0"/>
          <w:bCs/>
          <w:color w:val="000000"/>
          <w:sz w:val="32"/>
          <w:szCs w:val="32"/>
        </w:rPr>
        <w:t>因公出国（境）经费支出</w:t>
      </w:r>
      <w:r>
        <w:rPr>
          <w:rFonts w:hint="eastAsia" w:ascii="仿宋_GB2312" w:eastAsia="仿宋_GB2312"/>
          <w:b w:val="0"/>
          <w:bCs/>
          <w:color w:val="000000"/>
          <w:sz w:val="32"/>
          <w:szCs w:val="32"/>
          <w:lang w:val="en-US" w:eastAsia="zh-CN"/>
        </w:rPr>
        <w:t>0</w:t>
      </w:r>
      <w:r>
        <w:rPr>
          <w:rFonts w:hint="eastAsia" w:ascii="仿宋_GB2312" w:eastAsia="仿宋_GB2312"/>
          <w:b w:val="0"/>
          <w:bCs/>
          <w:color w:val="000000"/>
          <w:sz w:val="32"/>
          <w:szCs w:val="32"/>
        </w:rPr>
        <w:t>万元</w:t>
      </w:r>
      <w:r>
        <w:rPr>
          <w:rFonts w:hint="eastAsia" w:ascii="仿宋_GB2312" w:eastAsia="仿宋_GB2312"/>
          <w:b w:val="0"/>
          <w:bCs/>
          <w:color w:val="000000"/>
          <w:sz w:val="32"/>
          <w:szCs w:val="32"/>
          <w:lang w:eastAsia="zh-CN"/>
        </w:rPr>
        <w:t>。</w:t>
      </w:r>
    </w:p>
    <w:p>
      <w:pPr>
        <w:numPr>
          <w:ilvl w:val="0"/>
          <w:numId w:val="0"/>
        </w:numPr>
        <w:spacing w:line="600" w:lineRule="exact"/>
        <w:ind w:firstLine="640" w:firstLineChars="200"/>
        <w:rPr>
          <w:rFonts w:ascii="仿宋_GB2312" w:eastAsia="仿宋_GB2312"/>
          <w:b w:val="0"/>
          <w:bCs/>
          <w:color w:val="000000"/>
          <w:sz w:val="32"/>
          <w:szCs w:val="32"/>
        </w:rPr>
      </w:pPr>
      <w:r>
        <w:rPr>
          <w:rFonts w:ascii="仿宋_GB2312" w:eastAsia="仿宋_GB2312"/>
          <w:b w:val="0"/>
          <w:bCs/>
          <w:color w:val="000000"/>
          <w:sz w:val="32"/>
          <w:szCs w:val="32"/>
        </w:rPr>
        <w:t>2.</w:t>
      </w:r>
      <w:r>
        <w:rPr>
          <w:rFonts w:hint="eastAsia" w:ascii="仿宋_GB2312" w:eastAsia="仿宋_GB2312"/>
          <w:b w:val="0"/>
          <w:bCs/>
          <w:color w:val="000000"/>
          <w:sz w:val="32"/>
          <w:szCs w:val="32"/>
          <w:lang w:val="en-US" w:eastAsia="zh-CN"/>
        </w:rPr>
        <w:t>2025年</w:t>
      </w:r>
      <w:r>
        <w:rPr>
          <w:rFonts w:hint="eastAsia" w:ascii="仿宋_GB2312" w:eastAsia="仿宋_GB2312"/>
          <w:b w:val="0"/>
          <w:bCs/>
          <w:color w:val="000000"/>
          <w:sz w:val="32"/>
          <w:szCs w:val="32"/>
        </w:rPr>
        <w:t>公务用车购置及运行维护费支出</w:t>
      </w:r>
      <w:r>
        <w:rPr>
          <w:rFonts w:hint="eastAsia" w:ascii="仿宋" w:hAnsi="仿宋" w:eastAsia="仿宋"/>
          <w:color w:val="000000"/>
          <w:sz w:val="32"/>
          <w:szCs w:val="32"/>
          <w:lang w:val="en-US" w:eastAsia="zh-CN"/>
        </w:rPr>
        <w:t>0</w:t>
      </w:r>
      <w:r>
        <w:rPr>
          <w:rFonts w:hint="eastAsia" w:ascii="仿宋_GB2312" w:eastAsia="仿宋_GB2312"/>
          <w:b w:val="0"/>
          <w:bCs/>
          <w:color w:val="000000"/>
          <w:sz w:val="32"/>
          <w:szCs w:val="32"/>
        </w:rPr>
        <w:t>万元,</w:t>
      </w:r>
      <w:r>
        <w:rPr>
          <w:rStyle w:val="21"/>
          <w:rFonts w:hint="eastAsia" w:ascii="仿宋" w:hAnsi="仿宋" w:eastAsia="仿宋"/>
          <w:b w:val="0"/>
          <w:bCs/>
          <w:color w:val="000000"/>
          <w:sz w:val="32"/>
          <w:szCs w:val="32"/>
        </w:rPr>
        <w:t>完成预算</w:t>
      </w:r>
      <w:r>
        <w:rPr>
          <w:rStyle w:val="21"/>
          <w:rFonts w:hint="eastAsia" w:ascii="仿宋" w:hAnsi="仿宋" w:eastAsia="仿宋"/>
          <w:b w:val="0"/>
          <w:bCs/>
          <w:color w:val="000000"/>
          <w:sz w:val="32"/>
          <w:szCs w:val="32"/>
          <w:lang w:val="en-US" w:eastAsia="zh-CN"/>
        </w:rPr>
        <w:t>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r>
        <w:rPr>
          <w:rFonts w:hint="eastAsia" w:ascii="仿宋_GB2312" w:eastAsia="仿宋_GB2312"/>
          <w:b w:val="0"/>
          <w:bCs/>
          <w:color w:val="000000"/>
          <w:sz w:val="32"/>
          <w:szCs w:val="32"/>
        </w:rPr>
        <w:t>公务用车购置及运行维护费支出决算</w:t>
      </w:r>
      <w:r>
        <w:rPr>
          <w:rFonts w:hint="eastAsia" w:ascii="仿宋_GB2312" w:eastAsia="仿宋_GB2312"/>
          <w:b w:val="0"/>
          <w:bCs/>
          <w:color w:val="000000"/>
          <w:sz w:val="32"/>
          <w:szCs w:val="32"/>
          <w:lang w:val="en-US" w:eastAsia="zh-CN"/>
        </w:rPr>
        <w:t>同</w:t>
      </w:r>
      <w:r>
        <w:rPr>
          <w:rFonts w:hint="eastAsia" w:ascii="仿宋_GB2312" w:eastAsia="仿宋_GB2312"/>
          <w:b w:val="0"/>
          <w:bCs/>
          <w:color w:val="000000"/>
          <w:sz w:val="32"/>
          <w:szCs w:val="32"/>
        </w:rPr>
        <w:t>比</w:t>
      </w:r>
      <w:r>
        <w:rPr>
          <w:rFonts w:hint="eastAsia" w:ascii="仿宋_GB2312" w:eastAsia="仿宋_GB2312"/>
          <w:b w:val="0"/>
          <w:bCs/>
          <w:color w:val="000000"/>
          <w:sz w:val="32"/>
          <w:szCs w:val="32"/>
          <w:lang w:eastAsia="zh-CN"/>
        </w:rPr>
        <w:t>202</w:t>
      </w:r>
      <w:r>
        <w:rPr>
          <w:rFonts w:hint="eastAsia" w:ascii="仿宋_GB2312" w:eastAsia="仿宋_GB2312"/>
          <w:b w:val="0"/>
          <w:bCs/>
          <w:color w:val="000000"/>
          <w:sz w:val="32"/>
          <w:szCs w:val="32"/>
          <w:lang w:val="en-US" w:eastAsia="zh-CN"/>
        </w:rPr>
        <w:t>4</w:t>
      </w:r>
      <w:r>
        <w:rPr>
          <w:rFonts w:hint="eastAsia" w:ascii="仿宋_GB2312" w:eastAsia="仿宋_GB2312"/>
          <w:b w:val="0"/>
          <w:bCs/>
          <w:color w:val="000000"/>
          <w:sz w:val="32"/>
          <w:szCs w:val="32"/>
        </w:rPr>
        <w:t>年</w:t>
      </w:r>
      <w:r>
        <w:rPr>
          <w:rFonts w:hint="eastAsia" w:ascii="仿宋_GB2312" w:eastAsia="仿宋_GB2312"/>
          <w:b w:val="0"/>
          <w:bCs/>
          <w:color w:val="000000"/>
          <w:sz w:val="32"/>
          <w:szCs w:val="32"/>
          <w:lang w:val="en-US" w:eastAsia="zh-CN"/>
        </w:rPr>
        <w:t>无变化</w:t>
      </w:r>
      <w:r>
        <w:rPr>
          <w:rFonts w:hint="eastAsia" w:ascii="仿宋_GB2312" w:eastAsia="仿宋_GB2312"/>
          <w:b w:val="0"/>
          <w:bCs/>
          <w:color w:val="000000"/>
          <w:sz w:val="32"/>
          <w:szCs w:val="32"/>
        </w:rPr>
        <w:t>。主要原因是</w:t>
      </w:r>
      <w:r>
        <w:rPr>
          <w:rFonts w:hint="eastAsia" w:ascii="仿宋_GB2312" w:eastAsia="仿宋_GB2312"/>
          <w:b w:val="0"/>
          <w:bCs/>
          <w:color w:val="000000"/>
          <w:sz w:val="32"/>
          <w:szCs w:val="32"/>
          <w:lang w:val="en-US" w:eastAsia="zh-CN"/>
        </w:rPr>
        <w:t>租赁车辆运行费经费在其他交通运行费中支出</w:t>
      </w:r>
      <w:r>
        <w:rPr>
          <w:rFonts w:hint="eastAsia" w:ascii="仿宋_GB2312" w:eastAsia="仿宋_GB2312"/>
          <w:b w:val="0"/>
          <w:bCs/>
          <w:color w:val="000000"/>
          <w:sz w:val="32"/>
          <w:szCs w:val="32"/>
          <w:lang w:eastAsia="zh-CN"/>
        </w:rPr>
        <w:t>。</w:t>
      </w:r>
    </w:p>
    <w:p>
      <w:pPr>
        <w:spacing w:line="600" w:lineRule="exact"/>
        <w:ind w:firstLine="640" w:firstLineChars="200"/>
        <w:rPr>
          <w:rFonts w:ascii="仿宋_GB2312" w:eastAsia="仿宋_GB2312"/>
          <w:b w:val="0"/>
          <w:bCs/>
          <w:color w:val="000000"/>
          <w:sz w:val="32"/>
          <w:szCs w:val="32"/>
        </w:rPr>
      </w:pPr>
      <w:r>
        <w:rPr>
          <w:rFonts w:hint="eastAsia" w:ascii="仿宋_GB2312" w:eastAsia="仿宋_GB2312"/>
          <w:b w:val="0"/>
          <w:bCs/>
          <w:color w:val="000000"/>
          <w:sz w:val="32"/>
          <w:szCs w:val="32"/>
        </w:rPr>
        <w:t>其中：公务用车购置支出</w:t>
      </w:r>
      <w:r>
        <w:rPr>
          <w:rFonts w:hint="eastAsia" w:ascii="仿宋_GB2312" w:eastAsia="仿宋_GB2312"/>
          <w:b w:val="0"/>
          <w:bCs/>
          <w:color w:val="000000"/>
          <w:sz w:val="32"/>
          <w:szCs w:val="32"/>
          <w:lang w:val="en-US" w:eastAsia="zh-CN"/>
        </w:rPr>
        <w:t>0</w:t>
      </w:r>
      <w:r>
        <w:rPr>
          <w:rFonts w:hint="eastAsia" w:ascii="仿宋_GB2312" w:eastAsia="仿宋_GB2312"/>
          <w:b w:val="0"/>
          <w:bCs/>
          <w:color w:val="000000"/>
          <w:sz w:val="32"/>
          <w:szCs w:val="32"/>
        </w:rPr>
        <w:t>万元。</w:t>
      </w:r>
    </w:p>
    <w:p>
      <w:pPr>
        <w:numPr>
          <w:ilvl w:val="0"/>
          <w:numId w:val="0"/>
        </w:numPr>
        <w:spacing w:line="600" w:lineRule="exact"/>
        <w:ind w:firstLine="640" w:firstLineChars="200"/>
        <w:rPr>
          <w:rFonts w:ascii="仿宋_GB2312" w:eastAsia="仿宋_GB2312"/>
          <w:b w:val="0"/>
          <w:bCs/>
          <w:color w:val="000000"/>
          <w:sz w:val="32"/>
          <w:szCs w:val="32"/>
        </w:rPr>
      </w:pPr>
      <w:r>
        <w:rPr>
          <w:rFonts w:hint="eastAsia" w:ascii="仿宋_GB2312" w:eastAsia="仿宋_GB2312"/>
          <w:b w:val="0"/>
          <w:bCs/>
          <w:color w:val="000000"/>
          <w:sz w:val="32"/>
          <w:szCs w:val="32"/>
        </w:rPr>
        <w:t>公务用车运行维护费支出</w:t>
      </w:r>
      <w:r>
        <w:rPr>
          <w:rFonts w:hint="eastAsia" w:ascii="仿宋" w:hAnsi="仿宋" w:eastAsia="仿宋"/>
          <w:color w:val="000000"/>
          <w:sz w:val="32"/>
          <w:szCs w:val="32"/>
          <w:lang w:val="en-US" w:eastAsia="zh-CN"/>
        </w:rPr>
        <w:t>0</w:t>
      </w:r>
      <w:r>
        <w:rPr>
          <w:rFonts w:hint="eastAsia" w:ascii="仿宋_GB2312" w:eastAsia="仿宋_GB2312"/>
          <w:b w:val="0"/>
          <w:bCs/>
          <w:color w:val="000000"/>
          <w:sz w:val="32"/>
          <w:szCs w:val="32"/>
        </w:rPr>
        <w:t>万元。主要原因是</w:t>
      </w:r>
      <w:r>
        <w:rPr>
          <w:rFonts w:hint="eastAsia" w:ascii="仿宋_GB2312" w:eastAsia="仿宋_GB2312"/>
          <w:b w:val="0"/>
          <w:bCs/>
          <w:color w:val="000000"/>
          <w:sz w:val="32"/>
          <w:szCs w:val="32"/>
          <w:lang w:val="en-US" w:eastAsia="zh-CN"/>
        </w:rPr>
        <w:t>租赁车辆运行费经费在其他交通运行费中支出</w:t>
      </w:r>
      <w:r>
        <w:rPr>
          <w:rFonts w:hint="eastAsia" w:ascii="仿宋_GB2312" w:eastAsia="仿宋_GB2312"/>
          <w:b w:val="0"/>
          <w:bCs/>
          <w:color w:val="000000"/>
          <w:sz w:val="32"/>
          <w:szCs w:val="32"/>
          <w:lang w:eastAsia="zh-CN"/>
        </w:rPr>
        <w:t>。</w:t>
      </w:r>
    </w:p>
    <w:p>
      <w:pPr>
        <w:numPr>
          <w:ilvl w:val="0"/>
          <w:numId w:val="0"/>
        </w:numPr>
        <w:spacing w:line="600" w:lineRule="exact"/>
        <w:ind w:firstLine="640" w:firstLineChars="200"/>
        <w:rPr>
          <w:rFonts w:hint="eastAsia" w:ascii="仿宋_GB2312" w:eastAsia="仿宋_GB2312"/>
          <w:b w:val="0"/>
          <w:bCs/>
          <w:color w:val="000000"/>
          <w:sz w:val="32"/>
          <w:szCs w:val="32"/>
          <w:lang w:val="en-US" w:eastAsia="zh-CN"/>
        </w:rPr>
      </w:pPr>
      <w:r>
        <w:rPr>
          <w:rFonts w:hint="eastAsia" w:ascii="仿宋_GB2312" w:eastAsia="仿宋_GB2312"/>
          <w:b w:val="0"/>
          <w:bCs/>
          <w:color w:val="000000"/>
          <w:sz w:val="32"/>
          <w:szCs w:val="32"/>
          <w:lang w:val="en-US" w:eastAsia="zh-CN"/>
        </w:rPr>
        <w:t>3.2024年公务接待费支</w:t>
      </w:r>
      <w:r>
        <w:rPr>
          <w:rFonts w:hint="eastAsia" w:ascii="仿宋_GB2312" w:hAnsi="仿宋" w:eastAsia="仿宋_GB2312"/>
          <w:sz w:val="32"/>
          <w:szCs w:val="32"/>
          <w:lang w:val="en-US" w:eastAsia="zh-CN"/>
        </w:rPr>
        <w:t>148.81</w:t>
      </w:r>
      <w:r>
        <w:rPr>
          <w:rFonts w:hint="eastAsia" w:ascii="仿宋_GB2312" w:eastAsia="仿宋_GB2312"/>
          <w:b w:val="0"/>
          <w:bCs/>
          <w:color w:val="000000"/>
          <w:sz w:val="32"/>
          <w:szCs w:val="32"/>
          <w:lang w:val="en-US" w:eastAsia="zh-CN"/>
        </w:rPr>
        <w:t>万元，完成预算100%。2025年公务接待费支出</w:t>
      </w:r>
      <w:r>
        <w:rPr>
          <w:rFonts w:hint="eastAsia" w:ascii="仿宋" w:hAnsi="仿宋" w:eastAsia="仿宋"/>
          <w:color w:val="000000"/>
          <w:sz w:val="32"/>
          <w:szCs w:val="32"/>
          <w:lang w:val="en-US" w:eastAsia="zh-CN"/>
        </w:rPr>
        <w:t>37.31</w:t>
      </w:r>
      <w:r>
        <w:rPr>
          <w:rFonts w:hint="eastAsia" w:ascii="仿宋_GB2312" w:eastAsia="仿宋_GB2312"/>
          <w:b w:val="0"/>
          <w:bCs/>
          <w:color w:val="000000"/>
          <w:sz w:val="32"/>
          <w:szCs w:val="32"/>
          <w:lang w:val="en-US" w:eastAsia="zh-CN"/>
        </w:rPr>
        <w:t>万元，完成预算100%。公务接待费支出决算比2024年</w:t>
      </w:r>
      <w:r>
        <w:rPr>
          <w:rFonts w:hint="eastAsia" w:ascii="仿宋_GB2312" w:hAnsi="仿宋" w:eastAsia="仿宋_GB2312"/>
          <w:sz w:val="32"/>
          <w:szCs w:val="32"/>
          <w:lang w:val="en-US" w:eastAsia="zh-CN"/>
        </w:rPr>
        <w:t>148.81</w:t>
      </w:r>
      <w:r>
        <w:rPr>
          <w:rFonts w:hint="eastAsia" w:ascii="仿宋_GB2312" w:eastAsia="仿宋_GB2312"/>
          <w:b w:val="0"/>
          <w:bCs/>
          <w:color w:val="000000"/>
          <w:sz w:val="32"/>
          <w:szCs w:val="32"/>
          <w:lang w:val="en-US" w:eastAsia="zh-CN"/>
        </w:rPr>
        <w:t>万元，减少111.5万元，减少74.93</w:t>
      </w:r>
      <w:r>
        <w:rPr>
          <w:rFonts w:hint="eastAsia" w:ascii="仿宋_GB2312" w:hAnsi="宋体" w:eastAsia="仿宋_GB2312" w:cs="宋体"/>
          <w:color w:val="333333"/>
          <w:kern w:val="0"/>
          <w:sz w:val="32"/>
          <w:szCs w:val="32"/>
        </w:rPr>
        <w:t>%</w:t>
      </w:r>
      <w:r>
        <w:rPr>
          <w:rFonts w:hint="eastAsia" w:ascii="仿宋_GB2312" w:eastAsia="仿宋_GB2312"/>
          <w:b w:val="0"/>
          <w:bCs/>
          <w:color w:val="000000"/>
          <w:sz w:val="32"/>
          <w:szCs w:val="32"/>
          <w:lang w:val="en-US" w:eastAsia="zh-CN"/>
        </w:rPr>
        <w:t>。</w:t>
      </w:r>
      <w:r>
        <w:rPr>
          <w:rFonts w:hint="eastAsia" w:ascii="仿宋_GB2312" w:hAnsi="宋体" w:eastAsia="仿宋_GB2312" w:cs="宋体"/>
          <w:color w:val="333333"/>
          <w:kern w:val="0"/>
          <w:sz w:val="32"/>
          <w:szCs w:val="32"/>
          <w:lang w:eastAsia="zh-CN"/>
        </w:rPr>
        <w:t>减少</w:t>
      </w:r>
      <w:r>
        <w:rPr>
          <w:rFonts w:hint="eastAsia" w:ascii="仿宋_GB2312" w:hAnsi="宋体" w:eastAsia="仿宋_GB2312" w:cs="宋体"/>
          <w:color w:val="333333"/>
          <w:kern w:val="0"/>
          <w:sz w:val="32"/>
          <w:szCs w:val="32"/>
        </w:rPr>
        <w:t>主要原因是</w:t>
      </w:r>
      <w:r>
        <w:rPr>
          <w:rFonts w:hint="eastAsia" w:ascii="仿宋_GB2312" w:hAnsi="宋体" w:eastAsia="仿宋_GB2312" w:cs="宋体"/>
          <w:color w:val="333333"/>
          <w:kern w:val="0"/>
          <w:sz w:val="32"/>
          <w:szCs w:val="32"/>
          <w:lang w:eastAsia="zh-CN"/>
        </w:rPr>
        <w:t>：1.公务接待批次2024年265批，2025年159批次，比上年减少106批次，同比下降40%，2.根据八项规定最新文件要求公务接待严格按照“一函一餐”要求，接待餐次同比上年大幅下降。3.接待中政府伙食团的接待批次因财务制度要求不能直接支付接待费用，其中36批食堂用餐未结账。4.2025年年底4批次转账时因底单收起未结账。</w:t>
      </w:r>
    </w:p>
    <w:p>
      <w:pPr>
        <w:numPr>
          <w:ilvl w:val="0"/>
          <w:numId w:val="0"/>
        </w:numPr>
        <w:spacing w:line="600" w:lineRule="exact"/>
        <w:ind w:firstLine="640" w:firstLineChars="200"/>
        <w:rPr>
          <w:rFonts w:ascii="仿宋_GB2312" w:eastAsia="仿宋_GB2312"/>
          <w:b w:val="0"/>
          <w:bCs/>
          <w:color w:val="000000"/>
          <w:sz w:val="32"/>
          <w:szCs w:val="32"/>
        </w:rPr>
      </w:pPr>
      <w:r>
        <w:rPr>
          <w:rFonts w:hint="eastAsia" w:ascii="仿宋" w:hAnsi="仿宋" w:eastAsia="仿宋"/>
          <w:b w:val="0"/>
          <w:bCs/>
          <w:color w:val="000000"/>
          <w:sz w:val="32"/>
          <w:szCs w:val="32"/>
          <w:lang w:val="en-US" w:eastAsia="zh-CN"/>
        </w:rPr>
        <w:t>其中：</w:t>
      </w:r>
      <w:r>
        <w:rPr>
          <w:rFonts w:hint="eastAsia" w:ascii="仿宋" w:hAnsi="仿宋" w:eastAsia="仿宋"/>
          <w:b w:val="0"/>
          <w:bCs/>
          <w:color w:val="000000"/>
          <w:sz w:val="32"/>
          <w:szCs w:val="32"/>
        </w:rPr>
        <w:t>国内公务接待支出</w:t>
      </w:r>
      <w:r>
        <w:rPr>
          <w:rFonts w:hint="eastAsia" w:ascii="仿宋" w:hAnsi="仿宋" w:eastAsia="仿宋"/>
          <w:color w:val="000000"/>
          <w:sz w:val="32"/>
          <w:szCs w:val="32"/>
          <w:lang w:val="en-US" w:eastAsia="zh-CN"/>
        </w:rPr>
        <w:t>37.31</w:t>
      </w:r>
      <w:r>
        <w:rPr>
          <w:rFonts w:hint="eastAsia" w:ascii="仿宋_GB2312" w:eastAsia="仿宋_GB2312"/>
          <w:b w:val="0"/>
          <w:bCs/>
          <w:color w:val="000000"/>
          <w:sz w:val="32"/>
          <w:szCs w:val="32"/>
        </w:rPr>
        <w:t>万元，主要用于行公务、开展业务活动开支的交通费、住宿费、用餐费等。国内公务接待</w:t>
      </w:r>
      <w:r>
        <w:rPr>
          <w:rFonts w:hint="eastAsia" w:ascii="仿宋_GB2312" w:hAnsi="宋体" w:eastAsia="仿宋_GB2312" w:cs="宋体"/>
          <w:color w:val="333333"/>
          <w:kern w:val="0"/>
          <w:sz w:val="32"/>
          <w:szCs w:val="32"/>
        </w:rPr>
        <w:t>计</w:t>
      </w:r>
      <w:r>
        <w:rPr>
          <w:rFonts w:hint="eastAsia" w:ascii="仿宋_GB2312" w:eastAsia="仿宋_GB2312" w:cs="仿宋_GB2312"/>
          <w:kern w:val="0"/>
          <w:sz w:val="32"/>
          <w:szCs w:val="32"/>
          <w:lang w:val="en-US" w:eastAsia="zh-CN"/>
        </w:rPr>
        <w:t>159</w:t>
      </w:r>
      <w:r>
        <w:rPr>
          <w:rFonts w:hint="eastAsia" w:ascii="仿宋_GB2312" w:hAnsi="宋体" w:eastAsia="仿宋_GB2312" w:cs="宋体"/>
          <w:color w:val="333333"/>
          <w:kern w:val="0"/>
          <w:sz w:val="32"/>
          <w:szCs w:val="32"/>
          <w:lang w:eastAsia="zh-CN"/>
        </w:rPr>
        <w:t>批次，</w:t>
      </w:r>
      <w:r>
        <w:rPr>
          <w:rFonts w:hint="eastAsia" w:ascii="仿宋_GB2312" w:eastAsia="仿宋_GB2312" w:cs="仿宋_GB2312"/>
          <w:kern w:val="0"/>
          <w:sz w:val="32"/>
          <w:szCs w:val="32"/>
          <w:lang w:val="en-US" w:eastAsia="zh-CN"/>
        </w:rPr>
        <w:t>1904</w:t>
      </w:r>
      <w:r>
        <w:rPr>
          <w:rFonts w:hint="eastAsia" w:ascii="仿宋_GB2312" w:hAnsi="宋体" w:eastAsia="仿宋_GB2312" w:cs="宋体"/>
          <w:color w:val="333333"/>
          <w:kern w:val="0"/>
          <w:sz w:val="32"/>
          <w:szCs w:val="32"/>
          <w:lang w:eastAsia="zh-CN"/>
        </w:rPr>
        <w:t>人次</w:t>
      </w:r>
      <w:r>
        <w:rPr>
          <w:rFonts w:hint="eastAsia" w:ascii="仿宋_GB2312" w:hAnsi="宋体" w:eastAsia="仿宋_GB2312" w:cs="宋体"/>
          <w:color w:val="333333"/>
          <w:kern w:val="0"/>
          <w:sz w:val="32"/>
          <w:szCs w:val="32"/>
        </w:rPr>
        <w:t>；国（境）外公务接待费</w:t>
      </w:r>
      <w:r>
        <w:rPr>
          <w:rFonts w:hint="eastAsia" w:ascii="仿宋_GB2312" w:hAnsi="宋体" w:eastAsia="仿宋_GB2312" w:cs="宋体"/>
          <w:color w:val="333333"/>
          <w:kern w:val="0"/>
          <w:sz w:val="32"/>
          <w:szCs w:val="32"/>
          <w:lang w:val="en-US" w:eastAsia="zh-CN"/>
        </w:rPr>
        <w:t>0</w:t>
      </w:r>
      <w:r>
        <w:rPr>
          <w:rFonts w:hint="eastAsia" w:ascii="仿宋_GB2312" w:hAnsi="宋体" w:eastAsia="仿宋_GB2312" w:cs="宋体"/>
          <w:color w:val="333333"/>
          <w:kern w:val="0"/>
          <w:sz w:val="32"/>
          <w:szCs w:val="32"/>
        </w:rPr>
        <w:t>元，计</w:t>
      </w:r>
      <w:r>
        <w:rPr>
          <w:rFonts w:hint="eastAsia" w:ascii="仿宋_GB2312" w:hAnsi="宋体" w:eastAsia="仿宋_GB2312" w:cs="宋体"/>
          <w:color w:val="333333"/>
          <w:kern w:val="0"/>
          <w:sz w:val="32"/>
          <w:szCs w:val="32"/>
          <w:lang w:val="en-US" w:eastAsia="zh-CN"/>
        </w:rPr>
        <w:t>0</w:t>
      </w:r>
      <w:r>
        <w:rPr>
          <w:rFonts w:hint="eastAsia" w:ascii="仿宋_GB2312" w:hAnsi="宋体" w:eastAsia="仿宋_GB2312" w:cs="宋体"/>
          <w:color w:val="333333"/>
          <w:kern w:val="0"/>
          <w:sz w:val="32"/>
          <w:szCs w:val="32"/>
        </w:rPr>
        <w:t>批次计</w:t>
      </w:r>
      <w:r>
        <w:rPr>
          <w:rFonts w:hint="eastAsia" w:ascii="仿宋_GB2312" w:hAnsi="宋体" w:eastAsia="仿宋_GB2312" w:cs="宋体"/>
          <w:color w:val="333333"/>
          <w:kern w:val="0"/>
          <w:sz w:val="32"/>
          <w:szCs w:val="32"/>
          <w:lang w:val="en-US" w:eastAsia="zh-CN"/>
        </w:rPr>
        <w:t>0</w:t>
      </w:r>
      <w:r>
        <w:rPr>
          <w:rFonts w:hint="eastAsia" w:ascii="仿宋_GB2312" w:hAnsi="宋体" w:eastAsia="仿宋_GB2312" w:cs="宋体"/>
          <w:color w:val="333333"/>
          <w:kern w:val="0"/>
          <w:sz w:val="32"/>
          <w:szCs w:val="32"/>
        </w:rPr>
        <w:t>人。</w:t>
      </w:r>
    </w:p>
    <w:p>
      <w:pPr>
        <w:spacing w:line="600" w:lineRule="exact"/>
        <w:ind w:firstLine="640"/>
        <w:outlineLvl w:val="1"/>
        <w:rPr>
          <w:rStyle w:val="24"/>
          <w:rFonts w:ascii="黑体" w:hAnsi="黑体" w:eastAsia="黑体"/>
        </w:rPr>
      </w:pPr>
      <w:r>
        <w:rPr>
          <w:rFonts w:hint="eastAsia" w:ascii="黑体" w:eastAsia="黑体"/>
          <w:color w:val="000000"/>
          <w:sz w:val="32"/>
          <w:szCs w:val="32"/>
        </w:rPr>
        <w:t>八、</w:t>
      </w:r>
      <w:r>
        <w:rPr>
          <w:rStyle w:val="24"/>
          <w:rFonts w:hint="eastAsia" w:ascii="黑体" w:hAnsi="黑体" w:eastAsia="黑体"/>
          <w:b w:val="0"/>
        </w:rPr>
        <w:t>政府性基金预算支出决算情况说明</w:t>
      </w:r>
    </w:p>
    <w:p>
      <w:pPr>
        <w:spacing w:line="600" w:lineRule="exact"/>
        <w:ind w:firstLine="640"/>
        <w:rPr>
          <w:rFonts w:ascii="仿宋_GB2312" w:eastAsia="仿宋_GB2312"/>
          <w:color w:val="000000"/>
          <w:sz w:val="32"/>
          <w:szCs w:val="32"/>
        </w:rPr>
      </w:pP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年政府性基金预算拨款支出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numPr>
          <w:ilvl w:val="0"/>
          <w:numId w:val="2"/>
        </w:numPr>
        <w:spacing w:line="600" w:lineRule="exact"/>
        <w:ind w:left="-10" w:leftChars="0" w:firstLine="640" w:firstLineChars="0"/>
        <w:outlineLvl w:val="1"/>
        <w:rPr>
          <w:rStyle w:val="24"/>
          <w:rFonts w:ascii="黑体" w:hAnsi="黑体" w:eastAsia="黑体"/>
          <w:b w:val="0"/>
        </w:rPr>
      </w:pPr>
      <w:r>
        <w:rPr>
          <w:rStyle w:val="24"/>
          <w:rFonts w:hint="eastAsia" w:ascii="黑体" w:hAnsi="黑体" w:eastAsia="黑体"/>
          <w:b w:val="0"/>
        </w:rPr>
        <w:t>国有资本经营预算支出决算情况说明</w:t>
      </w:r>
    </w:p>
    <w:p>
      <w:pPr>
        <w:spacing w:line="600" w:lineRule="exact"/>
        <w:ind w:firstLine="640"/>
        <w:rPr>
          <w:rFonts w:ascii="方正小标宋简体" w:hAnsi="方正小标宋简体" w:eastAsia="方正小标宋简体" w:cs="方正小标宋简体"/>
          <w:sz w:val="44"/>
          <w:szCs w:val="44"/>
        </w:rPr>
      </w:pP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年国有资本经营预算拨款支出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spacing w:line="600" w:lineRule="exact"/>
        <w:ind w:firstLine="800" w:firstLineChars="250"/>
        <w:outlineLvl w:val="1"/>
        <w:rPr>
          <w:rStyle w:val="24"/>
          <w:rFonts w:ascii="黑体" w:hAnsi="黑体" w:eastAsia="黑体"/>
        </w:rPr>
      </w:pPr>
      <w:r>
        <w:rPr>
          <w:rFonts w:hint="eastAsia" w:ascii="黑体" w:hAnsi="黑体" w:eastAsia="黑体"/>
          <w:color w:val="000000"/>
          <w:sz w:val="32"/>
          <w:szCs w:val="32"/>
        </w:rPr>
        <w:t>十</w:t>
      </w:r>
      <w:r>
        <w:rPr>
          <w:rStyle w:val="24"/>
          <w:rFonts w:hint="eastAsia" w:ascii="黑体" w:hAnsi="黑体" w:eastAsia="黑体"/>
          <w:b w:val="0"/>
        </w:rPr>
        <w:t>、其他重要事项的情况说明</w:t>
      </w:r>
    </w:p>
    <w:p>
      <w:pPr>
        <w:spacing w:line="600" w:lineRule="exact"/>
        <w:ind w:firstLine="643" w:firstLineChars="200"/>
        <w:outlineLvl w:val="2"/>
        <w:rPr>
          <w:rFonts w:ascii="仿宋" w:hAnsi="仿宋" w:eastAsia="仿宋"/>
          <w:color w:val="000000"/>
          <w:sz w:val="32"/>
          <w:szCs w:val="32"/>
        </w:rPr>
      </w:pPr>
      <w:r>
        <w:rPr>
          <w:rFonts w:hint="eastAsia" w:ascii="仿宋" w:hAnsi="仿宋" w:eastAsia="仿宋"/>
          <w:b/>
          <w:color w:val="000000"/>
          <w:sz w:val="32"/>
          <w:szCs w:val="32"/>
        </w:rPr>
        <w:t>（一）机关运行经费支出情况</w:t>
      </w:r>
    </w:p>
    <w:p>
      <w:pPr>
        <w:snapToGrid w:val="0"/>
        <w:spacing w:line="520" w:lineRule="exact"/>
        <w:ind w:firstLine="640" w:firstLineChars="200"/>
        <w:rPr>
          <w:rFonts w:hint="eastAsia" w:ascii="仿宋_GB2312" w:hAnsi="仿宋" w:eastAsia="仿宋_GB2312"/>
          <w:sz w:val="32"/>
          <w:szCs w:val="32"/>
          <w:lang w:eastAsia="zh-CN"/>
        </w:rPr>
      </w:pP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小金县公务服务中心</w:t>
      </w:r>
      <w:r>
        <w:rPr>
          <w:rFonts w:hint="eastAsia" w:ascii="仿宋_GB2312" w:eastAsia="仿宋_GB2312"/>
          <w:color w:val="000000"/>
          <w:sz w:val="32"/>
          <w:szCs w:val="32"/>
        </w:rPr>
        <w:t>费支运行经出</w:t>
      </w:r>
      <w:r>
        <w:rPr>
          <w:rFonts w:hint="eastAsia" w:ascii="仿宋_GB2312" w:hAnsi="仿宋" w:eastAsia="仿宋_GB2312"/>
          <w:sz w:val="32"/>
          <w:szCs w:val="32"/>
          <w:lang w:val="en-US" w:eastAsia="zh-CN"/>
        </w:rPr>
        <w:t>196.96</w:t>
      </w:r>
      <w:r>
        <w:rPr>
          <w:rFonts w:hint="eastAsia" w:ascii="仿宋" w:hAnsi="仿宋" w:eastAsia="仿宋"/>
          <w:color w:val="000000"/>
          <w:sz w:val="32"/>
          <w:szCs w:val="32"/>
        </w:rPr>
        <w:t>万元，其中：一般公共预算财政拨款收入</w:t>
      </w:r>
      <w:r>
        <w:rPr>
          <w:rFonts w:hint="eastAsia" w:ascii="仿宋_GB2312" w:hAnsi="仿宋" w:eastAsia="仿宋_GB2312"/>
          <w:sz w:val="32"/>
          <w:szCs w:val="32"/>
          <w:lang w:val="en-US" w:eastAsia="zh-CN"/>
        </w:rPr>
        <w:t>196.96</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_GB2312" w:hAnsi="仿宋_GB2312" w:eastAsia="仿宋_GB2312" w:cs="仿宋_GB2312"/>
          <w:sz w:val="32"/>
          <w:szCs w:val="32"/>
        </w:rPr>
        <w:t>比</w:t>
      </w:r>
      <w:r>
        <w:rPr>
          <w:rFonts w:hint="eastAsia" w:ascii="仿宋_GB2312" w:hAnsi="仿宋_GB2312" w:eastAsia="仿宋_GB2312" w:cs="仿宋_GB2312"/>
          <w:sz w:val="32"/>
          <w:szCs w:val="32"/>
          <w:lang w:val="en-US" w:eastAsia="zh-CN"/>
        </w:rPr>
        <w:t>上年</w:t>
      </w:r>
      <w:r>
        <w:rPr>
          <w:rFonts w:hint="eastAsia" w:ascii="仿宋_GB2312" w:hAnsi="仿宋" w:eastAsia="仿宋_GB2312"/>
          <w:sz w:val="32"/>
          <w:szCs w:val="32"/>
        </w:rPr>
        <w:t>比上年</w:t>
      </w:r>
      <w:r>
        <w:rPr>
          <w:rFonts w:hint="eastAsia" w:ascii="仿宋_GB2312" w:hAnsi="仿宋" w:eastAsia="仿宋_GB2312"/>
          <w:sz w:val="32"/>
          <w:szCs w:val="32"/>
          <w:lang w:val="en-US" w:eastAsia="zh-CN"/>
        </w:rPr>
        <w:t>减少262.55万</w:t>
      </w:r>
      <w:r>
        <w:rPr>
          <w:rFonts w:hint="eastAsia" w:ascii="仿宋_GB2312" w:hAnsi="仿宋" w:eastAsia="仿宋_GB2312"/>
          <w:sz w:val="32"/>
          <w:szCs w:val="32"/>
        </w:rPr>
        <w:t>元</w:t>
      </w:r>
      <w:r>
        <w:rPr>
          <w:rFonts w:hint="eastAsia" w:ascii="仿宋_GB2312" w:hAnsi="仿宋" w:eastAsia="仿宋_GB2312"/>
          <w:sz w:val="32"/>
          <w:szCs w:val="32"/>
          <w:lang w:eastAsia="zh-CN"/>
        </w:rPr>
        <w:t>，</w:t>
      </w:r>
      <w:r>
        <w:rPr>
          <w:rFonts w:hint="eastAsia" w:ascii="仿宋" w:hAnsi="仿宋" w:eastAsia="仿宋"/>
          <w:color w:val="000000"/>
          <w:sz w:val="32"/>
          <w:szCs w:val="32"/>
          <w:lang w:eastAsia="zh-CN"/>
        </w:rPr>
        <w:t>同比</w:t>
      </w:r>
      <w:r>
        <w:rPr>
          <w:rFonts w:hint="eastAsia" w:ascii="仿宋" w:hAnsi="仿宋" w:eastAsia="仿宋"/>
          <w:color w:val="000000"/>
          <w:sz w:val="32"/>
          <w:szCs w:val="32"/>
          <w:lang w:val="en-US" w:eastAsia="zh-CN"/>
        </w:rPr>
        <w:t>减少</w:t>
      </w:r>
      <w:r>
        <w:rPr>
          <w:rFonts w:hint="eastAsia" w:ascii="仿宋_GB2312" w:hAnsi="仿宋_GB2312" w:eastAsia="仿宋_GB2312" w:cs="仿宋_GB2312"/>
          <w:sz w:val="32"/>
          <w:szCs w:val="32"/>
          <w:lang w:val="en-US" w:eastAsia="zh-CN"/>
        </w:rPr>
        <w:t>57.14%</w:t>
      </w:r>
      <w:r>
        <w:rPr>
          <w:rFonts w:hint="eastAsia" w:ascii="仿宋_GB2312" w:hAnsi="仿宋" w:eastAsia="仿宋_GB2312"/>
          <w:sz w:val="32"/>
          <w:szCs w:val="32"/>
          <w:lang w:val="en-US" w:eastAsia="zh-CN"/>
        </w:rPr>
        <w:t>。</w:t>
      </w:r>
      <w:r>
        <w:rPr>
          <w:rFonts w:hint="eastAsia" w:ascii="仿宋_GB2312" w:hAnsi="仿宋" w:eastAsia="仿宋_GB2312"/>
          <w:sz w:val="32"/>
          <w:szCs w:val="32"/>
          <w:lang w:eastAsia="zh-CN"/>
        </w:rPr>
        <w:t>主要是因为</w:t>
      </w:r>
      <w:r>
        <w:rPr>
          <w:rFonts w:hint="eastAsia" w:ascii="仿宋_GB2312" w:hAnsi="仿宋" w:eastAsia="仿宋_GB2312"/>
          <w:sz w:val="32"/>
          <w:szCs w:val="32"/>
          <w:lang w:val="en-US" w:eastAsia="zh-CN"/>
        </w:rPr>
        <w:t>2025年无委托业务费及公务接待费大量减少</w:t>
      </w:r>
      <w:r>
        <w:rPr>
          <w:rFonts w:hint="eastAsia" w:ascii="仿宋_GB2312" w:hAnsi="仿宋" w:eastAsia="仿宋_GB2312"/>
          <w:sz w:val="32"/>
          <w:szCs w:val="32"/>
          <w:lang w:eastAsia="zh-CN"/>
        </w:rPr>
        <w:t>。</w:t>
      </w:r>
    </w:p>
    <w:p>
      <w:pPr>
        <w:autoSpaceDE w:val="0"/>
        <w:autoSpaceDN w:val="0"/>
        <w:adjustRightInd w:val="0"/>
        <w:spacing w:line="600"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（二）政府采购支出情况</w:t>
      </w:r>
    </w:p>
    <w:p>
      <w:pPr>
        <w:autoSpaceDE w:val="0"/>
        <w:autoSpaceDN w:val="0"/>
        <w:adjustRightInd w:val="0"/>
        <w:spacing w:line="600" w:lineRule="exact"/>
        <w:ind w:firstLine="960" w:firstLineChars="300"/>
        <w:jc w:val="left"/>
        <w:outlineLvl w:val="2"/>
        <w:rPr>
          <w:rFonts w:hint="eastAsia" w:ascii="仿宋_GB2312" w:eastAsia="仿宋_GB2312"/>
          <w:color w:val="000000"/>
          <w:sz w:val="32"/>
          <w:szCs w:val="32"/>
          <w:lang w:eastAsia="zh-CN"/>
        </w:rPr>
      </w:pPr>
      <w:r>
        <w:rPr>
          <w:rFonts w:hint="eastAsia" w:ascii="仿宋_GB2312" w:eastAsia="仿宋_GB2312"/>
          <w:color w:val="000000"/>
          <w:sz w:val="32"/>
          <w:szCs w:val="32"/>
          <w:lang w:eastAsia="zh-CN"/>
        </w:rPr>
        <w:t>无</w:t>
      </w:r>
    </w:p>
    <w:p>
      <w:pPr>
        <w:autoSpaceDE w:val="0"/>
        <w:autoSpaceDN w:val="0"/>
        <w:adjustRightInd w:val="0"/>
        <w:spacing w:line="600"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（三）国有资产占有使用情况</w:t>
      </w:r>
    </w:p>
    <w:p>
      <w:pPr>
        <w:pStyle w:val="18"/>
        <w:keepNext w:val="0"/>
        <w:keepLines w:val="0"/>
        <w:widowControl/>
        <w:suppressLineNumbers w:val="0"/>
        <w:spacing w:before="408" w:beforeAutospacing="0" w:after="106" w:afterAutospacing="0" w:line="30" w:lineRule="atLeast"/>
        <w:ind w:left="0" w:right="0" w:firstLine="420"/>
        <w:rPr>
          <w:rFonts w:hint="eastAsia" w:ascii="仿宋_GB2312" w:eastAsia="仿宋_GB2312"/>
          <w:color w:val="000000"/>
          <w:sz w:val="32"/>
          <w:szCs w:val="32"/>
        </w:rPr>
      </w:pPr>
      <w:r>
        <w:rPr>
          <w:rFonts w:hint="eastAsia" w:ascii="仿宋_GB2312" w:eastAsia="仿宋_GB2312"/>
          <w:color w:val="000000"/>
          <w:sz w:val="32"/>
          <w:szCs w:val="32"/>
        </w:rPr>
        <w:t>截至</w:t>
      </w: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w:t>
      </w:r>
      <w:r>
        <w:rPr>
          <w:rFonts w:hint="eastAsia" w:ascii="仿宋_GB2312" w:eastAsia="仿宋_GB2312"/>
          <w:color w:val="000000"/>
          <w:sz w:val="32"/>
          <w:szCs w:val="32"/>
          <w:lang w:val="en-US" w:eastAsia="zh-CN"/>
        </w:rPr>
        <w:t>小金县公务服务中心</w:t>
      </w:r>
      <w:r>
        <w:rPr>
          <w:rFonts w:hint="eastAsia" w:ascii="仿宋_GB2312" w:eastAsia="仿宋_GB2312"/>
          <w:color w:val="000000"/>
          <w:sz w:val="32"/>
          <w:szCs w:val="32"/>
        </w:rPr>
        <w:t>共有车辆</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辆，其中：部级领导干部用车0辆、一般公务用车0辆、一般执法执勤用车0辆、特种专业技术用车0辆、其他用车0辆；应急保障用车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辆，单价50万元以上通用设备0台（套），单价100万元以上专用设备0台（套）。</w:t>
      </w:r>
    </w:p>
    <w:p>
      <w:pPr>
        <w:autoSpaceDE w:val="0"/>
        <w:autoSpaceDN w:val="0"/>
        <w:adjustRightInd w:val="0"/>
        <w:spacing w:line="600"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（四）预算绩效管理情况。</w:t>
      </w:r>
    </w:p>
    <w:p>
      <w:pPr>
        <w:pStyle w:val="18"/>
        <w:keepNext w:val="0"/>
        <w:keepLines w:val="0"/>
        <w:widowControl/>
        <w:suppressLineNumbers w:val="0"/>
        <w:spacing w:before="408" w:beforeAutospacing="0" w:after="106" w:afterAutospacing="0" w:line="30" w:lineRule="atLeast"/>
        <w:ind w:left="0" w:right="0" w:firstLine="420"/>
        <w:rPr>
          <w:rFonts w:hint="eastAsia" w:ascii="仿宋_GB2312" w:eastAsia="仿宋_GB2312"/>
          <w:color w:val="000000"/>
          <w:sz w:val="32"/>
          <w:szCs w:val="32"/>
        </w:rPr>
      </w:pPr>
      <w:r>
        <w:rPr>
          <w:rFonts w:hint="eastAsia" w:ascii="仿宋_GB2312" w:eastAsia="仿宋_GB2312"/>
          <w:color w:val="000000"/>
          <w:sz w:val="32"/>
          <w:szCs w:val="32"/>
        </w:rPr>
        <w:t>绩效目标管理情况：按照预算绩效管理要求，本部门对</w:t>
      </w: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年一般公共预算项目支出开展了绩效目标管理，共编制绩效目标0个，涉及财政资金0万元，覆盖率达到0%。</w:t>
      </w:r>
    </w:p>
    <w:p>
      <w:pPr>
        <w:pStyle w:val="18"/>
        <w:keepNext w:val="0"/>
        <w:keepLines w:val="0"/>
        <w:widowControl/>
        <w:suppressLineNumbers w:val="0"/>
        <w:spacing w:before="408" w:beforeAutospacing="0" w:after="106" w:afterAutospacing="0" w:line="30" w:lineRule="atLeast"/>
        <w:ind w:left="0" w:right="0" w:firstLine="420"/>
        <w:rPr>
          <w:rFonts w:hint="eastAsia" w:ascii="仿宋_GB2312" w:eastAsia="仿宋_GB2312"/>
          <w:color w:val="000000"/>
          <w:sz w:val="32"/>
          <w:szCs w:val="32"/>
        </w:rPr>
      </w:pPr>
    </w:p>
    <w:p>
      <w:pPr>
        <w:pStyle w:val="18"/>
        <w:keepNext w:val="0"/>
        <w:keepLines w:val="0"/>
        <w:widowControl/>
        <w:suppressLineNumbers w:val="0"/>
        <w:spacing w:before="408" w:beforeAutospacing="0" w:after="106" w:afterAutospacing="0" w:line="30" w:lineRule="atLeast"/>
        <w:ind w:left="0" w:right="0" w:firstLine="420"/>
        <w:rPr>
          <w:rFonts w:hint="eastAsia" w:ascii="仿宋_GB2312" w:eastAsia="仿宋_GB2312"/>
          <w:color w:val="000000"/>
          <w:sz w:val="32"/>
          <w:szCs w:val="32"/>
        </w:rPr>
      </w:pPr>
    </w:p>
    <w:p>
      <w:pPr>
        <w:pStyle w:val="18"/>
        <w:keepNext w:val="0"/>
        <w:keepLines w:val="0"/>
        <w:widowControl/>
        <w:suppressLineNumbers w:val="0"/>
        <w:spacing w:before="408" w:beforeAutospacing="0" w:after="106" w:afterAutospacing="0" w:line="30" w:lineRule="atLeast"/>
        <w:ind w:left="0" w:right="0" w:firstLine="420"/>
        <w:rPr>
          <w:rFonts w:hint="eastAsia" w:ascii="仿宋_GB2312" w:eastAsia="仿宋_GB2312"/>
          <w:color w:val="000000"/>
          <w:sz w:val="32"/>
          <w:szCs w:val="32"/>
        </w:rPr>
      </w:pPr>
    </w:p>
    <w:p>
      <w:pPr>
        <w:pStyle w:val="18"/>
        <w:keepNext w:val="0"/>
        <w:keepLines w:val="0"/>
        <w:widowControl/>
        <w:suppressLineNumbers w:val="0"/>
        <w:spacing w:before="408" w:beforeAutospacing="0" w:after="106" w:afterAutospacing="0" w:line="30" w:lineRule="atLeast"/>
        <w:ind w:left="0" w:right="0" w:firstLine="420"/>
        <w:rPr>
          <w:rFonts w:hint="eastAsia" w:ascii="仿宋_GB2312" w:eastAsia="仿宋_GB2312"/>
          <w:color w:val="000000"/>
          <w:sz w:val="32"/>
          <w:szCs w:val="32"/>
        </w:rPr>
      </w:pPr>
    </w:p>
    <w:p>
      <w:pPr>
        <w:pStyle w:val="18"/>
        <w:keepNext w:val="0"/>
        <w:keepLines w:val="0"/>
        <w:widowControl/>
        <w:suppressLineNumbers w:val="0"/>
        <w:spacing w:before="408" w:beforeAutospacing="0" w:after="106" w:afterAutospacing="0" w:line="30" w:lineRule="atLeast"/>
        <w:ind w:left="0" w:right="0" w:firstLine="420"/>
        <w:rPr>
          <w:rFonts w:hint="eastAsia" w:ascii="仿宋_GB2312" w:eastAsia="仿宋_GB2312"/>
          <w:color w:val="000000"/>
          <w:sz w:val="32"/>
          <w:szCs w:val="32"/>
        </w:rPr>
      </w:pPr>
    </w:p>
    <w:p>
      <w:pPr>
        <w:pStyle w:val="18"/>
        <w:keepNext w:val="0"/>
        <w:keepLines w:val="0"/>
        <w:widowControl/>
        <w:suppressLineNumbers w:val="0"/>
        <w:spacing w:before="408" w:beforeAutospacing="0" w:after="106" w:afterAutospacing="0" w:line="30" w:lineRule="atLeast"/>
        <w:ind w:left="0" w:right="0" w:firstLine="420"/>
        <w:rPr>
          <w:rFonts w:hint="eastAsia" w:ascii="仿宋_GB2312" w:eastAsia="仿宋_GB2312"/>
          <w:color w:val="000000"/>
          <w:sz w:val="32"/>
          <w:szCs w:val="32"/>
        </w:rPr>
      </w:pPr>
    </w:p>
    <w:p>
      <w:pPr>
        <w:pStyle w:val="18"/>
        <w:keepNext w:val="0"/>
        <w:keepLines w:val="0"/>
        <w:widowControl/>
        <w:suppressLineNumbers w:val="0"/>
        <w:spacing w:before="408" w:beforeAutospacing="0" w:after="106" w:afterAutospacing="0" w:line="30" w:lineRule="atLeast"/>
        <w:ind w:right="0"/>
        <w:rPr>
          <w:rFonts w:hint="eastAsia" w:ascii="仿宋_GB2312" w:eastAsia="仿宋_GB2312"/>
          <w:color w:val="000000"/>
          <w:sz w:val="32"/>
          <w:szCs w:val="32"/>
        </w:rPr>
      </w:pPr>
    </w:p>
    <w:p>
      <w:pPr>
        <w:numPr>
          <w:ilvl w:val="0"/>
          <w:numId w:val="3"/>
        </w:numPr>
        <w:spacing w:line="600" w:lineRule="exact"/>
        <w:ind w:firstLine="660" w:firstLineChars="150"/>
        <w:jc w:val="center"/>
        <w:outlineLvl w:val="0"/>
        <w:rPr>
          <w:rStyle w:val="23"/>
          <w:rFonts w:ascii="黑体" w:hAnsi="黑体" w:eastAsia="黑体"/>
          <w:b w:val="0"/>
        </w:rPr>
      </w:pPr>
      <w:r>
        <w:rPr>
          <w:rFonts w:hint="eastAsia" w:ascii="黑体" w:hAnsi="黑体" w:eastAsia="黑体"/>
          <w:color w:val="000000"/>
          <w:sz w:val="44"/>
          <w:szCs w:val="44"/>
        </w:rPr>
        <w:t>名</w:t>
      </w:r>
      <w:r>
        <w:rPr>
          <w:rStyle w:val="23"/>
          <w:rFonts w:hint="eastAsia" w:ascii="黑体" w:hAnsi="黑体" w:eastAsia="黑体"/>
          <w:b w:val="0"/>
        </w:rPr>
        <w:t>词解释</w:t>
      </w:r>
    </w:p>
    <w:p>
      <w:pPr>
        <w:spacing w:line="600" w:lineRule="exact"/>
        <w:jc w:val="left"/>
        <w:rPr>
          <w:rFonts w:ascii="宋体"/>
          <w:b/>
          <w:color w:val="000000"/>
          <w:sz w:val="44"/>
          <w:szCs w:val="44"/>
        </w:rPr>
      </w:pPr>
    </w:p>
    <w:p>
      <w:pPr>
        <w:pStyle w:val="33"/>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pPr>
        <w:pStyle w:val="33"/>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事业收入：指事业单位开展专业业务活动及辅助活动取得的收入。如</w:t>
      </w:r>
      <w:r>
        <w:rPr>
          <w:rFonts w:hint="eastAsia" w:ascii="仿宋_GB2312" w:eastAsia="仿宋_GB2312"/>
          <w:sz w:val="32"/>
          <w:szCs w:val="32"/>
          <w:lang w:eastAsia="zh-CN"/>
        </w:rPr>
        <w:t>人员经费、日常公用经费等</w:t>
      </w:r>
      <w:r>
        <w:rPr>
          <w:rFonts w:hint="eastAsia" w:ascii="仿宋_GB2312" w:eastAsia="仿宋_GB2312"/>
          <w:sz w:val="32"/>
          <w:szCs w:val="32"/>
        </w:rPr>
        <w:t>（二级预算单位事业收入情况）等。</w:t>
      </w:r>
    </w:p>
    <w:p>
      <w:pPr>
        <w:pStyle w:val="33"/>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经营收入：指事业单位在专业业务活动及其辅助活动之外开展非独立核算经营活动取得的收入。（二级预算单位经营收入情况）等。</w:t>
      </w:r>
    </w:p>
    <w:p>
      <w:pPr>
        <w:pStyle w:val="33"/>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其他收入：指单位取得的除上述收入以外的各项收入。主要是</w:t>
      </w:r>
      <w:r>
        <w:rPr>
          <w:rFonts w:hint="eastAsia" w:ascii="仿宋_GB2312" w:eastAsia="仿宋_GB2312"/>
          <w:sz w:val="32"/>
          <w:szCs w:val="32"/>
          <w:lang w:eastAsia="zh-CN"/>
        </w:rPr>
        <w:t>利息收入</w:t>
      </w:r>
      <w:r>
        <w:rPr>
          <w:rFonts w:hint="eastAsia" w:ascii="仿宋_GB2312" w:eastAsia="仿宋_GB2312"/>
          <w:sz w:val="32"/>
          <w:szCs w:val="32"/>
        </w:rPr>
        <w:t>（收入类型）等。</w:t>
      </w:r>
      <w:r>
        <w:rPr>
          <w:rFonts w:ascii="仿宋_GB2312" w:eastAsia="仿宋_GB2312"/>
          <w:sz w:val="32"/>
          <w:szCs w:val="32"/>
        </w:rPr>
        <w:t xml:space="preserve"> </w:t>
      </w:r>
    </w:p>
    <w:p>
      <w:pPr>
        <w:pStyle w:val="33"/>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_GB2312" w:eastAsia="仿宋_GB2312"/>
          <w:sz w:val="32"/>
          <w:szCs w:val="32"/>
        </w:rPr>
        <w:t xml:space="preserve"> </w:t>
      </w:r>
    </w:p>
    <w:p>
      <w:pPr>
        <w:pStyle w:val="33"/>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pPr>
        <w:pStyle w:val="33"/>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结余分配：指事业单位按照事业单位会计制度的规定从非财政补助结余中分配的事业基金和职工福利基金等。</w:t>
      </w:r>
    </w:p>
    <w:p>
      <w:pPr>
        <w:pStyle w:val="33"/>
        <w:spacing w:line="560"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pPr>
        <w:ind w:firstLine="640" w:firstLineChars="200"/>
        <w:rPr>
          <w:rFonts w:ascii="仿宋_GB2312" w:eastAsia="仿宋_GB2312"/>
          <w:color w:val="000000"/>
          <w:sz w:val="32"/>
          <w:szCs w:val="32"/>
        </w:rPr>
      </w:pPr>
      <w:r>
        <w:rPr>
          <w:rFonts w:ascii="仿宋_GB2312" w:eastAsia="仿宋_GB2312"/>
          <w:color w:val="000000"/>
          <w:sz w:val="32"/>
          <w:szCs w:val="32"/>
        </w:rPr>
        <w:t>9.</w:t>
      </w:r>
      <w:r>
        <w:rPr>
          <w:rFonts w:hint="eastAsia" w:ascii="仿宋_GB2312" w:eastAsia="仿宋_GB2312"/>
          <w:color w:val="000000"/>
          <w:sz w:val="32"/>
          <w:szCs w:val="32"/>
        </w:rPr>
        <w:t>一般公共服务</w:t>
      </w:r>
      <w:r>
        <w:rPr>
          <w:rFonts w:hint="eastAsia" w:ascii="仿宋_GB2312" w:eastAsia="仿宋_GB2312"/>
          <w:color w:val="000000"/>
          <w:sz w:val="32"/>
          <w:szCs w:val="32"/>
          <w:lang w:eastAsia="zh-CN"/>
        </w:rPr>
        <w:t>：</w:t>
      </w:r>
      <w:r>
        <w:rPr>
          <w:rFonts w:hint="eastAsia" w:ascii="仿宋_GB2312" w:eastAsia="仿宋_GB2312"/>
          <w:color w:val="000000"/>
          <w:sz w:val="32"/>
          <w:szCs w:val="32"/>
        </w:rPr>
        <w:t>指</w:t>
      </w:r>
      <w:r>
        <w:rPr>
          <w:rFonts w:hint="eastAsia" w:ascii="仿宋_GB2312" w:eastAsia="仿宋_GB2312"/>
          <w:color w:val="000000"/>
          <w:sz w:val="32"/>
          <w:szCs w:val="32"/>
          <w:lang w:eastAsia="zh-CN"/>
        </w:rPr>
        <w:t>事业运行经费包括办公费、电费、接待费、公车运行维护费等</w:t>
      </w:r>
      <w:r>
        <w:rPr>
          <w:rFonts w:hint="eastAsia" w:ascii="仿宋_GB2312" w:eastAsia="仿宋_GB2312"/>
          <w:color w:val="000000"/>
          <w:sz w:val="32"/>
          <w:szCs w:val="32"/>
        </w:rPr>
        <w:t>。</w:t>
      </w:r>
    </w:p>
    <w:p>
      <w:pPr>
        <w:ind w:firstLine="640"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社会保障和就业：指</w:t>
      </w:r>
      <w:r>
        <w:rPr>
          <w:rFonts w:hint="eastAsia" w:ascii="仿宋_GB2312" w:eastAsia="仿宋_GB2312"/>
          <w:color w:val="000000"/>
          <w:sz w:val="32"/>
          <w:szCs w:val="32"/>
          <w:lang w:eastAsia="zh-CN"/>
        </w:rPr>
        <w:t>养老保险金、职业年金等</w:t>
      </w:r>
      <w:r>
        <w:rPr>
          <w:rFonts w:hint="eastAsia" w:ascii="仿宋_GB2312" w:eastAsia="仿宋_GB2312"/>
          <w:color w:val="000000"/>
          <w:sz w:val="32"/>
          <w:szCs w:val="32"/>
        </w:rPr>
        <w:t>。</w:t>
      </w:r>
    </w:p>
    <w:p>
      <w:pPr>
        <w:ind w:firstLine="640"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lang w:val="en-US" w:eastAsia="zh-CN"/>
        </w:rPr>
        <w:t>1</w:t>
      </w:r>
      <w:r>
        <w:rPr>
          <w:rFonts w:ascii="仿宋_GB2312" w:eastAsia="仿宋_GB2312"/>
          <w:color w:val="000000"/>
          <w:sz w:val="32"/>
          <w:szCs w:val="32"/>
        </w:rPr>
        <w:t>.</w:t>
      </w:r>
      <w:r>
        <w:rPr>
          <w:rFonts w:hint="eastAsia" w:ascii="仿宋_GB2312" w:eastAsia="仿宋_GB2312"/>
          <w:color w:val="000000"/>
          <w:sz w:val="32"/>
          <w:szCs w:val="32"/>
        </w:rPr>
        <w:t>医疗卫生与计划生育：指</w:t>
      </w:r>
      <w:r>
        <w:rPr>
          <w:rFonts w:hint="eastAsia" w:ascii="仿宋_GB2312" w:eastAsia="仿宋_GB2312"/>
          <w:color w:val="000000"/>
          <w:sz w:val="32"/>
          <w:szCs w:val="32"/>
          <w:lang w:eastAsia="zh-CN"/>
        </w:rPr>
        <w:t>医疗保险、公务员医疗补助等</w:t>
      </w:r>
      <w:r>
        <w:rPr>
          <w:rFonts w:hint="eastAsia" w:ascii="仿宋_GB2312" w:eastAsia="仿宋_GB2312"/>
          <w:color w:val="000000"/>
          <w:sz w:val="32"/>
          <w:szCs w:val="32"/>
        </w:rPr>
        <w:t>。</w:t>
      </w:r>
    </w:p>
    <w:p>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12</w:t>
      </w:r>
      <w:r>
        <w:rPr>
          <w:rFonts w:ascii="仿宋_GB2312" w:eastAsia="仿宋_GB2312"/>
          <w:color w:val="000000"/>
          <w:sz w:val="32"/>
          <w:szCs w:val="32"/>
        </w:rPr>
        <w:t>.</w:t>
      </w:r>
      <w:r>
        <w:rPr>
          <w:rFonts w:hint="eastAsia" w:ascii="仿宋_GB2312" w:eastAsia="仿宋_GB2312"/>
          <w:color w:val="000000"/>
          <w:sz w:val="32"/>
          <w:szCs w:val="32"/>
        </w:rPr>
        <w:t>住房保障：指</w:t>
      </w:r>
      <w:r>
        <w:rPr>
          <w:rFonts w:hint="eastAsia" w:ascii="仿宋_GB2312" w:eastAsia="仿宋_GB2312"/>
          <w:color w:val="000000"/>
          <w:sz w:val="32"/>
          <w:szCs w:val="32"/>
          <w:lang w:eastAsia="zh-CN"/>
        </w:rPr>
        <w:t>住房公积金等</w:t>
      </w:r>
      <w:r>
        <w:rPr>
          <w:rFonts w:hint="eastAsia" w:ascii="仿宋_GB2312" w:eastAsia="仿宋_GB2312"/>
          <w:color w:val="000000"/>
          <w:sz w:val="32"/>
          <w:szCs w:val="32"/>
        </w:rPr>
        <w:t>。</w:t>
      </w:r>
    </w:p>
    <w:p>
      <w:pPr>
        <w:spacing w:line="600" w:lineRule="exact"/>
        <w:ind w:firstLine="640"/>
        <w:rPr>
          <w:rFonts w:ascii="仿宋" w:hAnsi="仿宋" w:eastAsia="仿宋"/>
          <w:b/>
          <w:color w:val="000000"/>
          <w:sz w:val="32"/>
          <w:szCs w:val="32"/>
        </w:rPr>
      </w:pPr>
      <w:r>
        <w:rPr>
          <w:rFonts w:hint="eastAsia" w:ascii="仿宋" w:hAnsi="仿宋" w:eastAsia="仿宋"/>
          <w:b/>
          <w:color w:val="000000"/>
          <w:sz w:val="32"/>
          <w:szCs w:val="32"/>
        </w:rPr>
        <w:t>（解释本部门决算报表中全部功能分类科目至项级，请参照《</w:t>
      </w:r>
      <w:r>
        <w:rPr>
          <w:rFonts w:hint="eastAsia" w:ascii="仿宋" w:hAnsi="仿宋" w:eastAsia="仿宋"/>
          <w:b/>
          <w:color w:val="000000"/>
          <w:sz w:val="32"/>
          <w:szCs w:val="32"/>
          <w:lang w:eastAsia="zh-CN"/>
        </w:rPr>
        <w:t>2023</w:t>
      </w:r>
      <w:r>
        <w:rPr>
          <w:rFonts w:hint="eastAsia" w:ascii="仿宋" w:hAnsi="仿宋" w:eastAsia="仿宋"/>
          <w:b/>
          <w:color w:val="000000"/>
          <w:sz w:val="32"/>
          <w:szCs w:val="32"/>
        </w:rPr>
        <w:t>年政府收支分类科目》增减内容。）</w:t>
      </w:r>
    </w:p>
    <w:p>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13</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14</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15</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pPr>
        <w:pStyle w:val="33"/>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16</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3"/>
        <w:spacing w:line="560" w:lineRule="exact"/>
        <w:ind w:firstLine="640" w:firstLineChars="200"/>
        <w:rPr>
          <w:rFonts w:ascii="仿宋_GB2312" w:eastAsia="仿宋_GB2312" w:cs="黑体"/>
          <w:sz w:val="32"/>
          <w:szCs w:val="32"/>
        </w:rPr>
      </w:pPr>
      <w:r>
        <w:rPr>
          <w:rFonts w:hint="eastAsia" w:ascii="仿宋_GB2312" w:eastAsia="仿宋_GB2312"/>
          <w:sz w:val="32"/>
          <w:szCs w:val="32"/>
          <w:lang w:val="en-US" w:eastAsia="zh-CN"/>
        </w:rPr>
        <w:t>17</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ind w:firstLine="643" w:firstLineChars="200"/>
        <w:rPr>
          <w:rFonts w:hint="eastAsia"/>
        </w:rPr>
        <w:sectPr>
          <w:footerReference r:id="rId7" w:type="first"/>
          <w:footerReference r:id="rId6" w:type="default"/>
          <w:pgSz w:w="11906" w:h="16838"/>
          <w:pgMar w:top="1440" w:right="1800" w:bottom="1440" w:left="1800" w:header="851" w:footer="992" w:gutter="0"/>
          <w:pgNumType w:fmt="decimal" w:start="1"/>
          <w:cols w:space="425" w:num="1"/>
          <w:titlePg/>
          <w:docGrid w:type="lines" w:linePitch="312" w:charSpace="0"/>
        </w:sectPr>
      </w:pPr>
      <w:r>
        <w:rPr>
          <w:rFonts w:hint="eastAsia" w:ascii="仿宋" w:hAnsi="仿宋" w:eastAsia="仿宋"/>
          <w:b/>
          <w:color w:val="000000"/>
          <w:sz w:val="32"/>
          <w:szCs w:val="32"/>
        </w:rPr>
        <w:t>（名词解释部分请根据各部门实际列支情况罗列，并根据本部门职责职能增减名词解释内容。）</w:t>
      </w:r>
    </w:p>
    <w:bookmarkEnd w:id="12"/>
    <w:bookmarkEnd w:id="13"/>
    <w:bookmarkEnd w:id="14"/>
    <w:bookmarkEnd w:id="15"/>
    <w:bookmarkEnd w:id="16"/>
    <w:bookmarkEnd w:id="17"/>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600" w:lineRule="atLeast"/>
        <w:ind w:left="0" w:right="0" w:firstLine="0"/>
        <w:jc w:val="center"/>
        <w:rPr>
          <w:rFonts w:hint="default" w:ascii="Times New Roman" w:hAnsi="Times New Roman" w:cs="Times New Roman"/>
          <w:i w:val="0"/>
          <w:iCs w:val="0"/>
          <w:caps w:val="0"/>
          <w:color w:val="333333"/>
          <w:spacing w:val="0"/>
          <w:sz w:val="21"/>
          <w:szCs w:val="21"/>
        </w:rPr>
      </w:pPr>
      <w:r>
        <w:rPr>
          <w:rFonts w:ascii="黑体" w:hAnsi="宋体" w:eastAsia="黑体" w:cs="黑体"/>
          <w:i w:val="0"/>
          <w:iCs w:val="0"/>
          <w:caps w:val="0"/>
          <w:color w:val="333333"/>
          <w:spacing w:val="0"/>
          <w:kern w:val="0"/>
          <w:sz w:val="44"/>
          <w:szCs w:val="44"/>
          <w:shd w:val="clear" w:fill="FFFFFF"/>
          <w:vertAlign w:val="baseline"/>
          <w:lang w:val="en-US" w:eastAsia="zh-CN" w:bidi="ar"/>
        </w:rPr>
        <w:t>第</w:t>
      </w:r>
      <w:r>
        <w:rPr>
          <w:rFonts w:hint="eastAsia" w:ascii="黑体" w:hAnsi="宋体" w:eastAsia="黑体" w:cs="黑体"/>
          <w:i w:val="0"/>
          <w:iCs w:val="0"/>
          <w:caps w:val="0"/>
          <w:color w:val="auto"/>
          <w:spacing w:val="0"/>
          <w:kern w:val="0"/>
          <w:sz w:val="44"/>
          <w:szCs w:val="44"/>
          <w:shd w:val="clear" w:fill="FFFFFF"/>
          <w:vertAlign w:val="baseline"/>
          <w:lang w:val="en-US" w:eastAsia="zh-CN" w:bidi="ar"/>
        </w:rPr>
        <w:t>四部分附件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600" w:lineRule="atLeast"/>
        <w:ind w:left="0" w:right="0" w:firstLine="0"/>
        <w:jc w:val="left"/>
        <w:rPr>
          <w:rFonts w:hint="default" w:ascii="Times New Roman" w:hAnsi="Times New Roman" w:cs="Times New Roman"/>
          <w:i w:val="0"/>
          <w:iCs w:val="0"/>
          <w:caps w:val="0"/>
          <w:color w:val="333333"/>
          <w:spacing w:val="0"/>
          <w:sz w:val="21"/>
          <w:szCs w:val="21"/>
        </w:rPr>
      </w:pPr>
      <w:bookmarkStart w:id="23" w:name="_Toc79163631"/>
      <w:bookmarkEnd w:id="23"/>
      <w:bookmarkStart w:id="24" w:name="_Toc79163881"/>
      <w:bookmarkEnd w:id="24"/>
      <w:r>
        <w:rPr>
          <w:rFonts w:hint="eastAsia" w:ascii="黑体" w:hAnsi="宋体" w:eastAsia="黑体" w:cs="黑体"/>
          <w:i w:val="0"/>
          <w:iCs w:val="0"/>
          <w:caps w:val="0"/>
          <w:color w:val="auto"/>
          <w:spacing w:val="0"/>
          <w:kern w:val="0"/>
          <w:sz w:val="32"/>
          <w:szCs w:val="32"/>
          <w:shd w:val="clear" w:fill="FFFFFF"/>
          <w:vertAlign w:val="baseline"/>
          <w:lang w:val="en-US" w:eastAsia="zh-CN" w:bidi="ar"/>
        </w:rPr>
        <w:t>附件1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80" w:lineRule="atLeast"/>
        <w:ind w:left="0" w:right="0" w:firstLine="0"/>
        <w:jc w:val="center"/>
        <w:rPr>
          <w:rFonts w:hint="default" w:ascii="Times New Roman" w:hAnsi="Times New Roman" w:cs="Times New Roman"/>
          <w:i w:val="0"/>
          <w:iCs w:val="0"/>
          <w:caps w:val="0"/>
          <w:color w:val="333333"/>
          <w:spacing w:val="0"/>
          <w:sz w:val="21"/>
          <w:szCs w:val="21"/>
        </w:rPr>
      </w:pPr>
      <w:r>
        <w:rPr>
          <w:rFonts w:ascii="方正小标宋简体" w:hAnsi="方正小标宋简体" w:eastAsia="方正小标宋简体" w:cs="方正小标宋简体"/>
          <w:i w:val="0"/>
          <w:iCs w:val="0"/>
          <w:caps w:val="0"/>
          <w:color w:val="auto"/>
          <w:spacing w:val="0"/>
          <w:kern w:val="0"/>
          <w:sz w:val="44"/>
          <w:szCs w:val="44"/>
          <w:shd w:val="clear" w:fill="FFFFFF"/>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600" w:lineRule="atLeast"/>
        <w:ind w:left="0" w:right="0" w:firstLine="0"/>
        <w:jc w:val="center"/>
        <w:rPr>
          <w:rFonts w:hint="default" w:ascii="Times New Roman" w:hAnsi="Times New Roman" w:cs="Times New Roman"/>
          <w:i w:val="0"/>
          <w:iCs w:val="0"/>
          <w:caps w:val="0"/>
          <w:color w:val="333333"/>
          <w:spacing w:val="0"/>
          <w:sz w:val="21"/>
          <w:szCs w:val="21"/>
        </w:rPr>
      </w:pPr>
      <w:bookmarkStart w:id="25" w:name="_Toc79163882"/>
      <w:bookmarkEnd w:id="25"/>
      <w:bookmarkStart w:id="26" w:name="_Toc79163632"/>
      <w:bookmarkEnd w:id="26"/>
      <w:r>
        <w:rPr>
          <w:rFonts w:hint="default" w:ascii="方正小标宋简体" w:hAnsi="方正小标宋简体" w:eastAsia="方正小标宋简体" w:cs="方正小标宋简体"/>
          <w:i w:val="0"/>
          <w:iCs w:val="0"/>
          <w:caps w:val="0"/>
          <w:color w:val="auto"/>
          <w:spacing w:val="0"/>
          <w:kern w:val="0"/>
          <w:sz w:val="44"/>
          <w:szCs w:val="44"/>
          <w:shd w:val="clear" w:fill="FFFFFF"/>
          <w:vertAlign w:val="baseline"/>
          <w:lang w:val="en-US" w:eastAsia="zh-CN" w:bidi="ar"/>
        </w:rPr>
        <w:t>小金县</w:t>
      </w:r>
      <w:r>
        <w:rPr>
          <w:rFonts w:hint="eastAsia" w:ascii="方正小标宋简体" w:hAnsi="方正小标宋简体" w:eastAsia="方正小标宋简体" w:cs="方正小标宋简体"/>
          <w:i w:val="0"/>
          <w:iCs w:val="0"/>
          <w:caps w:val="0"/>
          <w:color w:val="auto"/>
          <w:spacing w:val="0"/>
          <w:kern w:val="0"/>
          <w:sz w:val="44"/>
          <w:szCs w:val="44"/>
          <w:shd w:val="clear" w:fill="FFFFFF"/>
          <w:vertAlign w:val="baseline"/>
          <w:lang w:val="en-US" w:eastAsia="zh-CN" w:bidi="ar"/>
        </w:rPr>
        <w:t>机关事务管理局2025</w:t>
      </w:r>
      <w:r>
        <w:rPr>
          <w:rFonts w:hint="default" w:ascii="方正小标宋简体" w:hAnsi="方正小标宋简体" w:eastAsia="方正小标宋简体" w:cs="方正小标宋简体"/>
          <w:i w:val="0"/>
          <w:iCs w:val="0"/>
          <w:caps w:val="0"/>
          <w:color w:val="auto"/>
          <w:spacing w:val="0"/>
          <w:kern w:val="0"/>
          <w:sz w:val="44"/>
          <w:szCs w:val="44"/>
          <w:shd w:val="clear" w:fill="FFFFFF"/>
          <w:vertAlign w:val="baseline"/>
          <w:lang w:val="en-US" w:eastAsia="zh-CN" w:bidi="ar"/>
        </w:rPr>
        <w:t>年部门整体支出绩效评价报告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80" w:lineRule="atLeast"/>
        <w:ind w:left="0" w:right="0" w:firstLine="480"/>
        <w:jc w:val="left"/>
        <w:rPr>
          <w:rFonts w:hint="default" w:ascii="Times New Roman" w:hAnsi="Times New Roman" w:cs="Times New Roman"/>
          <w:i w:val="0"/>
          <w:iCs w:val="0"/>
          <w:caps w:val="0"/>
          <w:color w:val="333333"/>
          <w:spacing w:val="0"/>
          <w:sz w:val="21"/>
          <w:szCs w:val="21"/>
        </w:rPr>
      </w:pPr>
      <w:r>
        <w:rPr>
          <w:rFonts w:hint="eastAsia" w:ascii="黑体" w:hAnsi="宋体" w:eastAsia="黑体" w:cs="黑体"/>
          <w:i w:val="0"/>
          <w:iCs w:val="0"/>
          <w:caps w:val="0"/>
          <w:color w:val="333333"/>
          <w:spacing w:val="0"/>
          <w:kern w:val="0"/>
          <w:sz w:val="24"/>
          <w:szCs w:val="24"/>
          <w:shd w:val="clear" w:fill="FFFFFF"/>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480" w:lineRule="atLeast"/>
        <w:ind w:left="0" w:right="0" w:firstLine="640"/>
        <w:jc w:val="left"/>
        <w:rPr>
          <w:rFonts w:hint="default" w:ascii="Times New Roman" w:hAnsi="Times New Roman" w:cs="Times New Roman"/>
          <w:i w:val="0"/>
          <w:iCs w:val="0"/>
          <w:caps w:val="0"/>
          <w:color w:val="333333"/>
          <w:spacing w:val="0"/>
          <w:sz w:val="21"/>
          <w:szCs w:val="21"/>
        </w:rPr>
      </w:pPr>
      <w:r>
        <w:rPr>
          <w:rFonts w:hint="eastAsia" w:ascii="黑体" w:hAnsi="宋体" w:eastAsia="黑体" w:cs="黑体"/>
          <w:i w:val="0"/>
          <w:iCs w:val="0"/>
          <w:caps w:val="0"/>
          <w:color w:val="333333"/>
          <w:spacing w:val="0"/>
          <w:kern w:val="0"/>
          <w:sz w:val="32"/>
          <w:szCs w:val="32"/>
          <w:shd w:val="clear" w:fill="FFFFFF"/>
          <w:vertAlign w:val="baseline"/>
          <w:lang w:val="en-US" w:eastAsia="zh-CN" w:bidi="ar"/>
        </w:rPr>
        <w:t>一、部门（单位）概况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00" w:lineRule="atLeast"/>
        <w:ind w:left="0" w:right="0" w:firstLine="643"/>
        <w:jc w:val="left"/>
        <w:rPr>
          <w:rFonts w:hint="default" w:ascii="Times New Roman" w:hAnsi="Times New Roman" w:cs="Times New Roman"/>
          <w:i w:val="0"/>
          <w:iCs w:val="0"/>
          <w:caps w:val="0"/>
          <w:color w:val="333333"/>
          <w:spacing w:val="0"/>
          <w:sz w:val="21"/>
          <w:szCs w:val="21"/>
        </w:rPr>
      </w:pPr>
      <w:r>
        <w:rPr>
          <w:rFonts w:hint="eastAsia" w:ascii="宋体" w:hAnsi="宋体" w:eastAsia="宋体" w:cs="宋体"/>
          <w:b/>
          <w:bCs/>
          <w:i w:val="0"/>
          <w:iCs w:val="0"/>
          <w:caps w:val="0"/>
          <w:color w:val="auto"/>
          <w:spacing w:val="0"/>
          <w:kern w:val="0"/>
          <w:sz w:val="32"/>
          <w:szCs w:val="32"/>
          <w:shd w:val="clear" w:fill="FFFFFF"/>
          <w:vertAlign w:val="baseline"/>
          <w:lang w:val="en-US" w:eastAsia="zh-CN" w:bidi="ar"/>
        </w:rPr>
        <w:t>（一）机构组成。</w:t>
      </w:r>
    </w:p>
    <w:p>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（一）综合股。负责部门日 常后勤事务工作，承担公务接待信息化建设工作，承担重大接待任务交通保障。负责中心工作人员 工资、医保等费用发放和报销工作。</w:t>
      </w:r>
    </w:p>
    <w:p>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公务服务股。负责中央、省、州各级领导干部（含曾经担任）来县的服务保障；按照有关规定负责中央、省州巡视、督查、检查、调研、考察、考核、审计等工作组来县的服务保障工作；负责外省党政代表团赴县考察的服务保障；负责县委县政府交办的由公务服务中心承担的接待和招商引资事项的服务保障；按照中央八项规定和省委、省政府十项规定及其实施细则要求，负责县委、县政府重大公务活动的服务保障工作。</w:t>
      </w:r>
    </w:p>
    <w:p>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）后勤服务股。负责后勤保障机关食堂建设和后续管理工作。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00" w:lineRule="atLeast"/>
        <w:ind w:left="0" w:right="0" w:firstLine="643"/>
        <w:jc w:val="left"/>
        <w:rPr>
          <w:rFonts w:hint="default" w:ascii="Times New Roman" w:hAnsi="Times New Roman" w:cs="Times New Roman"/>
          <w:i w:val="0"/>
          <w:iCs w:val="0"/>
          <w:caps w:val="0"/>
          <w:color w:val="333333"/>
          <w:spacing w:val="0"/>
          <w:sz w:val="21"/>
          <w:szCs w:val="21"/>
        </w:rPr>
      </w:pPr>
      <w:r>
        <w:rPr>
          <w:rFonts w:hint="eastAsia" w:ascii="宋体" w:hAnsi="宋体" w:eastAsia="宋体" w:cs="宋体"/>
          <w:b/>
          <w:bCs/>
          <w:i w:val="0"/>
          <w:iCs w:val="0"/>
          <w:caps w:val="0"/>
          <w:color w:val="auto"/>
          <w:spacing w:val="0"/>
          <w:kern w:val="0"/>
          <w:sz w:val="32"/>
          <w:szCs w:val="32"/>
          <w:shd w:val="clear" w:fill="FFFFFF"/>
          <w:vertAlign w:val="baseline"/>
          <w:lang w:val="en-US" w:eastAsia="zh-CN" w:bidi="ar"/>
        </w:rPr>
        <w:t>（二）人员概况。</w:t>
      </w:r>
    </w:p>
    <w:p>
      <w:pPr>
        <w:snapToGrid w:val="0"/>
        <w:spacing w:line="520" w:lineRule="exact"/>
        <w:ind w:firstLine="640" w:firstLineChars="200"/>
        <w:rPr>
          <w:rFonts w:hint="default" w:ascii="Times New Roman" w:hAnsi="Times New Roman" w:cs="Times New Roman"/>
          <w:i w:val="0"/>
          <w:iCs w:val="0"/>
          <w:caps w:val="0"/>
          <w:color w:val="333333"/>
          <w:spacing w:val="0"/>
          <w:sz w:val="21"/>
          <w:szCs w:val="21"/>
        </w:rPr>
      </w:pPr>
      <w:r>
        <w:rPr>
          <w:rFonts w:hint="eastAsia" w:ascii="仿宋_GB2312" w:hAnsi="仿宋_GB2312" w:eastAsia="仿宋_GB2312" w:cs="仿宋_GB2312"/>
          <w:sz w:val="32"/>
          <w:szCs w:val="32"/>
        </w:rPr>
        <w:t>县公务服务中心事业编制8名。其中，主任1名 ，副主任2名,股级领导职数 3名。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480" w:lineRule="atLeast"/>
        <w:ind w:left="0" w:right="0" w:firstLine="720"/>
        <w:jc w:val="left"/>
        <w:rPr>
          <w:rFonts w:hint="default" w:ascii="Times New Roman" w:hAnsi="Times New Roman" w:cs="Times New Roman"/>
          <w:i w:val="0"/>
          <w:iCs w:val="0"/>
          <w:caps w:val="0"/>
          <w:color w:val="333333"/>
          <w:spacing w:val="0"/>
          <w:sz w:val="21"/>
          <w:szCs w:val="21"/>
        </w:rPr>
      </w:pPr>
      <w:r>
        <w:rPr>
          <w:rFonts w:hint="eastAsia" w:ascii="黑体" w:hAnsi="宋体" w:eastAsia="黑体" w:cs="黑体"/>
          <w:b/>
          <w:bCs/>
          <w:i w:val="0"/>
          <w:iCs w:val="0"/>
          <w:caps w:val="0"/>
          <w:color w:val="333333"/>
          <w:spacing w:val="0"/>
          <w:kern w:val="0"/>
          <w:sz w:val="32"/>
          <w:szCs w:val="32"/>
          <w:shd w:val="clear" w:fill="FFFFFF"/>
          <w:vertAlign w:val="baseline"/>
          <w:lang w:val="en-US" w:eastAsia="zh-CN" w:bidi="ar"/>
        </w:rPr>
        <w:t>二、部门财政资金收支情况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00" w:lineRule="atLeast"/>
        <w:ind w:left="0" w:right="0" w:firstLine="643"/>
        <w:jc w:val="left"/>
        <w:rPr>
          <w:rFonts w:hint="default" w:ascii="Times New Roman" w:hAnsi="Times New Roman" w:cs="Times New Roman"/>
          <w:i w:val="0"/>
          <w:iCs w:val="0"/>
          <w:caps w:val="0"/>
          <w:color w:val="333333"/>
          <w:spacing w:val="0"/>
          <w:sz w:val="21"/>
          <w:szCs w:val="21"/>
        </w:rPr>
      </w:pPr>
      <w:r>
        <w:rPr>
          <w:rFonts w:hint="eastAsia" w:ascii="宋体" w:hAnsi="宋体" w:eastAsia="宋体" w:cs="宋体"/>
          <w:b/>
          <w:bCs/>
          <w:i w:val="0"/>
          <w:iCs w:val="0"/>
          <w:caps w:val="0"/>
          <w:color w:val="auto"/>
          <w:spacing w:val="0"/>
          <w:kern w:val="0"/>
          <w:sz w:val="32"/>
          <w:szCs w:val="32"/>
          <w:shd w:val="clear" w:fill="FFFFFF"/>
          <w:vertAlign w:val="baseline"/>
          <w:lang w:val="en-US" w:eastAsia="zh-CN" w:bidi="ar"/>
        </w:rPr>
        <w:t>（一）部门财政资金收入情况。</w:t>
      </w:r>
    </w:p>
    <w:p>
      <w:pPr>
        <w:spacing w:line="60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b w:val="0"/>
          <w:bCs w:val="0"/>
          <w:color w:val="000000"/>
          <w:sz w:val="32"/>
          <w:szCs w:val="32"/>
          <w:lang w:eastAsia="zh-CN"/>
        </w:rPr>
        <w:t>2025年一般公共预算财政拨款</w:t>
      </w:r>
      <w:r>
        <w:rPr>
          <w:rFonts w:hint="eastAsia" w:ascii="仿宋" w:hAnsi="仿宋" w:eastAsia="仿宋"/>
          <w:b w:val="0"/>
          <w:bCs w:val="0"/>
          <w:color w:val="000000"/>
          <w:sz w:val="32"/>
          <w:szCs w:val="32"/>
          <w:lang w:val="en-US" w:eastAsia="zh-CN"/>
        </w:rPr>
        <w:t>收入</w:t>
      </w:r>
      <w:r>
        <w:rPr>
          <w:rFonts w:hint="eastAsia" w:ascii="仿宋" w:hAnsi="仿宋" w:eastAsia="仿宋"/>
          <w:b w:val="0"/>
          <w:bCs w:val="0"/>
          <w:color w:val="000000"/>
          <w:sz w:val="32"/>
          <w:szCs w:val="32"/>
          <w:lang w:eastAsia="zh-CN"/>
        </w:rPr>
        <w:t>196.96万元，主要用于以下方面:一般公共服务</w:t>
      </w:r>
      <w:r>
        <w:rPr>
          <w:rFonts w:hint="eastAsia" w:ascii="仿宋" w:hAnsi="仿宋" w:eastAsia="仿宋"/>
          <w:b w:val="0"/>
          <w:bCs w:val="0"/>
          <w:color w:val="000000"/>
          <w:sz w:val="32"/>
          <w:szCs w:val="32"/>
          <w:lang w:val="en-US" w:eastAsia="zh-CN"/>
        </w:rPr>
        <w:t>收入</w:t>
      </w:r>
      <w:r>
        <w:rPr>
          <w:rFonts w:hint="eastAsia" w:ascii="仿宋" w:hAnsi="仿宋" w:eastAsia="仿宋"/>
          <w:b w:val="0"/>
          <w:bCs w:val="0"/>
          <w:color w:val="000000"/>
          <w:sz w:val="32"/>
          <w:szCs w:val="32"/>
          <w:lang w:eastAsia="zh-CN"/>
        </w:rPr>
        <w:t>159.11万元，占80.78%；社会保障和就业</w:t>
      </w:r>
      <w:r>
        <w:rPr>
          <w:rFonts w:hint="eastAsia" w:ascii="仿宋" w:hAnsi="仿宋" w:eastAsia="仿宋"/>
          <w:b w:val="0"/>
          <w:bCs w:val="0"/>
          <w:color w:val="000000"/>
          <w:sz w:val="32"/>
          <w:szCs w:val="32"/>
          <w:lang w:val="en-US" w:eastAsia="zh-CN"/>
        </w:rPr>
        <w:t>收入</w:t>
      </w:r>
      <w:r>
        <w:rPr>
          <w:rFonts w:hint="eastAsia" w:ascii="仿宋" w:hAnsi="仿宋" w:eastAsia="仿宋"/>
          <w:b w:val="0"/>
          <w:bCs w:val="0"/>
          <w:color w:val="000000"/>
          <w:sz w:val="32"/>
          <w:szCs w:val="32"/>
          <w:lang w:eastAsia="zh-CN"/>
        </w:rPr>
        <w:t>19.62万元，占9.96%；卫生健康</w:t>
      </w:r>
      <w:r>
        <w:rPr>
          <w:rFonts w:hint="eastAsia" w:ascii="仿宋" w:hAnsi="仿宋" w:eastAsia="仿宋"/>
          <w:b w:val="0"/>
          <w:bCs w:val="0"/>
          <w:color w:val="000000"/>
          <w:sz w:val="32"/>
          <w:szCs w:val="32"/>
          <w:lang w:val="en-US" w:eastAsia="zh-CN"/>
        </w:rPr>
        <w:t>收入</w:t>
      </w:r>
      <w:r>
        <w:rPr>
          <w:rFonts w:hint="eastAsia" w:ascii="仿宋" w:hAnsi="仿宋" w:eastAsia="仿宋"/>
          <w:b w:val="0"/>
          <w:bCs w:val="0"/>
          <w:color w:val="000000"/>
          <w:sz w:val="32"/>
          <w:szCs w:val="32"/>
          <w:lang w:eastAsia="zh-CN"/>
        </w:rPr>
        <w:t>7.39万元，占3.75%；住房保障</w:t>
      </w:r>
      <w:r>
        <w:rPr>
          <w:rFonts w:hint="eastAsia" w:ascii="仿宋" w:hAnsi="仿宋" w:eastAsia="仿宋"/>
          <w:b w:val="0"/>
          <w:bCs w:val="0"/>
          <w:color w:val="000000"/>
          <w:sz w:val="32"/>
          <w:szCs w:val="32"/>
          <w:lang w:val="en-US" w:eastAsia="zh-CN"/>
        </w:rPr>
        <w:t>收入</w:t>
      </w:r>
      <w:r>
        <w:rPr>
          <w:rFonts w:hint="eastAsia" w:ascii="仿宋" w:hAnsi="仿宋" w:eastAsia="仿宋"/>
          <w:b w:val="0"/>
          <w:bCs w:val="0"/>
          <w:color w:val="000000"/>
          <w:sz w:val="32"/>
          <w:szCs w:val="32"/>
          <w:lang w:eastAsia="zh-CN"/>
        </w:rPr>
        <w:t>10.83万元，占5.5%。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2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宋体" w:hAnsi="宋体" w:eastAsia="宋体" w:cs="宋体"/>
          <w:b/>
          <w:bCs/>
          <w:i w:val="0"/>
          <w:iCs w:val="0"/>
          <w:caps w:val="0"/>
          <w:color w:val="auto"/>
          <w:spacing w:val="0"/>
          <w:kern w:val="0"/>
          <w:sz w:val="32"/>
          <w:szCs w:val="32"/>
          <w:shd w:val="clear" w:fill="FFFFFF"/>
          <w:vertAlign w:val="baseline"/>
          <w:lang w:val="en-US" w:eastAsia="zh-CN" w:bidi="ar"/>
        </w:rPr>
        <w:t>（二）部门财政资金支出情况。</w:t>
      </w:r>
    </w:p>
    <w:p>
      <w:pPr>
        <w:spacing w:line="60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b w:val="0"/>
          <w:bCs w:val="0"/>
          <w:color w:val="000000"/>
          <w:sz w:val="32"/>
          <w:szCs w:val="32"/>
          <w:lang w:eastAsia="zh-CN"/>
        </w:rPr>
        <w:t>2025年一般公共预算财政拨款</w:t>
      </w:r>
      <w:r>
        <w:rPr>
          <w:rFonts w:hint="eastAsia" w:ascii="仿宋" w:hAnsi="仿宋" w:eastAsia="仿宋"/>
          <w:b w:val="0"/>
          <w:bCs w:val="0"/>
          <w:color w:val="000000"/>
          <w:sz w:val="32"/>
          <w:szCs w:val="32"/>
          <w:lang w:val="en-US" w:eastAsia="zh-CN"/>
        </w:rPr>
        <w:t>支出</w:t>
      </w:r>
      <w:r>
        <w:rPr>
          <w:rFonts w:hint="eastAsia" w:ascii="仿宋" w:hAnsi="仿宋" w:eastAsia="仿宋"/>
          <w:b w:val="0"/>
          <w:bCs w:val="0"/>
          <w:color w:val="000000"/>
          <w:sz w:val="32"/>
          <w:szCs w:val="32"/>
          <w:lang w:eastAsia="zh-CN"/>
        </w:rPr>
        <w:t>196.96万元，主要用于以下方面:一般公共服务</w:t>
      </w:r>
      <w:r>
        <w:rPr>
          <w:rFonts w:hint="eastAsia" w:ascii="仿宋" w:hAnsi="仿宋" w:eastAsia="仿宋"/>
          <w:b w:val="0"/>
          <w:bCs w:val="0"/>
          <w:color w:val="000000"/>
          <w:sz w:val="32"/>
          <w:szCs w:val="32"/>
          <w:lang w:val="en-US" w:eastAsia="zh-CN"/>
        </w:rPr>
        <w:t>支出</w:t>
      </w:r>
      <w:r>
        <w:rPr>
          <w:rFonts w:hint="eastAsia" w:ascii="仿宋" w:hAnsi="仿宋" w:eastAsia="仿宋"/>
          <w:b w:val="0"/>
          <w:bCs w:val="0"/>
          <w:color w:val="000000"/>
          <w:sz w:val="32"/>
          <w:szCs w:val="32"/>
          <w:lang w:eastAsia="zh-CN"/>
        </w:rPr>
        <w:t>159.11万元，占80.78%；社会保障和就业</w:t>
      </w:r>
      <w:r>
        <w:rPr>
          <w:rFonts w:hint="eastAsia" w:ascii="仿宋" w:hAnsi="仿宋" w:eastAsia="仿宋"/>
          <w:b w:val="0"/>
          <w:bCs w:val="0"/>
          <w:color w:val="000000"/>
          <w:sz w:val="32"/>
          <w:szCs w:val="32"/>
          <w:lang w:val="en-US" w:eastAsia="zh-CN"/>
        </w:rPr>
        <w:t>支出</w:t>
      </w:r>
      <w:r>
        <w:rPr>
          <w:rFonts w:hint="eastAsia" w:ascii="仿宋" w:hAnsi="仿宋" w:eastAsia="仿宋"/>
          <w:b w:val="0"/>
          <w:bCs w:val="0"/>
          <w:color w:val="000000"/>
          <w:sz w:val="32"/>
          <w:szCs w:val="32"/>
          <w:lang w:eastAsia="zh-CN"/>
        </w:rPr>
        <w:t>19.62万元，占9.96%；卫生健康</w:t>
      </w:r>
      <w:r>
        <w:rPr>
          <w:rFonts w:hint="eastAsia" w:ascii="仿宋" w:hAnsi="仿宋" w:eastAsia="仿宋"/>
          <w:b w:val="0"/>
          <w:bCs w:val="0"/>
          <w:color w:val="000000"/>
          <w:sz w:val="32"/>
          <w:szCs w:val="32"/>
          <w:lang w:val="en-US" w:eastAsia="zh-CN"/>
        </w:rPr>
        <w:t>支出</w:t>
      </w:r>
      <w:r>
        <w:rPr>
          <w:rFonts w:hint="eastAsia" w:ascii="仿宋" w:hAnsi="仿宋" w:eastAsia="仿宋"/>
          <w:b w:val="0"/>
          <w:bCs w:val="0"/>
          <w:color w:val="000000"/>
          <w:sz w:val="32"/>
          <w:szCs w:val="32"/>
          <w:lang w:eastAsia="zh-CN"/>
        </w:rPr>
        <w:t>7.39万元，占3.75%；住房保障</w:t>
      </w:r>
      <w:r>
        <w:rPr>
          <w:rFonts w:hint="eastAsia" w:ascii="仿宋" w:hAnsi="仿宋" w:eastAsia="仿宋"/>
          <w:b w:val="0"/>
          <w:bCs w:val="0"/>
          <w:color w:val="000000"/>
          <w:sz w:val="32"/>
          <w:szCs w:val="32"/>
          <w:lang w:val="en-US" w:eastAsia="zh-CN"/>
        </w:rPr>
        <w:t>支出</w:t>
      </w:r>
      <w:r>
        <w:rPr>
          <w:rFonts w:hint="eastAsia" w:ascii="仿宋" w:hAnsi="仿宋" w:eastAsia="仿宋"/>
          <w:b w:val="0"/>
          <w:bCs w:val="0"/>
          <w:color w:val="000000"/>
          <w:sz w:val="32"/>
          <w:szCs w:val="32"/>
          <w:lang w:eastAsia="zh-CN"/>
        </w:rPr>
        <w:t>10.83万元，占5.5%。</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480" w:lineRule="atLeast"/>
        <w:ind w:left="0" w:right="0" w:firstLine="720"/>
        <w:jc w:val="left"/>
        <w:rPr>
          <w:rFonts w:hint="default" w:ascii="黑体" w:hAnsi="宋体" w:eastAsia="黑体" w:cs="黑体"/>
          <w:b/>
          <w:bCs/>
          <w:i w:val="0"/>
          <w:iCs w:val="0"/>
          <w:caps w:val="0"/>
          <w:color w:val="333333"/>
          <w:spacing w:val="0"/>
          <w:kern w:val="0"/>
          <w:sz w:val="32"/>
          <w:szCs w:val="32"/>
          <w:shd w:val="clear" w:fill="FFFFFF"/>
          <w:vertAlign w:val="baseline"/>
          <w:lang w:val="en-US" w:eastAsia="zh-CN" w:bidi="ar"/>
        </w:rPr>
      </w:pPr>
      <w:r>
        <w:rPr>
          <w:rFonts w:hint="eastAsia" w:ascii="黑体" w:hAnsi="宋体" w:eastAsia="黑体" w:cs="黑体"/>
          <w:b/>
          <w:bCs/>
          <w:i w:val="0"/>
          <w:iCs w:val="0"/>
          <w:caps w:val="0"/>
          <w:color w:val="333333"/>
          <w:spacing w:val="0"/>
          <w:kern w:val="0"/>
          <w:sz w:val="32"/>
          <w:szCs w:val="32"/>
          <w:shd w:val="clear" w:fill="FFFFFF"/>
          <w:vertAlign w:val="baseline"/>
          <w:lang w:val="en-US" w:eastAsia="zh-CN" w:bidi="ar"/>
        </w:rPr>
        <w:t>三、部门整体预算绩效管理情况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480" w:lineRule="atLeast"/>
        <w:ind w:left="0" w:right="0" w:firstLine="720"/>
        <w:jc w:val="left"/>
        <w:rPr>
          <w:rFonts w:hint="default" w:ascii="Times New Roman" w:hAnsi="Times New Roman" w:cs="Times New Roman"/>
          <w:i w:val="0"/>
          <w:iCs w:val="0"/>
          <w:caps w:val="0"/>
          <w:color w:val="333333"/>
          <w:spacing w:val="0"/>
          <w:sz w:val="21"/>
          <w:szCs w:val="21"/>
        </w:rPr>
      </w:pPr>
      <w:r>
        <w:rPr>
          <w:rFonts w:hint="eastAsia" w:ascii="宋体" w:hAnsi="宋体" w:eastAsia="宋体" w:cs="宋体"/>
          <w:b/>
          <w:bCs/>
          <w:i w:val="0"/>
          <w:iCs w:val="0"/>
          <w:caps w:val="0"/>
          <w:color w:val="333333"/>
          <w:spacing w:val="0"/>
          <w:kern w:val="0"/>
          <w:sz w:val="28"/>
          <w:szCs w:val="28"/>
          <w:shd w:val="clear" w:fill="FFFFFF"/>
          <w:vertAlign w:val="baseline"/>
          <w:lang w:val="en-US" w:eastAsia="zh-CN" w:bidi="ar"/>
        </w:rPr>
        <w:t>（一）部门预算管理。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480" w:lineRule="atLeast"/>
        <w:ind w:left="0" w:right="0" w:firstLine="720"/>
        <w:jc w:val="left"/>
        <w:rPr>
          <w:rFonts w:hint="eastAsia" w:ascii="仿宋" w:hAnsi="仿宋" w:eastAsia="仿宋" w:cs="Times New Roman"/>
          <w:b w:val="0"/>
          <w:bCs w:val="0"/>
          <w:color w:val="000000" w:themeColor="text1"/>
          <w:sz w:val="32"/>
          <w:szCs w:val="32"/>
          <w:lang w:val="en-US" w:eastAsia="zh-CN"/>
          <w14:textFill>
            <w14:solidFill>
              <w14:schemeClr w14:val="tx1"/>
            </w14:solidFill>
          </w14:textFill>
        </w:rPr>
      </w:pPr>
      <w:r>
        <w:rPr>
          <w:rFonts w:hint="eastAsia" w:ascii="仿宋" w:hAnsi="仿宋" w:eastAsia="仿宋" w:cs="Times New Roman"/>
          <w:b w:val="0"/>
          <w:bCs w:val="0"/>
          <w:color w:val="000000" w:themeColor="text1"/>
          <w:sz w:val="32"/>
          <w:szCs w:val="32"/>
          <w:lang w:val="zh-CN"/>
          <w14:textFill>
            <w14:solidFill>
              <w14:schemeClr w14:val="tx1"/>
            </w14:solidFill>
          </w14:textFill>
        </w:rPr>
        <w:t>履职效能</w:t>
      </w:r>
      <w:r>
        <w:rPr>
          <w:rFonts w:hint="eastAsia" w:ascii="仿宋" w:hAnsi="仿宋" w:eastAsia="仿宋" w:cs="Times New Roman"/>
          <w:b w:val="0"/>
          <w:bCs w:val="0"/>
          <w:color w:val="000000" w:themeColor="text1"/>
          <w:sz w:val="32"/>
          <w:szCs w:val="32"/>
          <w:lang w:val="en-US" w:eastAsia="zh-CN"/>
          <w14:textFill>
            <w14:solidFill>
              <w14:schemeClr w14:val="tx1"/>
            </w14:solidFill>
          </w14:textFill>
        </w:rPr>
        <w:t>,</w:t>
      </w:r>
      <w:r>
        <w:rPr>
          <w:rFonts w:hint="eastAsia" w:ascii="仿宋" w:hAnsi="仿宋" w:eastAsia="仿宋" w:cs="Times New Roman"/>
          <w:b w:val="0"/>
          <w:bCs w:val="0"/>
          <w:color w:val="000000" w:themeColor="text1"/>
          <w:sz w:val="32"/>
          <w:szCs w:val="32"/>
          <w:lang w:val="zh-CN"/>
          <w14:textFill>
            <w14:solidFill>
              <w14:schemeClr w14:val="tx1"/>
            </w14:solidFill>
          </w14:textFill>
        </w:rPr>
        <w:t>工资性支出：年初预算</w:t>
      </w:r>
      <w:r>
        <w:rPr>
          <w:rFonts w:hint="eastAsia" w:ascii="仿宋" w:hAnsi="仿宋" w:eastAsia="仿宋" w:cs="Times New Roman"/>
          <w:b w:val="0"/>
          <w:bCs w:val="0"/>
          <w:color w:val="000000" w:themeColor="text1"/>
          <w:sz w:val="32"/>
          <w:szCs w:val="32"/>
          <w:lang w:val="en-US" w:eastAsia="zh-CN"/>
          <w14:textFill>
            <w14:solidFill>
              <w14:schemeClr w14:val="tx1"/>
            </w14:solidFill>
          </w14:textFill>
        </w:rPr>
        <w:t>52.98万预算执行54.75万，预算执行率100%。机关事业单位基本养老保险：</w:t>
      </w:r>
      <w:r>
        <w:rPr>
          <w:rFonts w:hint="eastAsia" w:ascii="仿宋" w:hAnsi="仿宋" w:eastAsia="仿宋" w:cs="Times New Roman"/>
          <w:b w:val="0"/>
          <w:bCs w:val="0"/>
          <w:color w:val="000000" w:themeColor="text1"/>
          <w:sz w:val="32"/>
          <w:szCs w:val="32"/>
          <w:lang w:val="zh-CN"/>
          <w14:textFill>
            <w14:solidFill>
              <w14:schemeClr w14:val="tx1"/>
            </w14:solidFill>
          </w14:textFill>
        </w:rPr>
        <w:t>年初预算</w:t>
      </w:r>
      <w:r>
        <w:rPr>
          <w:rFonts w:hint="eastAsia" w:ascii="仿宋" w:hAnsi="仿宋" w:eastAsia="仿宋" w:cs="Times New Roman"/>
          <w:b w:val="0"/>
          <w:bCs w:val="0"/>
          <w:color w:val="000000" w:themeColor="text1"/>
          <w:sz w:val="32"/>
          <w:szCs w:val="32"/>
          <w:lang w:val="en-US" w:eastAsia="zh-CN"/>
          <w14:textFill>
            <w14:solidFill>
              <w14:schemeClr w14:val="tx1"/>
            </w14:solidFill>
          </w14:textFill>
        </w:rPr>
        <w:t>13.22万预算执行数13.08万，预算执行率98.94%。职业年金缴费：</w:t>
      </w:r>
      <w:r>
        <w:rPr>
          <w:rFonts w:hint="eastAsia" w:ascii="仿宋" w:hAnsi="仿宋" w:eastAsia="仿宋" w:cs="Times New Roman"/>
          <w:b w:val="0"/>
          <w:bCs w:val="0"/>
          <w:color w:val="000000" w:themeColor="text1"/>
          <w:sz w:val="32"/>
          <w:szCs w:val="32"/>
          <w:lang w:val="zh-CN"/>
          <w14:textFill>
            <w14:solidFill>
              <w14:schemeClr w14:val="tx1"/>
            </w14:solidFill>
          </w14:textFill>
        </w:rPr>
        <w:t>年初预算</w:t>
      </w:r>
      <w:r>
        <w:rPr>
          <w:rFonts w:hint="eastAsia" w:ascii="仿宋" w:hAnsi="仿宋" w:eastAsia="仿宋" w:cs="Times New Roman"/>
          <w:b w:val="0"/>
          <w:bCs w:val="0"/>
          <w:color w:val="000000" w:themeColor="text1"/>
          <w:sz w:val="32"/>
          <w:szCs w:val="32"/>
          <w:lang w:val="en-US" w:eastAsia="zh-CN"/>
          <w14:textFill>
            <w14:solidFill>
              <w14:schemeClr w14:val="tx1"/>
            </w14:solidFill>
          </w14:textFill>
        </w:rPr>
        <w:t>6.61万预算执行数6.54万，预算执行率98.94%。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240" w:lineRule="auto"/>
        <w:ind w:left="0" w:right="0" w:firstLine="640"/>
        <w:jc w:val="left"/>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333333"/>
          <w:spacing w:val="0"/>
          <w:kern w:val="0"/>
          <w:sz w:val="32"/>
          <w:szCs w:val="32"/>
          <w:shd w:val="clear" w:fill="FFFFFF"/>
          <w:vertAlign w:val="baseline"/>
          <w:lang w:val="en-US" w:eastAsia="zh-CN" w:bidi="ar"/>
        </w:rPr>
        <w:t>1.</w:t>
      </w:r>
      <w:r>
        <w:rPr>
          <w:rFonts w:hint="eastAsia" w:ascii="仿宋_GB2312" w:eastAsia="仿宋_GB2312" w:cs="仿宋_GB2312"/>
          <w:i w:val="0"/>
          <w:iCs w:val="0"/>
          <w:caps w:val="0"/>
          <w:color w:val="333333"/>
          <w:spacing w:val="0"/>
          <w:kern w:val="0"/>
          <w:sz w:val="32"/>
          <w:szCs w:val="32"/>
          <w:shd w:val="clear" w:fill="FFFFFF"/>
          <w:vertAlign w:val="baseline"/>
          <w:lang w:val="en-US" w:eastAsia="zh-CN" w:bidi="ar"/>
        </w:rPr>
        <w:t>2025</w:t>
      </w:r>
      <w:r>
        <w:rPr>
          <w:rFonts w:hint="eastAsia" w:ascii="仿宋_GB2312" w:hAnsi="Times New Roman" w:eastAsia="仿宋_GB2312" w:cs="仿宋_GB2312"/>
          <w:i w:val="0"/>
          <w:iCs w:val="0"/>
          <w:caps w:val="0"/>
          <w:color w:val="333333"/>
          <w:spacing w:val="0"/>
          <w:kern w:val="0"/>
          <w:sz w:val="32"/>
          <w:szCs w:val="32"/>
          <w:shd w:val="clear" w:fill="FFFFFF"/>
          <w:vertAlign w:val="baseline"/>
          <w:lang w:val="en-US" w:eastAsia="zh-CN" w:bidi="ar"/>
        </w:rPr>
        <w:t>年部门预算执行进度及完成情况：</w:t>
      </w:r>
    </w:p>
    <w:tbl>
      <w:tblPr>
        <w:tblStyle w:val="19"/>
        <w:tblW w:w="8226"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2181"/>
        <w:gridCol w:w="1607"/>
        <w:gridCol w:w="1254"/>
        <w:gridCol w:w="1221"/>
        <w:gridCol w:w="1963"/>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747" w:hRule="atLeast"/>
        </w:trPr>
        <w:tc>
          <w:tcPr>
            <w:tcW w:w="2181" w:type="dxa"/>
            <w:tcBorders>
              <w:top w:val="single" w:color="auto" w:sz="8" w:space="0"/>
              <w:left w:val="single" w:color="auto" w:sz="8" w:space="0"/>
              <w:bottom w:val="single" w:color="auto" w:sz="8" w:space="0"/>
              <w:right w:val="single" w:color="auto" w:sz="8" w:space="0"/>
            </w:tcBorders>
            <w:shd w:val="clear" w:color="auto" w:fill="FFFFFF"/>
            <w:tcMar>
              <w:top w:w="15" w:type="dxa"/>
              <w:left w:w="15" w:type="dxa"/>
              <w:right w:w="15" w:type="dxa"/>
            </w:tcMar>
            <w:vAlign w:val="center"/>
          </w:tcPr>
          <w:p>
            <w:pPr>
              <w:jc w:val="center"/>
              <w:rPr>
                <w:rFonts w:hint="default" w:ascii="Times New Roman" w:hAnsi="Times New Roman" w:cs="Times New Roman"/>
                <w:sz w:val="21"/>
                <w:szCs w:val="21"/>
              </w:rPr>
            </w:pPr>
            <w:r>
              <w:rPr>
                <w:rFonts w:hint="eastAsia" w:ascii="仿宋" w:hAnsi="仿宋" w:eastAsia="仿宋" w:cs="Arial"/>
                <w:sz w:val="28"/>
                <w:szCs w:val="28"/>
              </w:rPr>
              <w:t>支出项目</w:t>
            </w:r>
          </w:p>
        </w:tc>
        <w:tc>
          <w:tcPr>
            <w:tcW w:w="1607" w:type="dxa"/>
            <w:tcBorders>
              <w:top w:val="single" w:color="auto" w:sz="8" w:space="0"/>
              <w:left w:val="single" w:color="auto" w:sz="8" w:space="0"/>
              <w:bottom w:val="single" w:color="auto" w:sz="8" w:space="0"/>
              <w:right w:val="single" w:color="auto" w:sz="8" w:space="0"/>
            </w:tcBorders>
            <w:shd w:val="clear" w:color="auto" w:fill="FFFFFF"/>
            <w:tcMar>
              <w:top w:w="15" w:type="dxa"/>
              <w:left w:w="15" w:type="dxa"/>
              <w:right w:w="15" w:type="dxa"/>
            </w:tcMar>
            <w:vAlign w:val="center"/>
          </w:tcPr>
          <w:p>
            <w:pPr>
              <w:jc w:val="center"/>
              <w:rPr>
                <w:rFonts w:hint="default" w:ascii="Times New Roman" w:hAnsi="Times New Roman" w:cs="Times New Roman"/>
                <w:sz w:val="21"/>
                <w:szCs w:val="21"/>
              </w:rPr>
            </w:pPr>
            <w:r>
              <w:rPr>
                <w:rFonts w:hint="eastAsia" w:ascii="仿宋" w:hAnsi="仿宋" w:eastAsia="仿宋" w:cs="Arial"/>
                <w:sz w:val="28"/>
                <w:szCs w:val="28"/>
              </w:rPr>
              <w:t>1-6月支出额度（万元）</w:t>
            </w:r>
          </w:p>
        </w:tc>
        <w:tc>
          <w:tcPr>
            <w:tcW w:w="1254" w:type="dxa"/>
            <w:tcBorders>
              <w:top w:val="single" w:color="auto" w:sz="8" w:space="0"/>
              <w:left w:val="single" w:color="auto" w:sz="8" w:space="0"/>
              <w:bottom w:val="single" w:color="auto" w:sz="8" w:space="0"/>
              <w:right w:val="single" w:color="auto" w:sz="8" w:space="0"/>
            </w:tcBorders>
            <w:shd w:val="clear" w:color="auto" w:fill="FFFFFF"/>
            <w:tcMar>
              <w:top w:w="15" w:type="dxa"/>
              <w:left w:w="15" w:type="dxa"/>
              <w:right w:w="15" w:type="dxa"/>
            </w:tcMar>
            <w:vAlign w:val="center"/>
          </w:tcPr>
          <w:p>
            <w:pPr>
              <w:widowControl/>
              <w:spacing w:line="576" w:lineRule="exact"/>
              <w:jc w:val="center"/>
              <w:textAlignment w:val="center"/>
              <w:rPr>
                <w:rFonts w:hint="default" w:ascii="Times New Roman" w:hAnsi="Times New Roman" w:cs="Times New Roman"/>
                <w:sz w:val="21"/>
                <w:szCs w:val="21"/>
              </w:rPr>
            </w:pPr>
            <w:r>
              <w:rPr>
                <w:rFonts w:ascii="仿宋_GB2312" w:hAnsi="仿宋_GB2312" w:cs="仿宋_GB2312"/>
                <w:kern w:val="0"/>
                <w:sz w:val="28"/>
                <w:szCs w:val="28"/>
              </w:rPr>
              <w:t>9</w:t>
            </w:r>
            <w:r>
              <w:rPr>
                <w:rFonts w:hint="eastAsia" w:ascii="仿宋_GB2312" w:hAnsi="仿宋_GB2312" w:cs="仿宋_GB2312"/>
                <w:kern w:val="0"/>
                <w:sz w:val="28"/>
                <w:szCs w:val="28"/>
              </w:rPr>
              <w:t>月进度</w:t>
            </w:r>
          </w:p>
        </w:tc>
        <w:tc>
          <w:tcPr>
            <w:tcW w:w="1221" w:type="dxa"/>
            <w:tcBorders>
              <w:top w:val="single" w:color="auto" w:sz="8" w:space="0"/>
              <w:left w:val="single" w:color="auto" w:sz="8" w:space="0"/>
              <w:bottom w:val="single" w:color="auto" w:sz="8" w:space="0"/>
              <w:right w:val="single" w:color="auto" w:sz="8" w:space="0"/>
            </w:tcBorders>
            <w:shd w:val="clear" w:color="auto" w:fill="FFFFFF"/>
            <w:tcMar>
              <w:top w:w="15" w:type="dxa"/>
              <w:left w:w="15" w:type="dxa"/>
              <w:right w:w="15" w:type="dxa"/>
            </w:tcMar>
            <w:vAlign w:val="center"/>
          </w:tcPr>
          <w:p>
            <w:pPr>
              <w:widowControl/>
              <w:spacing w:line="576" w:lineRule="exact"/>
              <w:jc w:val="center"/>
              <w:textAlignment w:val="center"/>
              <w:rPr>
                <w:rFonts w:hint="default" w:ascii="Times New Roman" w:hAnsi="Times New Roman" w:cs="Times New Roman"/>
                <w:sz w:val="21"/>
                <w:szCs w:val="21"/>
              </w:rPr>
            </w:pPr>
            <w:r>
              <w:rPr>
                <w:rFonts w:hint="eastAsia" w:ascii="仿宋_GB2312" w:hAnsi="仿宋_GB2312" w:cs="仿宋_GB2312"/>
                <w:kern w:val="0"/>
                <w:sz w:val="28"/>
                <w:szCs w:val="28"/>
              </w:rPr>
              <w:t>全年进度</w:t>
            </w:r>
          </w:p>
        </w:tc>
        <w:tc>
          <w:tcPr>
            <w:tcW w:w="1963" w:type="dxa"/>
            <w:tcBorders>
              <w:top w:val="single" w:color="auto" w:sz="8" w:space="0"/>
              <w:left w:val="single" w:color="auto" w:sz="8" w:space="0"/>
              <w:bottom w:val="single" w:color="auto" w:sz="8" w:space="0"/>
              <w:right w:val="single" w:color="auto" w:sz="8" w:space="0"/>
            </w:tcBorders>
            <w:shd w:val="clear" w:color="auto" w:fill="FFFFFF"/>
            <w:vAlign w:val="center"/>
          </w:tcPr>
          <w:p>
            <w:pPr>
              <w:jc w:val="center"/>
              <w:rPr>
                <w:rFonts w:hint="default" w:ascii="Times New Roman" w:hAnsi="Times New Roman" w:cs="Times New Roman"/>
                <w:sz w:val="21"/>
                <w:szCs w:val="21"/>
              </w:rPr>
            </w:pPr>
            <w:r>
              <w:rPr>
                <w:rFonts w:hint="eastAsia" w:ascii="仿宋" w:hAnsi="仿宋" w:eastAsia="仿宋" w:cs="Arial"/>
                <w:sz w:val="28"/>
                <w:szCs w:val="28"/>
              </w:rPr>
              <w:t>支出项目</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94" w:hRule="atLeast"/>
        </w:trPr>
        <w:tc>
          <w:tcPr>
            <w:tcW w:w="2181" w:type="dxa"/>
            <w:tcBorders>
              <w:top w:val="single" w:color="auto" w:sz="8" w:space="0"/>
              <w:left w:val="single" w:color="auto" w:sz="8" w:space="0"/>
              <w:bottom w:val="single" w:color="auto" w:sz="8" w:space="0"/>
              <w:right w:val="single" w:color="auto" w:sz="8" w:space="0"/>
            </w:tcBorders>
            <w:shd w:val="clear" w:color="auto" w:fill="FFFFFF"/>
            <w:tcMar>
              <w:top w:w="15" w:type="dxa"/>
              <w:left w:w="15" w:type="dxa"/>
              <w:right w:w="15" w:type="dxa"/>
            </w:tcMar>
            <w:vAlign w:val="center"/>
          </w:tcPr>
          <w:p>
            <w:pPr>
              <w:jc w:val="center"/>
              <w:rPr>
                <w:rFonts w:hint="default" w:ascii="Times New Roman" w:hAnsi="Times New Roman" w:cs="Times New Roman"/>
                <w:sz w:val="21"/>
                <w:szCs w:val="21"/>
              </w:rPr>
            </w:pPr>
            <w:r>
              <w:rPr>
                <w:rFonts w:hint="eastAsia" w:ascii="仿宋_GB2312" w:hAnsi="仿宋_GB2312" w:cs="仿宋_GB2312"/>
                <w:kern w:val="0"/>
                <w:szCs w:val="32"/>
              </w:rPr>
              <w:t>一般公共服务</w:t>
            </w:r>
          </w:p>
        </w:tc>
        <w:tc>
          <w:tcPr>
            <w:tcW w:w="1607" w:type="dxa"/>
            <w:tcBorders>
              <w:top w:val="single" w:color="auto" w:sz="8" w:space="0"/>
              <w:left w:val="single" w:color="auto" w:sz="8" w:space="0"/>
              <w:bottom w:val="single" w:color="auto" w:sz="8" w:space="0"/>
              <w:right w:val="single" w:color="auto" w:sz="8" w:space="0"/>
            </w:tcBorders>
            <w:shd w:val="clear" w:color="auto" w:fill="FFFFFF"/>
            <w:tcMar>
              <w:top w:w="15" w:type="dxa"/>
              <w:left w:w="15" w:type="dxa"/>
              <w:right w:w="15" w:type="dxa"/>
            </w:tcMar>
            <w:vAlign w:val="center"/>
          </w:tcPr>
          <w:p>
            <w:pPr>
              <w:jc w:val="center"/>
              <w:rPr>
                <w:rFonts w:hint="default"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64.95</w:t>
            </w:r>
          </w:p>
        </w:tc>
        <w:tc>
          <w:tcPr>
            <w:tcW w:w="1254" w:type="dxa"/>
            <w:tcBorders>
              <w:top w:val="single" w:color="auto" w:sz="8" w:space="0"/>
              <w:left w:val="single" w:color="auto" w:sz="8" w:space="0"/>
              <w:bottom w:val="single" w:color="auto" w:sz="8" w:space="0"/>
              <w:right w:val="single" w:color="auto" w:sz="8" w:space="0"/>
            </w:tcBorders>
            <w:shd w:val="clear" w:color="auto" w:fill="FFFFFF"/>
            <w:tcMar>
              <w:top w:w="15" w:type="dxa"/>
              <w:left w:w="15" w:type="dxa"/>
              <w:right w:w="15" w:type="dxa"/>
            </w:tcMar>
            <w:vAlign w:val="center"/>
          </w:tcPr>
          <w:p>
            <w:pPr>
              <w:widowControl/>
              <w:spacing w:line="576" w:lineRule="exact"/>
              <w:jc w:val="center"/>
              <w:textAlignment w:val="center"/>
              <w:rPr>
                <w:rFonts w:hint="default" w:cs="Times New Roman" w:eastAsiaTheme="minorEastAsia"/>
                <w:sz w:val="21"/>
                <w:szCs w:val="21"/>
                <w:lang w:val="en-US" w:eastAsia="zh-CN"/>
              </w:rPr>
            </w:pPr>
            <w:r>
              <w:rPr>
                <w:rFonts w:hint="eastAsia" w:cs="Times New Roman" w:eastAsiaTheme="minorEastAsia"/>
                <w:sz w:val="21"/>
                <w:szCs w:val="21"/>
                <w:lang w:val="en-US" w:eastAsia="zh-CN"/>
              </w:rPr>
              <w:t>115.82</w:t>
            </w:r>
          </w:p>
        </w:tc>
        <w:tc>
          <w:tcPr>
            <w:tcW w:w="1221" w:type="dxa"/>
            <w:tcBorders>
              <w:top w:val="single" w:color="auto" w:sz="8" w:space="0"/>
              <w:left w:val="single" w:color="auto" w:sz="8" w:space="0"/>
              <w:bottom w:val="single" w:color="auto" w:sz="8" w:space="0"/>
              <w:right w:val="single" w:color="auto" w:sz="8" w:space="0"/>
            </w:tcBorders>
            <w:shd w:val="clear" w:color="auto" w:fill="FFFFFF"/>
            <w:tcMar>
              <w:top w:w="15" w:type="dxa"/>
              <w:left w:w="15" w:type="dxa"/>
              <w:right w:w="15" w:type="dxa"/>
            </w:tcMar>
            <w:vAlign w:val="center"/>
          </w:tcPr>
          <w:p>
            <w:pPr>
              <w:widowControl/>
              <w:spacing w:line="576" w:lineRule="exact"/>
              <w:jc w:val="center"/>
              <w:textAlignment w:val="center"/>
              <w:rPr>
                <w:rFonts w:hint="default" w:ascii="Times New Roman" w:hAnsi="Times New Roman" w:cs="Times New Roman" w:eastAsiaTheme="minorEastAsia"/>
                <w:sz w:val="21"/>
                <w:szCs w:val="21"/>
                <w:lang w:val="en-US" w:eastAsia="zh-CN"/>
              </w:rPr>
            </w:pPr>
            <w:r>
              <w:rPr>
                <w:rFonts w:hint="eastAsia" w:ascii="仿宋_GB2312" w:hAnsi="仿宋_GB2312" w:cs="仿宋_GB2312"/>
                <w:kern w:val="0"/>
                <w:sz w:val="28"/>
                <w:szCs w:val="28"/>
                <w:lang w:val="en-US" w:eastAsia="zh-CN"/>
              </w:rPr>
              <w:t>159.11</w:t>
            </w:r>
          </w:p>
        </w:tc>
        <w:tc>
          <w:tcPr>
            <w:tcW w:w="1963" w:type="dxa"/>
            <w:tcBorders>
              <w:top w:val="single" w:color="auto" w:sz="8" w:space="0"/>
              <w:left w:val="single" w:color="auto" w:sz="8" w:space="0"/>
              <w:bottom w:val="single" w:color="auto" w:sz="8" w:space="0"/>
              <w:right w:val="single" w:color="auto" w:sz="8" w:space="0"/>
            </w:tcBorders>
            <w:shd w:val="clear" w:color="auto" w:fill="FFFFFF"/>
            <w:vAlign w:val="center"/>
          </w:tcPr>
          <w:p>
            <w:pPr>
              <w:jc w:val="center"/>
              <w:rPr>
                <w:rFonts w:hint="default" w:ascii="Times New Roman" w:hAnsi="Times New Roman" w:cs="Times New Roman" w:eastAsiaTheme="minorEastAsia"/>
                <w:sz w:val="21"/>
                <w:szCs w:val="21"/>
                <w:lang w:val="en-US" w:eastAsia="zh-CN"/>
              </w:rPr>
            </w:pPr>
            <w:r>
              <w:rPr>
                <w:rFonts w:hint="eastAsia" w:ascii="仿宋_GB2312" w:hAnsi="仿宋_GB2312" w:cs="仿宋_GB2312"/>
                <w:kern w:val="0"/>
                <w:szCs w:val="32"/>
              </w:rPr>
              <w:t>一般公共服务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94" w:hRule="atLeast"/>
        </w:trPr>
        <w:tc>
          <w:tcPr>
            <w:tcW w:w="2181" w:type="dxa"/>
            <w:tcBorders>
              <w:top w:val="single" w:color="auto" w:sz="8" w:space="0"/>
              <w:left w:val="single" w:color="auto" w:sz="8" w:space="0"/>
              <w:bottom w:val="single" w:color="auto" w:sz="8" w:space="0"/>
              <w:right w:val="single" w:color="auto" w:sz="8" w:space="0"/>
            </w:tcBorders>
            <w:shd w:val="clear" w:color="auto" w:fill="FFFFFF"/>
            <w:tcMar>
              <w:top w:w="15" w:type="dxa"/>
              <w:left w:w="15" w:type="dxa"/>
              <w:right w:w="15" w:type="dxa"/>
            </w:tcMar>
            <w:vAlign w:val="center"/>
          </w:tcPr>
          <w:p>
            <w:pPr>
              <w:jc w:val="center"/>
              <w:rPr>
                <w:rFonts w:hint="default" w:ascii="Times New Roman" w:hAnsi="Times New Roman" w:cs="Times New Roman"/>
                <w:sz w:val="21"/>
                <w:szCs w:val="21"/>
              </w:rPr>
            </w:pPr>
            <w:r>
              <w:rPr>
                <w:rFonts w:hint="eastAsia" w:ascii="仿宋" w:hAnsi="仿宋" w:eastAsia="仿宋" w:cs="Arial"/>
                <w:sz w:val="28"/>
                <w:szCs w:val="28"/>
              </w:rPr>
              <w:t>社会保障就业</w:t>
            </w:r>
          </w:p>
        </w:tc>
        <w:tc>
          <w:tcPr>
            <w:tcW w:w="1607" w:type="dxa"/>
            <w:tcBorders>
              <w:top w:val="single" w:color="auto" w:sz="8" w:space="0"/>
              <w:left w:val="single" w:color="auto" w:sz="8" w:space="0"/>
              <w:bottom w:val="single" w:color="auto" w:sz="8" w:space="0"/>
              <w:right w:val="single" w:color="auto" w:sz="8" w:space="0"/>
            </w:tcBorders>
            <w:shd w:val="clear" w:color="auto" w:fill="FFFFFF"/>
            <w:tcMar>
              <w:top w:w="15" w:type="dxa"/>
              <w:left w:w="15" w:type="dxa"/>
              <w:right w:w="15" w:type="dxa"/>
            </w:tcMar>
            <w:vAlign w:val="center"/>
          </w:tcPr>
          <w:p>
            <w:pPr>
              <w:jc w:val="center"/>
              <w:rPr>
                <w:rFonts w:hint="default"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6.00</w:t>
            </w:r>
          </w:p>
        </w:tc>
        <w:tc>
          <w:tcPr>
            <w:tcW w:w="1254" w:type="dxa"/>
            <w:tcBorders>
              <w:top w:val="single" w:color="auto" w:sz="8" w:space="0"/>
              <w:left w:val="single" w:color="auto" w:sz="8" w:space="0"/>
              <w:bottom w:val="single" w:color="auto" w:sz="8" w:space="0"/>
              <w:right w:val="single" w:color="auto" w:sz="8" w:space="0"/>
            </w:tcBorders>
            <w:shd w:val="clear" w:color="auto" w:fill="FFFFFF"/>
            <w:tcMar>
              <w:top w:w="15" w:type="dxa"/>
              <w:left w:w="15" w:type="dxa"/>
              <w:right w:w="15" w:type="dxa"/>
            </w:tcMar>
            <w:vAlign w:val="center"/>
          </w:tcPr>
          <w:p>
            <w:pPr>
              <w:widowControl/>
              <w:spacing w:line="576" w:lineRule="exact"/>
              <w:jc w:val="center"/>
              <w:textAlignment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14.47</w:t>
            </w:r>
          </w:p>
        </w:tc>
        <w:tc>
          <w:tcPr>
            <w:tcW w:w="1221" w:type="dxa"/>
            <w:tcBorders>
              <w:top w:val="single" w:color="auto" w:sz="8" w:space="0"/>
              <w:left w:val="single" w:color="auto" w:sz="8" w:space="0"/>
              <w:bottom w:val="single" w:color="auto" w:sz="8" w:space="0"/>
              <w:right w:val="single" w:color="auto" w:sz="8" w:space="0"/>
            </w:tcBorders>
            <w:shd w:val="clear" w:color="auto" w:fill="FFFFFF"/>
            <w:tcMar>
              <w:top w:w="15" w:type="dxa"/>
              <w:left w:w="15" w:type="dxa"/>
              <w:right w:w="15" w:type="dxa"/>
            </w:tcMar>
            <w:vAlign w:val="center"/>
          </w:tcPr>
          <w:p>
            <w:pPr>
              <w:widowControl/>
              <w:spacing w:line="576" w:lineRule="exact"/>
              <w:jc w:val="center"/>
              <w:textAlignment w:val="center"/>
              <w:rPr>
                <w:rFonts w:hint="default" w:ascii="Times New Roman" w:hAnsi="Times New Roman" w:cs="Times New Roman"/>
                <w:sz w:val="21"/>
                <w:szCs w:val="21"/>
                <w:lang w:val="en-US"/>
              </w:rPr>
            </w:pPr>
            <w:r>
              <w:rPr>
                <w:rFonts w:hint="eastAsia" w:ascii="仿宋_GB2312" w:hAnsi="仿宋_GB2312" w:cs="仿宋_GB2312"/>
                <w:kern w:val="0"/>
                <w:sz w:val="28"/>
                <w:szCs w:val="28"/>
                <w:lang w:val="en-US" w:eastAsia="zh-CN"/>
              </w:rPr>
              <w:t>19.62</w:t>
            </w:r>
          </w:p>
        </w:tc>
        <w:tc>
          <w:tcPr>
            <w:tcW w:w="1963" w:type="dxa"/>
            <w:tcBorders>
              <w:top w:val="single" w:color="auto" w:sz="8" w:space="0"/>
              <w:left w:val="single" w:color="auto" w:sz="8" w:space="0"/>
              <w:bottom w:val="single" w:color="auto" w:sz="8" w:space="0"/>
              <w:right w:val="single" w:color="auto" w:sz="8" w:space="0"/>
            </w:tcBorders>
            <w:shd w:val="clear" w:color="auto" w:fill="FFFFFF"/>
            <w:vAlign w:val="center"/>
          </w:tcPr>
          <w:p>
            <w:pPr>
              <w:jc w:val="center"/>
              <w:rPr>
                <w:rFonts w:hint="default" w:ascii="Times New Roman" w:hAnsi="Times New Roman" w:cs="Times New Roman"/>
                <w:sz w:val="21"/>
                <w:szCs w:val="21"/>
                <w:lang w:val="en-US"/>
              </w:rPr>
            </w:pPr>
            <w:r>
              <w:rPr>
                <w:rFonts w:hint="eastAsia" w:ascii="仿宋" w:hAnsi="仿宋" w:eastAsia="仿宋" w:cs="Arial"/>
                <w:sz w:val="28"/>
                <w:szCs w:val="28"/>
              </w:rPr>
              <w:t>社会保障就业</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594" w:hRule="atLeast"/>
        </w:trPr>
        <w:tc>
          <w:tcPr>
            <w:tcW w:w="2181" w:type="dxa"/>
            <w:tcBorders>
              <w:top w:val="single" w:color="auto" w:sz="8" w:space="0"/>
              <w:left w:val="single" w:color="auto" w:sz="8" w:space="0"/>
              <w:bottom w:val="single" w:color="auto" w:sz="8" w:space="0"/>
              <w:right w:val="single" w:color="auto" w:sz="8" w:space="0"/>
            </w:tcBorders>
            <w:shd w:val="clear" w:color="auto" w:fill="FFFFFF"/>
            <w:tcMar>
              <w:top w:w="15" w:type="dxa"/>
              <w:left w:w="15" w:type="dxa"/>
              <w:right w:w="15" w:type="dxa"/>
            </w:tcMar>
            <w:vAlign w:val="center"/>
          </w:tcPr>
          <w:p>
            <w:pPr>
              <w:jc w:val="center"/>
              <w:rPr>
                <w:rFonts w:hint="default" w:ascii="Times New Roman" w:hAnsi="Times New Roman" w:cs="Times New Roman"/>
                <w:sz w:val="21"/>
                <w:szCs w:val="21"/>
              </w:rPr>
            </w:pPr>
            <w:r>
              <w:rPr>
                <w:rFonts w:hint="eastAsia" w:ascii="仿宋" w:hAnsi="仿宋" w:eastAsia="仿宋" w:cs="Arial"/>
                <w:sz w:val="28"/>
                <w:szCs w:val="28"/>
              </w:rPr>
              <w:t>医疗卫生</w:t>
            </w:r>
          </w:p>
        </w:tc>
        <w:tc>
          <w:tcPr>
            <w:tcW w:w="1607" w:type="dxa"/>
            <w:tcBorders>
              <w:top w:val="single" w:color="auto" w:sz="8" w:space="0"/>
              <w:left w:val="single" w:color="auto" w:sz="8" w:space="0"/>
              <w:bottom w:val="single" w:color="auto" w:sz="8" w:space="0"/>
              <w:right w:val="single" w:color="auto" w:sz="8" w:space="0"/>
            </w:tcBorders>
            <w:shd w:val="clear" w:color="auto" w:fill="FFFFFF"/>
            <w:tcMar>
              <w:top w:w="15" w:type="dxa"/>
              <w:left w:w="15" w:type="dxa"/>
              <w:right w:w="15" w:type="dxa"/>
            </w:tcMar>
            <w:vAlign w:val="center"/>
          </w:tcPr>
          <w:p>
            <w:pPr>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3.44</w:t>
            </w:r>
          </w:p>
        </w:tc>
        <w:tc>
          <w:tcPr>
            <w:tcW w:w="1254" w:type="dxa"/>
            <w:tcBorders>
              <w:top w:val="single" w:color="auto" w:sz="8" w:space="0"/>
              <w:left w:val="single" w:color="auto" w:sz="8" w:space="0"/>
              <w:bottom w:val="single" w:color="auto" w:sz="8" w:space="0"/>
              <w:right w:val="single" w:color="auto" w:sz="8" w:space="0"/>
            </w:tcBorders>
            <w:shd w:val="clear" w:color="auto" w:fill="FFFFFF"/>
            <w:tcMar>
              <w:top w:w="15" w:type="dxa"/>
              <w:left w:w="15" w:type="dxa"/>
              <w:right w:w="15" w:type="dxa"/>
            </w:tcMar>
            <w:vAlign w:val="center"/>
          </w:tcPr>
          <w:p>
            <w:pPr>
              <w:widowControl/>
              <w:spacing w:line="576" w:lineRule="exact"/>
              <w:jc w:val="center"/>
              <w:textAlignment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5.41</w:t>
            </w:r>
          </w:p>
        </w:tc>
        <w:tc>
          <w:tcPr>
            <w:tcW w:w="1221" w:type="dxa"/>
            <w:tcBorders>
              <w:top w:val="single" w:color="auto" w:sz="8" w:space="0"/>
              <w:left w:val="single" w:color="auto" w:sz="8" w:space="0"/>
              <w:bottom w:val="single" w:color="auto" w:sz="8" w:space="0"/>
              <w:right w:val="single" w:color="auto" w:sz="8" w:space="0"/>
            </w:tcBorders>
            <w:shd w:val="clear" w:color="auto" w:fill="FFFFFF"/>
            <w:tcMar>
              <w:top w:w="15" w:type="dxa"/>
              <w:left w:w="15" w:type="dxa"/>
              <w:right w:w="15" w:type="dxa"/>
            </w:tcMar>
            <w:vAlign w:val="center"/>
          </w:tcPr>
          <w:p>
            <w:pPr>
              <w:widowControl/>
              <w:spacing w:line="576" w:lineRule="exact"/>
              <w:jc w:val="center"/>
              <w:textAlignment w:val="center"/>
              <w:rPr>
                <w:rFonts w:hint="default" w:ascii="Times New Roman" w:hAnsi="Times New Roman" w:cs="Times New Roman"/>
                <w:sz w:val="21"/>
                <w:szCs w:val="21"/>
                <w:lang w:val="en-US"/>
              </w:rPr>
            </w:pPr>
            <w:r>
              <w:rPr>
                <w:rFonts w:hint="eastAsia" w:ascii="仿宋_GB2312" w:cs="仿宋_GB2312"/>
                <w:sz w:val="28"/>
                <w:szCs w:val="28"/>
                <w:lang w:val="en-US" w:eastAsia="zh-CN"/>
              </w:rPr>
              <w:t>7.39</w:t>
            </w:r>
          </w:p>
        </w:tc>
        <w:tc>
          <w:tcPr>
            <w:tcW w:w="1963" w:type="dxa"/>
            <w:tcBorders>
              <w:top w:val="single" w:color="auto" w:sz="8" w:space="0"/>
              <w:left w:val="single" w:color="auto" w:sz="8" w:space="0"/>
              <w:bottom w:val="single" w:color="auto" w:sz="8" w:space="0"/>
              <w:right w:val="single" w:color="auto" w:sz="8" w:space="0"/>
            </w:tcBorders>
            <w:shd w:val="clear" w:color="auto" w:fill="FFFFFF"/>
            <w:vAlign w:val="center"/>
          </w:tcPr>
          <w:p>
            <w:pPr>
              <w:jc w:val="center"/>
              <w:rPr>
                <w:rFonts w:hint="default" w:ascii="Times New Roman" w:hAnsi="Times New Roman" w:cs="Times New Roman"/>
                <w:sz w:val="21"/>
                <w:szCs w:val="21"/>
                <w:lang w:val="en-US"/>
              </w:rPr>
            </w:pPr>
            <w:r>
              <w:rPr>
                <w:rFonts w:hint="eastAsia" w:ascii="仿宋" w:hAnsi="仿宋" w:eastAsia="仿宋" w:cs="Arial"/>
                <w:sz w:val="28"/>
                <w:szCs w:val="28"/>
              </w:rPr>
              <w:t>医疗卫生</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335" w:hRule="atLeast"/>
        </w:trPr>
        <w:tc>
          <w:tcPr>
            <w:tcW w:w="2181" w:type="dxa"/>
            <w:tcBorders>
              <w:top w:val="single" w:color="auto" w:sz="8" w:space="0"/>
              <w:left w:val="single" w:color="auto" w:sz="8" w:space="0"/>
              <w:bottom w:val="single" w:color="auto" w:sz="8" w:space="0"/>
              <w:right w:val="single" w:color="auto" w:sz="8" w:space="0"/>
            </w:tcBorders>
            <w:shd w:val="clear" w:color="auto" w:fill="FFFFFF"/>
            <w:noWrap/>
            <w:tcMar>
              <w:left w:w="108" w:type="dxa"/>
              <w:right w:w="108" w:type="dxa"/>
            </w:tcMar>
            <w:vAlign w:val="center"/>
          </w:tcPr>
          <w:p>
            <w:pPr>
              <w:jc w:val="center"/>
              <w:rPr>
                <w:rFonts w:hint="default" w:ascii="Times New Roman" w:hAnsi="Times New Roman" w:cs="Times New Roman"/>
                <w:sz w:val="21"/>
                <w:szCs w:val="21"/>
              </w:rPr>
            </w:pPr>
            <w:r>
              <w:rPr>
                <w:rFonts w:hint="eastAsia" w:ascii="仿宋" w:hAnsi="仿宋" w:eastAsia="仿宋" w:cs="Arial"/>
                <w:sz w:val="28"/>
                <w:szCs w:val="28"/>
              </w:rPr>
              <w:t>住房保障</w:t>
            </w:r>
          </w:p>
        </w:tc>
        <w:tc>
          <w:tcPr>
            <w:tcW w:w="1607" w:type="dxa"/>
            <w:tcBorders>
              <w:top w:val="single" w:color="auto" w:sz="8" w:space="0"/>
              <w:left w:val="single" w:color="auto" w:sz="8" w:space="0"/>
              <w:bottom w:val="single" w:color="auto" w:sz="8" w:space="0"/>
              <w:right w:val="single" w:color="auto" w:sz="8" w:space="0"/>
            </w:tcBorders>
            <w:shd w:val="clear" w:color="auto" w:fill="FFFFFF"/>
            <w:noWrap/>
            <w:tcMar>
              <w:left w:w="108" w:type="dxa"/>
              <w:right w:w="108" w:type="dxa"/>
            </w:tcMar>
            <w:vAlign w:val="center"/>
          </w:tcPr>
          <w:p>
            <w:pPr>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4.99</w:t>
            </w:r>
          </w:p>
        </w:tc>
        <w:tc>
          <w:tcPr>
            <w:tcW w:w="1254" w:type="dxa"/>
            <w:tcBorders>
              <w:top w:val="single" w:color="auto" w:sz="8" w:space="0"/>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576" w:lineRule="exact"/>
              <w:jc w:val="center"/>
              <w:textAlignment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7.91</w:t>
            </w:r>
          </w:p>
        </w:tc>
        <w:tc>
          <w:tcPr>
            <w:tcW w:w="1221" w:type="dxa"/>
            <w:tcBorders>
              <w:top w:val="single" w:color="auto" w:sz="8" w:space="0"/>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576" w:lineRule="exact"/>
              <w:jc w:val="center"/>
              <w:textAlignment w:val="center"/>
              <w:rPr>
                <w:rFonts w:hint="default" w:ascii="Times New Roman" w:hAnsi="Times New Roman" w:cs="Times New Roman"/>
                <w:sz w:val="21"/>
                <w:szCs w:val="21"/>
                <w:lang w:val="en-US"/>
              </w:rPr>
            </w:pPr>
            <w:r>
              <w:rPr>
                <w:rFonts w:hint="eastAsia" w:ascii="仿宋_GB2312" w:hAnsi="仿宋"/>
                <w:sz w:val="32"/>
                <w:szCs w:val="32"/>
                <w:lang w:val="en-US" w:eastAsia="zh-CN"/>
              </w:rPr>
              <w:t>10.83</w:t>
            </w:r>
          </w:p>
        </w:tc>
        <w:tc>
          <w:tcPr>
            <w:tcW w:w="1963" w:type="dxa"/>
            <w:tcBorders>
              <w:top w:val="single" w:color="auto" w:sz="8" w:space="0"/>
              <w:left w:val="single" w:color="auto" w:sz="8" w:space="0"/>
              <w:bottom w:val="single" w:color="auto" w:sz="8" w:space="0"/>
              <w:right w:val="single" w:color="auto" w:sz="8" w:space="0"/>
            </w:tcBorders>
            <w:shd w:val="clear" w:color="auto" w:fill="FFFFFF"/>
            <w:noWrap/>
            <w:tcMar>
              <w:left w:w="108" w:type="dxa"/>
              <w:right w:w="108" w:type="dxa"/>
            </w:tcMar>
            <w:vAlign w:val="center"/>
          </w:tcPr>
          <w:p>
            <w:pPr>
              <w:jc w:val="center"/>
              <w:rPr>
                <w:rFonts w:hint="default" w:ascii="Times New Roman" w:hAnsi="Times New Roman" w:cs="Times New Roman"/>
                <w:sz w:val="21"/>
                <w:szCs w:val="21"/>
                <w:lang w:val="en-US"/>
              </w:rPr>
            </w:pPr>
            <w:r>
              <w:rPr>
                <w:rFonts w:hint="eastAsia" w:ascii="仿宋" w:hAnsi="仿宋" w:eastAsia="仿宋" w:cs="Arial"/>
                <w:sz w:val="28"/>
                <w:szCs w:val="28"/>
              </w:rPr>
              <w:t>住房保障</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40" w:lineRule="atLeast"/>
        <w:ind w:left="0" w:right="0" w:firstLine="0"/>
        <w:jc w:val="left"/>
        <w:rPr>
          <w:rFonts w:hint="default" w:ascii="Times New Roman" w:hAnsi="Times New Roman" w:cs="Times New Roman"/>
          <w:i w:val="0"/>
          <w:iCs w:val="0"/>
          <w:caps w:val="0"/>
          <w:color w:val="333333"/>
          <w:spacing w:val="0"/>
          <w:sz w:val="21"/>
          <w:szCs w:val="21"/>
        </w:rPr>
      </w:pPr>
      <w:r>
        <w:rPr>
          <w:rFonts w:hint="default" w:ascii="Times New Roman" w:hAnsi="Times New Roman" w:cs="Times New Roman" w:eastAsiaTheme="minorEastAsia"/>
          <w:i w:val="0"/>
          <w:iCs w:val="0"/>
          <w:caps w:val="0"/>
          <w:color w:val="auto"/>
          <w:spacing w:val="0"/>
          <w:kern w:val="0"/>
          <w:sz w:val="21"/>
          <w:szCs w:val="21"/>
          <w:shd w:val="clear" w:fill="FFFFFF"/>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240" w:lineRule="auto"/>
        <w:ind w:left="0" w:right="0" w:firstLine="640"/>
        <w:jc w:val="left"/>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b/>
          <w:bCs/>
          <w:i w:val="0"/>
          <w:iCs w:val="0"/>
          <w:caps w:val="0"/>
          <w:color w:val="333333"/>
          <w:spacing w:val="0"/>
          <w:kern w:val="0"/>
          <w:sz w:val="32"/>
          <w:szCs w:val="32"/>
          <w:shd w:val="clear" w:fill="FFFFFF"/>
          <w:vertAlign w:val="baseline"/>
          <w:lang w:val="en-US" w:eastAsia="zh-CN" w:bidi="ar"/>
        </w:rPr>
        <w:t>四、评价结论及建议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240" w:lineRule="auto"/>
        <w:ind w:left="0" w:right="0" w:firstLine="640"/>
        <w:jc w:val="left"/>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b/>
          <w:bCs/>
          <w:i w:val="0"/>
          <w:iCs w:val="0"/>
          <w:caps w:val="0"/>
          <w:color w:val="333333"/>
          <w:spacing w:val="0"/>
          <w:kern w:val="0"/>
          <w:sz w:val="32"/>
          <w:szCs w:val="32"/>
          <w:shd w:val="clear" w:fill="FFFFFF"/>
          <w:vertAlign w:val="baseline"/>
          <w:lang w:val="en-US" w:eastAsia="zh-CN" w:bidi="ar"/>
        </w:rPr>
        <w:t>（一）评价结论</w:t>
      </w:r>
      <w:r>
        <w:rPr>
          <w:rFonts w:hint="eastAsia" w:ascii="仿宋_GB2312" w:hAnsi="Times New Roman" w:eastAsia="仿宋_GB2312" w:cs="仿宋_GB2312"/>
          <w:i w:val="0"/>
          <w:iCs w:val="0"/>
          <w:caps w:val="0"/>
          <w:color w:val="333333"/>
          <w:spacing w:val="0"/>
          <w:kern w:val="0"/>
          <w:sz w:val="32"/>
          <w:szCs w:val="32"/>
          <w:shd w:val="clear" w:fill="FFFFFF"/>
          <w:vertAlign w:val="baseline"/>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240" w:lineRule="auto"/>
        <w:ind w:left="0" w:right="0" w:firstLine="640"/>
        <w:jc w:val="left"/>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333333"/>
          <w:spacing w:val="0"/>
          <w:kern w:val="0"/>
          <w:sz w:val="32"/>
          <w:szCs w:val="32"/>
          <w:shd w:val="clear" w:fill="FFFFFF"/>
          <w:vertAlign w:val="baseline"/>
          <w:lang w:val="en-US" w:eastAsia="zh-CN" w:bidi="ar"/>
        </w:rPr>
        <w:t>我单位预算执行情况良好，无不良记录及违规违纪行为，预算支出和决算支出情况相符。根据绩效评价工作要求，我们对自评工作实施方案进行了认真的研究和部署，使自评工作得以顺利开展，并取得了较好的效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240" w:lineRule="auto"/>
        <w:ind w:left="0" w:right="0" w:firstLine="640"/>
        <w:jc w:val="left"/>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b/>
          <w:bCs/>
          <w:i w:val="0"/>
          <w:iCs w:val="0"/>
          <w:caps w:val="0"/>
          <w:color w:val="333333"/>
          <w:spacing w:val="0"/>
          <w:kern w:val="0"/>
          <w:sz w:val="32"/>
          <w:szCs w:val="32"/>
          <w:shd w:val="clear" w:fill="FFFFFF"/>
          <w:vertAlign w:val="baseline"/>
          <w:lang w:val="en-US" w:eastAsia="zh-CN" w:bidi="ar"/>
        </w:rPr>
        <w:t>（二）存在问题。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240" w:lineRule="auto"/>
        <w:ind w:left="0" w:right="0" w:firstLine="640"/>
        <w:jc w:val="left"/>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333333"/>
          <w:spacing w:val="0"/>
          <w:kern w:val="0"/>
          <w:sz w:val="32"/>
          <w:szCs w:val="32"/>
          <w:shd w:val="clear" w:fill="FFFFFF"/>
          <w:vertAlign w:val="baseline"/>
          <w:lang w:val="en-US" w:eastAsia="zh-CN" w:bidi="ar"/>
        </w:rPr>
        <w:t>主要是预算编制的合理性、前瞻性有待提高，不能全面反映部门职责履行情况。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240" w:lineRule="auto"/>
        <w:ind w:left="0" w:right="0" w:firstLine="640"/>
        <w:jc w:val="left"/>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b/>
          <w:bCs/>
          <w:i w:val="0"/>
          <w:iCs w:val="0"/>
          <w:caps w:val="0"/>
          <w:color w:val="333333"/>
          <w:spacing w:val="0"/>
          <w:kern w:val="0"/>
          <w:sz w:val="32"/>
          <w:szCs w:val="32"/>
          <w:shd w:val="clear" w:fill="FFFFFF"/>
          <w:vertAlign w:val="baseline"/>
          <w:lang w:val="en-US" w:eastAsia="zh-CN" w:bidi="ar"/>
        </w:rPr>
        <w:t>（三）改进建议。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240" w:lineRule="auto"/>
        <w:ind w:left="0" w:right="0" w:firstLine="640"/>
        <w:jc w:val="left"/>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333333"/>
          <w:spacing w:val="0"/>
          <w:kern w:val="0"/>
          <w:sz w:val="32"/>
          <w:szCs w:val="32"/>
          <w:shd w:val="clear" w:fill="FFFFFF"/>
          <w:vertAlign w:val="baseline"/>
          <w:lang w:val="en-US" w:eastAsia="zh-CN" w:bidi="ar"/>
        </w:rPr>
        <w:t>针对上述存在的问题及我院整体支出管理工作的需要，拟实施的改进措施如下：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240" w:lineRule="auto"/>
        <w:ind w:left="0" w:right="0" w:firstLine="640"/>
        <w:jc w:val="left"/>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333333"/>
          <w:spacing w:val="0"/>
          <w:kern w:val="0"/>
          <w:sz w:val="32"/>
          <w:szCs w:val="32"/>
          <w:shd w:val="clear" w:fill="FFFFFF"/>
          <w:vertAlign w:val="baseline"/>
          <w:lang w:val="en-US" w:eastAsia="zh-CN" w:bidi="ar"/>
        </w:rPr>
        <w:t>1. 细化预算编制工作，认真做好预算的编制。进一步加强内设机构各处室的预算管理意识，严格按照预算编制的相关制度和要求进行预算编制；全面编制预算项目，优先保障固定性的、相对刚性的费用支出项目，尽量压缩变动性的、有控制空间的费用项目，进一步提高预算编制的科学性、严谨性和可控性。加强内部预算编制的审核和预算控制指标的下达，提高预算的合理性和准确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240" w:lineRule="auto"/>
        <w:ind w:left="0" w:right="0" w:firstLine="640"/>
        <w:jc w:val="left"/>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333333"/>
          <w:spacing w:val="0"/>
          <w:kern w:val="0"/>
          <w:sz w:val="32"/>
          <w:szCs w:val="32"/>
          <w:shd w:val="clear" w:fill="FFFFFF"/>
          <w:vertAlign w:val="baseline"/>
          <w:lang w:val="en-US" w:eastAsia="zh-CN" w:bidi="ar"/>
        </w:rPr>
        <w:t>2. 加强财务管理，严格财务审核。在费用报账支付时，按照预算规定的费用项目和用途进行资金使用审核、列报支付、财务核算，杜绝超支现象的发生。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240" w:lineRule="auto"/>
        <w:ind w:left="0" w:right="0" w:firstLine="640"/>
        <w:jc w:val="left"/>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333333"/>
          <w:spacing w:val="0"/>
          <w:kern w:val="0"/>
          <w:sz w:val="32"/>
          <w:szCs w:val="32"/>
          <w:shd w:val="clear" w:fill="FFFFFF"/>
          <w:vertAlign w:val="baseline"/>
          <w:lang w:val="en-US" w:eastAsia="zh-CN" w:bidi="ar"/>
        </w:rPr>
        <w:t>3．持续抓好“三公”经费控制管理。严格控制“三公”经费的规模和比例，把关“三公”经费支出的审核、审批，杜绝挪用和挤占其他预算资金行为；进一步细化“三公”经费的管理，合理压缩“三公”经费支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8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auto"/>
          <w:spacing w:val="0"/>
          <w:kern w:val="0"/>
          <w:sz w:val="32"/>
          <w:szCs w:val="32"/>
          <w:shd w:val="clear" w:fill="FFFFFF"/>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8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auto"/>
          <w:spacing w:val="0"/>
          <w:kern w:val="0"/>
          <w:sz w:val="32"/>
          <w:szCs w:val="32"/>
          <w:shd w:val="clear" w:fill="FFFFFF"/>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8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auto"/>
          <w:spacing w:val="0"/>
          <w:kern w:val="0"/>
          <w:sz w:val="32"/>
          <w:szCs w:val="32"/>
          <w:shd w:val="clear" w:fill="FFFFFF"/>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8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auto"/>
          <w:spacing w:val="0"/>
          <w:kern w:val="0"/>
          <w:sz w:val="32"/>
          <w:szCs w:val="32"/>
          <w:shd w:val="clear" w:fill="FFFFFF"/>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8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auto"/>
          <w:spacing w:val="0"/>
          <w:kern w:val="0"/>
          <w:sz w:val="32"/>
          <w:szCs w:val="32"/>
          <w:shd w:val="clear" w:fill="FFFFFF"/>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8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auto"/>
          <w:spacing w:val="0"/>
          <w:kern w:val="0"/>
          <w:sz w:val="32"/>
          <w:szCs w:val="32"/>
          <w:shd w:val="clear" w:fill="FFFFFF"/>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8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auto"/>
          <w:spacing w:val="0"/>
          <w:kern w:val="0"/>
          <w:sz w:val="32"/>
          <w:szCs w:val="32"/>
          <w:shd w:val="clear" w:fill="FFFFFF"/>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8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auto"/>
          <w:spacing w:val="0"/>
          <w:kern w:val="0"/>
          <w:sz w:val="32"/>
          <w:szCs w:val="32"/>
          <w:shd w:val="clear" w:fill="FFFFFF"/>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8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auto"/>
          <w:spacing w:val="0"/>
          <w:kern w:val="0"/>
          <w:sz w:val="32"/>
          <w:szCs w:val="32"/>
          <w:shd w:val="clear" w:fill="FFFFFF"/>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8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auto"/>
          <w:spacing w:val="0"/>
          <w:kern w:val="0"/>
          <w:sz w:val="32"/>
          <w:szCs w:val="32"/>
          <w:shd w:val="clear" w:fill="FFFFFF"/>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8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auto"/>
          <w:spacing w:val="0"/>
          <w:kern w:val="0"/>
          <w:sz w:val="32"/>
          <w:szCs w:val="32"/>
          <w:shd w:val="clear" w:fill="FFFFFF"/>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8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auto"/>
          <w:spacing w:val="0"/>
          <w:kern w:val="0"/>
          <w:sz w:val="32"/>
          <w:szCs w:val="32"/>
          <w:shd w:val="clear" w:fill="FFFFFF"/>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8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auto"/>
          <w:spacing w:val="0"/>
          <w:kern w:val="0"/>
          <w:sz w:val="32"/>
          <w:szCs w:val="32"/>
          <w:shd w:val="clear" w:fill="FFFFFF"/>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8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_GB2312" w:hAnsi="Times New Roman" w:eastAsia="仿宋_GB2312" w:cs="仿宋_GB2312"/>
          <w:i w:val="0"/>
          <w:iCs w:val="0"/>
          <w:caps w:val="0"/>
          <w:color w:val="auto"/>
          <w:spacing w:val="0"/>
          <w:kern w:val="0"/>
          <w:sz w:val="32"/>
          <w:szCs w:val="32"/>
          <w:shd w:val="clear" w:fill="FFFFFF"/>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600" w:lineRule="atLeast"/>
        <w:ind w:left="0" w:right="0" w:firstLine="0"/>
        <w:jc w:val="center"/>
        <w:rPr>
          <w:rFonts w:hint="default" w:ascii="Times New Roman" w:hAnsi="Times New Roman" w:cs="Times New Roman"/>
          <w:i w:val="0"/>
          <w:iCs w:val="0"/>
          <w:caps w:val="0"/>
          <w:color w:val="333333"/>
          <w:spacing w:val="0"/>
          <w:sz w:val="21"/>
          <w:szCs w:val="21"/>
        </w:rPr>
      </w:pPr>
      <w:bookmarkStart w:id="27" w:name="_Toc79163885"/>
      <w:bookmarkEnd w:id="27"/>
      <w:bookmarkStart w:id="28" w:name="_Toc15396618"/>
      <w:bookmarkEnd w:id="28"/>
      <w:bookmarkStart w:id="29" w:name="_Toc79163635"/>
      <w:bookmarkEnd w:id="29"/>
      <w:r>
        <w:rPr>
          <w:rFonts w:hint="eastAsia" w:ascii="黑体" w:hAnsi="宋体" w:eastAsia="黑体" w:cs="黑体"/>
          <w:i w:val="0"/>
          <w:iCs w:val="0"/>
          <w:caps w:val="0"/>
          <w:color w:val="333333"/>
          <w:spacing w:val="0"/>
          <w:kern w:val="0"/>
          <w:sz w:val="44"/>
          <w:szCs w:val="44"/>
          <w:shd w:val="clear" w:fill="FFFFFF"/>
          <w:vertAlign w:val="baseline"/>
          <w:lang w:val="en-US" w:eastAsia="zh-CN" w:bidi="ar"/>
        </w:rPr>
        <w:t>第</w:t>
      </w:r>
      <w:r>
        <w:rPr>
          <w:rFonts w:hint="eastAsia" w:ascii="黑体" w:hAnsi="宋体" w:eastAsia="黑体" w:cs="黑体"/>
          <w:i w:val="0"/>
          <w:iCs w:val="0"/>
          <w:caps w:val="0"/>
          <w:color w:val="auto"/>
          <w:spacing w:val="0"/>
          <w:kern w:val="0"/>
          <w:sz w:val="44"/>
          <w:szCs w:val="44"/>
          <w:shd w:val="clear" w:fill="FFFFFF"/>
          <w:vertAlign w:val="baseline"/>
          <w:lang w:val="en-US" w:eastAsia="zh-CN" w:bidi="ar"/>
        </w:rPr>
        <w:t>五部分附表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260" w:beforeAutospacing="0" w:after="260" w:afterAutospacing="0" w:line="554" w:lineRule="atLeast"/>
        <w:ind w:left="0" w:right="0" w:firstLine="0"/>
        <w:jc w:val="both"/>
        <w:rPr>
          <w:rFonts w:ascii="Cambria" w:hAnsi="Cambria" w:eastAsia="Cambria" w:cs="Cambria"/>
          <w:i w:val="0"/>
          <w:iCs w:val="0"/>
          <w:caps w:val="0"/>
          <w:color w:val="333333"/>
          <w:spacing w:val="0"/>
          <w:sz w:val="32"/>
          <w:szCs w:val="32"/>
        </w:rPr>
      </w:pPr>
      <w:bookmarkStart w:id="30" w:name="_Toc79163636"/>
      <w:bookmarkEnd w:id="30"/>
      <w:bookmarkStart w:id="31" w:name="_Toc79163886"/>
      <w:bookmarkEnd w:id="31"/>
      <w:bookmarkStart w:id="32" w:name="_Toc15396619"/>
      <w:bookmarkEnd w:id="32"/>
      <w:r>
        <w:rPr>
          <w:rFonts w:ascii="仿宋" w:hAnsi="仿宋" w:eastAsia="仿宋" w:cs="仿宋"/>
          <w:b w:val="0"/>
          <w:bCs w:val="0"/>
          <w:i w:val="0"/>
          <w:iCs w:val="0"/>
          <w:caps w:val="0"/>
          <w:color w:val="333333"/>
          <w:spacing w:val="0"/>
          <w:sz w:val="32"/>
          <w:szCs w:val="32"/>
          <w:shd w:val="clear" w:fill="FFFFFF"/>
          <w:vertAlign w:val="baseline"/>
        </w:rPr>
        <w:t>一、收</w:t>
      </w:r>
      <w:r>
        <w:rPr>
          <w:rFonts w:hint="eastAsia" w:ascii="仿宋" w:hAnsi="仿宋" w:eastAsia="仿宋" w:cs="仿宋"/>
          <w:b/>
          <w:bCs/>
          <w:i w:val="0"/>
          <w:iCs w:val="0"/>
          <w:caps w:val="0"/>
          <w:color w:val="auto"/>
          <w:spacing w:val="0"/>
          <w:sz w:val="32"/>
          <w:szCs w:val="32"/>
          <w:shd w:val="clear" w:fill="FFFFFF"/>
          <w:vertAlign w:val="baseline"/>
        </w:rPr>
        <w:t>入支出决算总表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260" w:beforeAutospacing="0" w:after="260" w:afterAutospacing="0" w:line="554" w:lineRule="atLeast"/>
        <w:ind w:left="0" w:right="0" w:firstLine="0"/>
        <w:jc w:val="both"/>
        <w:rPr>
          <w:rFonts w:hint="default" w:ascii="Cambria" w:hAnsi="Cambria" w:eastAsia="Cambria" w:cs="Cambria"/>
          <w:i w:val="0"/>
          <w:iCs w:val="0"/>
          <w:caps w:val="0"/>
          <w:color w:val="333333"/>
          <w:spacing w:val="0"/>
          <w:sz w:val="32"/>
          <w:szCs w:val="32"/>
        </w:rPr>
      </w:pPr>
      <w:bookmarkStart w:id="33" w:name="_Toc15396620"/>
      <w:bookmarkEnd w:id="33"/>
      <w:bookmarkStart w:id="34" w:name="_Toc79163637"/>
      <w:bookmarkEnd w:id="34"/>
      <w:bookmarkStart w:id="35" w:name="_Toc79163887"/>
      <w:bookmarkEnd w:id="35"/>
      <w:r>
        <w:rPr>
          <w:rFonts w:hint="eastAsia" w:ascii="仿宋" w:hAnsi="仿宋" w:eastAsia="仿宋" w:cs="仿宋"/>
          <w:b w:val="0"/>
          <w:bCs w:val="0"/>
          <w:i w:val="0"/>
          <w:iCs w:val="0"/>
          <w:caps w:val="0"/>
          <w:color w:val="333333"/>
          <w:spacing w:val="0"/>
          <w:sz w:val="32"/>
          <w:szCs w:val="32"/>
          <w:shd w:val="clear" w:fill="FFFFFF"/>
          <w:vertAlign w:val="baseline"/>
        </w:rPr>
        <w:t>二、收</w:t>
      </w:r>
      <w:r>
        <w:rPr>
          <w:rFonts w:hint="eastAsia" w:ascii="仿宋" w:hAnsi="仿宋" w:eastAsia="仿宋" w:cs="仿宋"/>
          <w:b/>
          <w:bCs/>
          <w:i w:val="0"/>
          <w:iCs w:val="0"/>
          <w:caps w:val="0"/>
          <w:color w:val="auto"/>
          <w:spacing w:val="0"/>
          <w:sz w:val="32"/>
          <w:szCs w:val="32"/>
          <w:shd w:val="clear" w:fill="FFFFFF"/>
          <w:vertAlign w:val="baseline"/>
        </w:rPr>
        <w:t>入决算表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260" w:beforeAutospacing="0" w:after="260" w:afterAutospacing="0" w:line="554" w:lineRule="atLeast"/>
        <w:ind w:left="0" w:right="0" w:firstLine="0"/>
        <w:jc w:val="both"/>
        <w:rPr>
          <w:rFonts w:hint="default" w:ascii="Cambria" w:hAnsi="Cambria" w:eastAsia="Cambria" w:cs="Cambria"/>
          <w:i w:val="0"/>
          <w:iCs w:val="0"/>
          <w:caps w:val="0"/>
          <w:color w:val="333333"/>
          <w:spacing w:val="0"/>
          <w:sz w:val="32"/>
          <w:szCs w:val="32"/>
        </w:rPr>
      </w:pPr>
      <w:bookmarkStart w:id="36" w:name="_Toc79163888"/>
      <w:bookmarkEnd w:id="36"/>
      <w:bookmarkStart w:id="37" w:name="_Toc15396621"/>
      <w:bookmarkEnd w:id="37"/>
      <w:bookmarkStart w:id="38" w:name="_Toc79163638"/>
      <w:bookmarkEnd w:id="38"/>
      <w:r>
        <w:rPr>
          <w:rFonts w:hint="eastAsia" w:ascii="仿宋" w:hAnsi="仿宋" w:eastAsia="仿宋" w:cs="仿宋"/>
          <w:b/>
          <w:bCs/>
          <w:i w:val="0"/>
          <w:iCs w:val="0"/>
          <w:caps w:val="0"/>
          <w:color w:val="auto"/>
          <w:spacing w:val="0"/>
          <w:sz w:val="32"/>
          <w:szCs w:val="32"/>
          <w:shd w:val="clear" w:fill="FFFFFF"/>
          <w:vertAlign w:val="baseline"/>
        </w:rPr>
        <w:t>三、</w:t>
      </w:r>
      <w:r>
        <w:rPr>
          <w:rFonts w:hint="eastAsia" w:ascii="仿宋" w:hAnsi="仿宋" w:eastAsia="仿宋" w:cs="仿宋"/>
          <w:b w:val="0"/>
          <w:bCs w:val="0"/>
          <w:i w:val="0"/>
          <w:iCs w:val="0"/>
          <w:caps w:val="0"/>
          <w:color w:val="333333"/>
          <w:spacing w:val="0"/>
          <w:sz w:val="32"/>
          <w:szCs w:val="32"/>
          <w:shd w:val="clear" w:fill="FFFFFF"/>
          <w:vertAlign w:val="baseline"/>
        </w:rPr>
        <w:t>支</w:t>
      </w:r>
      <w:r>
        <w:rPr>
          <w:rFonts w:hint="eastAsia" w:ascii="仿宋" w:hAnsi="仿宋" w:eastAsia="仿宋" w:cs="仿宋"/>
          <w:b/>
          <w:bCs/>
          <w:i w:val="0"/>
          <w:iCs w:val="0"/>
          <w:caps w:val="0"/>
          <w:color w:val="auto"/>
          <w:spacing w:val="0"/>
          <w:sz w:val="32"/>
          <w:szCs w:val="32"/>
          <w:shd w:val="clear" w:fill="FFFFFF"/>
          <w:vertAlign w:val="baseline"/>
        </w:rPr>
        <w:t>出决算表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260" w:beforeAutospacing="0" w:after="260" w:afterAutospacing="0" w:line="554" w:lineRule="atLeast"/>
        <w:ind w:left="0" w:right="0" w:firstLine="0"/>
        <w:jc w:val="both"/>
        <w:rPr>
          <w:rFonts w:hint="default" w:ascii="Cambria" w:hAnsi="Cambria" w:eastAsia="Cambria" w:cs="Cambria"/>
          <w:i w:val="0"/>
          <w:iCs w:val="0"/>
          <w:caps w:val="0"/>
          <w:color w:val="333333"/>
          <w:spacing w:val="0"/>
          <w:sz w:val="32"/>
          <w:szCs w:val="32"/>
        </w:rPr>
      </w:pPr>
      <w:bookmarkStart w:id="39" w:name="_Toc79163889"/>
      <w:bookmarkEnd w:id="39"/>
      <w:bookmarkStart w:id="40" w:name="_Toc15396622"/>
      <w:bookmarkEnd w:id="40"/>
      <w:bookmarkStart w:id="41" w:name="_Toc79163639"/>
      <w:bookmarkEnd w:id="41"/>
      <w:r>
        <w:rPr>
          <w:rFonts w:hint="eastAsia" w:ascii="仿宋" w:hAnsi="仿宋" w:eastAsia="仿宋" w:cs="仿宋"/>
          <w:b/>
          <w:bCs/>
          <w:i w:val="0"/>
          <w:iCs w:val="0"/>
          <w:caps w:val="0"/>
          <w:color w:val="auto"/>
          <w:spacing w:val="0"/>
          <w:sz w:val="32"/>
          <w:szCs w:val="32"/>
          <w:shd w:val="clear" w:fill="FFFFFF"/>
          <w:vertAlign w:val="baseline"/>
        </w:rPr>
        <w:t>四、</w:t>
      </w:r>
      <w:r>
        <w:rPr>
          <w:rFonts w:hint="eastAsia" w:ascii="仿宋" w:hAnsi="仿宋" w:eastAsia="仿宋" w:cs="仿宋"/>
          <w:b w:val="0"/>
          <w:bCs w:val="0"/>
          <w:i w:val="0"/>
          <w:iCs w:val="0"/>
          <w:caps w:val="0"/>
          <w:color w:val="333333"/>
          <w:spacing w:val="0"/>
          <w:sz w:val="32"/>
          <w:szCs w:val="32"/>
          <w:shd w:val="clear" w:fill="FFFFFF"/>
          <w:vertAlign w:val="baseline"/>
        </w:rPr>
        <w:t>财</w:t>
      </w:r>
      <w:r>
        <w:rPr>
          <w:rFonts w:hint="eastAsia" w:ascii="仿宋" w:hAnsi="仿宋" w:eastAsia="仿宋" w:cs="仿宋"/>
          <w:b/>
          <w:bCs/>
          <w:i w:val="0"/>
          <w:iCs w:val="0"/>
          <w:caps w:val="0"/>
          <w:color w:val="auto"/>
          <w:spacing w:val="0"/>
          <w:sz w:val="32"/>
          <w:szCs w:val="32"/>
          <w:shd w:val="clear" w:fill="FFFFFF"/>
          <w:vertAlign w:val="baseline"/>
        </w:rPr>
        <w:t>政拨款收入支出决算总表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260" w:beforeAutospacing="0" w:after="260" w:afterAutospacing="0" w:line="554" w:lineRule="atLeast"/>
        <w:ind w:left="0" w:right="0" w:firstLine="0"/>
        <w:jc w:val="both"/>
        <w:rPr>
          <w:rFonts w:hint="default" w:ascii="Cambria" w:hAnsi="Cambria" w:eastAsia="Cambria" w:cs="Cambria"/>
          <w:i w:val="0"/>
          <w:iCs w:val="0"/>
          <w:caps w:val="0"/>
          <w:color w:val="333333"/>
          <w:spacing w:val="0"/>
          <w:sz w:val="32"/>
          <w:szCs w:val="32"/>
        </w:rPr>
      </w:pPr>
      <w:bookmarkStart w:id="42" w:name="_Toc79163640"/>
      <w:bookmarkEnd w:id="42"/>
      <w:bookmarkStart w:id="43" w:name="_Toc15396623"/>
      <w:bookmarkEnd w:id="43"/>
      <w:bookmarkStart w:id="44" w:name="_Toc79163890"/>
      <w:bookmarkEnd w:id="44"/>
      <w:r>
        <w:rPr>
          <w:rFonts w:hint="eastAsia" w:ascii="仿宋" w:hAnsi="仿宋" w:eastAsia="仿宋" w:cs="仿宋"/>
          <w:b/>
          <w:bCs/>
          <w:i w:val="0"/>
          <w:iCs w:val="0"/>
          <w:caps w:val="0"/>
          <w:color w:val="auto"/>
          <w:spacing w:val="0"/>
          <w:sz w:val="32"/>
          <w:szCs w:val="32"/>
          <w:shd w:val="clear" w:fill="FFFFFF"/>
          <w:vertAlign w:val="baseline"/>
        </w:rPr>
        <w:t>五、</w:t>
      </w:r>
      <w:r>
        <w:rPr>
          <w:rFonts w:hint="eastAsia" w:ascii="仿宋" w:hAnsi="仿宋" w:eastAsia="仿宋" w:cs="仿宋"/>
          <w:b w:val="0"/>
          <w:bCs w:val="0"/>
          <w:i w:val="0"/>
          <w:iCs w:val="0"/>
          <w:caps w:val="0"/>
          <w:color w:val="333333"/>
          <w:spacing w:val="0"/>
          <w:sz w:val="32"/>
          <w:szCs w:val="32"/>
          <w:shd w:val="clear" w:fill="FFFFFF"/>
          <w:vertAlign w:val="baseline"/>
        </w:rPr>
        <w:t>财</w:t>
      </w:r>
      <w:r>
        <w:rPr>
          <w:rFonts w:hint="eastAsia" w:ascii="仿宋" w:hAnsi="仿宋" w:eastAsia="仿宋" w:cs="仿宋"/>
          <w:b/>
          <w:bCs/>
          <w:i w:val="0"/>
          <w:iCs w:val="0"/>
          <w:caps w:val="0"/>
          <w:color w:val="auto"/>
          <w:spacing w:val="0"/>
          <w:sz w:val="32"/>
          <w:szCs w:val="32"/>
          <w:shd w:val="clear" w:fill="FFFFFF"/>
          <w:vertAlign w:val="baseline"/>
        </w:rPr>
        <w:t>政拨款支出决算明细表</w:t>
      </w:r>
      <w:bookmarkStart w:id="45" w:name="_Toc15396624"/>
      <w:bookmarkEnd w:id="45"/>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260" w:beforeAutospacing="0" w:after="260" w:afterAutospacing="0" w:line="554" w:lineRule="atLeast"/>
        <w:ind w:left="0" w:right="0" w:firstLine="0"/>
        <w:jc w:val="both"/>
        <w:rPr>
          <w:rFonts w:hint="default" w:ascii="Cambria" w:hAnsi="Cambria" w:eastAsia="Cambria" w:cs="Cambria"/>
          <w:i w:val="0"/>
          <w:iCs w:val="0"/>
          <w:caps w:val="0"/>
          <w:color w:val="333333"/>
          <w:spacing w:val="0"/>
          <w:sz w:val="32"/>
          <w:szCs w:val="32"/>
        </w:rPr>
      </w:pPr>
      <w:bookmarkStart w:id="46" w:name="_Toc79163641"/>
      <w:bookmarkEnd w:id="46"/>
      <w:bookmarkStart w:id="47" w:name="_Toc79163891"/>
      <w:bookmarkEnd w:id="47"/>
      <w:r>
        <w:rPr>
          <w:rFonts w:hint="eastAsia" w:ascii="仿宋" w:hAnsi="仿宋" w:eastAsia="仿宋" w:cs="仿宋"/>
          <w:b/>
          <w:bCs/>
          <w:i w:val="0"/>
          <w:iCs w:val="0"/>
          <w:caps w:val="0"/>
          <w:color w:val="auto"/>
          <w:spacing w:val="0"/>
          <w:sz w:val="32"/>
          <w:szCs w:val="32"/>
          <w:shd w:val="clear" w:fill="FFFFFF"/>
          <w:vertAlign w:val="baseline"/>
        </w:rPr>
        <w:t>六、</w:t>
      </w:r>
      <w:r>
        <w:rPr>
          <w:rFonts w:hint="eastAsia" w:ascii="仿宋" w:hAnsi="仿宋" w:eastAsia="仿宋" w:cs="仿宋"/>
          <w:b w:val="0"/>
          <w:bCs w:val="0"/>
          <w:i w:val="0"/>
          <w:iCs w:val="0"/>
          <w:caps w:val="0"/>
          <w:color w:val="333333"/>
          <w:spacing w:val="0"/>
          <w:sz w:val="32"/>
          <w:szCs w:val="32"/>
          <w:shd w:val="clear" w:fill="FFFFFF"/>
          <w:vertAlign w:val="baseline"/>
        </w:rPr>
        <w:t>一</w:t>
      </w:r>
      <w:r>
        <w:rPr>
          <w:rFonts w:hint="eastAsia" w:ascii="仿宋" w:hAnsi="仿宋" w:eastAsia="仿宋" w:cs="仿宋"/>
          <w:b/>
          <w:bCs/>
          <w:i w:val="0"/>
          <w:iCs w:val="0"/>
          <w:caps w:val="0"/>
          <w:color w:val="auto"/>
          <w:spacing w:val="0"/>
          <w:sz w:val="32"/>
          <w:szCs w:val="32"/>
          <w:shd w:val="clear" w:fill="FFFFFF"/>
          <w:vertAlign w:val="baseline"/>
        </w:rPr>
        <w:t>般公共预算财政拨款支出决算表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260" w:beforeAutospacing="0" w:after="260" w:afterAutospacing="0" w:line="554" w:lineRule="atLeast"/>
        <w:ind w:left="0" w:right="0" w:firstLine="0"/>
        <w:jc w:val="both"/>
        <w:rPr>
          <w:rFonts w:hint="default" w:ascii="Cambria" w:hAnsi="Cambria" w:eastAsia="Cambria" w:cs="Cambria"/>
          <w:i w:val="0"/>
          <w:iCs w:val="0"/>
          <w:caps w:val="0"/>
          <w:color w:val="333333"/>
          <w:spacing w:val="0"/>
          <w:sz w:val="32"/>
          <w:szCs w:val="32"/>
        </w:rPr>
      </w:pPr>
      <w:bookmarkStart w:id="48" w:name="_Toc79163642"/>
      <w:bookmarkEnd w:id="48"/>
      <w:bookmarkStart w:id="49" w:name="_Toc79163892"/>
      <w:bookmarkEnd w:id="49"/>
      <w:bookmarkStart w:id="50" w:name="_Toc15396625"/>
      <w:bookmarkEnd w:id="50"/>
      <w:r>
        <w:rPr>
          <w:rFonts w:hint="eastAsia" w:ascii="仿宋" w:hAnsi="仿宋" w:eastAsia="仿宋" w:cs="仿宋"/>
          <w:b/>
          <w:bCs/>
          <w:i w:val="0"/>
          <w:iCs w:val="0"/>
          <w:caps w:val="0"/>
          <w:color w:val="auto"/>
          <w:spacing w:val="0"/>
          <w:sz w:val="32"/>
          <w:szCs w:val="32"/>
          <w:shd w:val="clear" w:fill="FFFFFF"/>
          <w:vertAlign w:val="baseline"/>
        </w:rPr>
        <w:t>七、</w:t>
      </w:r>
      <w:r>
        <w:rPr>
          <w:rFonts w:hint="eastAsia" w:ascii="仿宋" w:hAnsi="仿宋" w:eastAsia="仿宋" w:cs="仿宋"/>
          <w:b w:val="0"/>
          <w:bCs w:val="0"/>
          <w:i w:val="0"/>
          <w:iCs w:val="0"/>
          <w:caps w:val="0"/>
          <w:color w:val="333333"/>
          <w:spacing w:val="0"/>
          <w:sz w:val="32"/>
          <w:szCs w:val="32"/>
          <w:shd w:val="clear" w:fill="FFFFFF"/>
          <w:vertAlign w:val="baseline"/>
        </w:rPr>
        <w:t>一</w:t>
      </w:r>
      <w:r>
        <w:rPr>
          <w:rFonts w:hint="eastAsia" w:ascii="仿宋" w:hAnsi="仿宋" w:eastAsia="仿宋" w:cs="仿宋"/>
          <w:b/>
          <w:bCs/>
          <w:i w:val="0"/>
          <w:iCs w:val="0"/>
          <w:caps w:val="0"/>
          <w:color w:val="auto"/>
          <w:spacing w:val="0"/>
          <w:sz w:val="32"/>
          <w:szCs w:val="32"/>
          <w:shd w:val="clear" w:fill="FFFFFF"/>
          <w:vertAlign w:val="baseline"/>
        </w:rPr>
        <w:t>般公共预算财政拨款支出决算明细表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260" w:beforeAutospacing="0" w:after="260" w:afterAutospacing="0" w:line="554" w:lineRule="atLeast"/>
        <w:ind w:left="0" w:right="0" w:firstLine="0"/>
        <w:jc w:val="both"/>
        <w:rPr>
          <w:rFonts w:hint="default" w:ascii="Cambria" w:hAnsi="Cambria" w:eastAsia="Cambria" w:cs="Cambria"/>
          <w:i w:val="0"/>
          <w:iCs w:val="0"/>
          <w:caps w:val="0"/>
          <w:color w:val="333333"/>
          <w:spacing w:val="0"/>
          <w:sz w:val="32"/>
          <w:szCs w:val="32"/>
        </w:rPr>
      </w:pPr>
      <w:bookmarkStart w:id="51" w:name="_Toc15396626"/>
      <w:bookmarkEnd w:id="51"/>
      <w:bookmarkStart w:id="52" w:name="_Toc79163893"/>
      <w:bookmarkEnd w:id="52"/>
      <w:bookmarkStart w:id="53" w:name="_Toc79163643"/>
      <w:bookmarkEnd w:id="53"/>
      <w:r>
        <w:rPr>
          <w:rFonts w:hint="eastAsia" w:ascii="仿宋" w:hAnsi="仿宋" w:eastAsia="仿宋" w:cs="仿宋"/>
          <w:b/>
          <w:bCs/>
          <w:i w:val="0"/>
          <w:iCs w:val="0"/>
          <w:caps w:val="0"/>
          <w:color w:val="auto"/>
          <w:spacing w:val="0"/>
          <w:sz w:val="32"/>
          <w:szCs w:val="32"/>
          <w:shd w:val="clear" w:fill="FFFFFF"/>
          <w:vertAlign w:val="baseline"/>
        </w:rPr>
        <w:t>八、</w:t>
      </w:r>
      <w:r>
        <w:rPr>
          <w:rFonts w:hint="eastAsia" w:ascii="仿宋" w:hAnsi="仿宋" w:eastAsia="仿宋" w:cs="仿宋"/>
          <w:b w:val="0"/>
          <w:bCs w:val="0"/>
          <w:i w:val="0"/>
          <w:iCs w:val="0"/>
          <w:caps w:val="0"/>
          <w:color w:val="333333"/>
          <w:spacing w:val="0"/>
          <w:sz w:val="32"/>
          <w:szCs w:val="32"/>
          <w:shd w:val="clear" w:fill="FFFFFF"/>
          <w:vertAlign w:val="baseline"/>
        </w:rPr>
        <w:t>一</w:t>
      </w:r>
      <w:r>
        <w:rPr>
          <w:rFonts w:hint="eastAsia" w:ascii="仿宋" w:hAnsi="仿宋" w:eastAsia="仿宋" w:cs="仿宋"/>
          <w:b/>
          <w:bCs/>
          <w:i w:val="0"/>
          <w:iCs w:val="0"/>
          <w:caps w:val="0"/>
          <w:color w:val="auto"/>
          <w:spacing w:val="0"/>
          <w:sz w:val="32"/>
          <w:szCs w:val="32"/>
          <w:shd w:val="clear" w:fill="FFFFFF"/>
          <w:vertAlign w:val="baseline"/>
        </w:rPr>
        <w:t>般公共预算财政拨款基本支出决算表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260" w:beforeAutospacing="0" w:after="260" w:afterAutospacing="0" w:line="554" w:lineRule="atLeast"/>
        <w:ind w:left="0" w:right="0" w:firstLine="0"/>
        <w:jc w:val="both"/>
        <w:rPr>
          <w:rFonts w:hint="default" w:ascii="Cambria" w:hAnsi="Cambria" w:eastAsia="Cambria" w:cs="Cambria"/>
          <w:i w:val="0"/>
          <w:iCs w:val="0"/>
          <w:caps w:val="0"/>
          <w:color w:val="333333"/>
          <w:spacing w:val="0"/>
          <w:sz w:val="32"/>
          <w:szCs w:val="32"/>
        </w:rPr>
      </w:pPr>
      <w:bookmarkStart w:id="54" w:name="_Toc79163644"/>
      <w:bookmarkEnd w:id="54"/>
      <w:bookmarkStart w:id="55" w:name="_Toc79163894"/>
      <w:bookmarkEnd w:id="55"/>
      <w:bookmarkStart w:id="56" w:name="_Toc15396627"/>
      <w:bookmarkEnd w:id="56"/>
      <w:r>
        <w:rPr>
          <w:rFonts w:hint="eastAsia" w:ascii="仿宋" w:hAnsi="仿宋" w:eastAsia="仿宋" w:cs="仿宋"/>
          <w:b/>
          <w:bCs/>
          <w:i w:val="0"/>
          <w:iCs w:val="0"/>
          <w:caps w:val="0"/>
          <w:color w:val="auto"/>
          <w:spacing w:val="0"/>
          <w:sz w:val="32"/>
          <w:szCs w:val="32"/>
          <w:shd w:val="clear" w:fill="FFFFFF"/>
          <w:vertAlign w:val="baseline"/>
        </w:rPr>
        <w:t>九、</w:t>
      </w:r>
      <w:r>
        <w:rPr>
          <w:rFonts w:hint="eastAsia" w:ascii="仿宋" w:hAnsi="仿宋" w:eastAsia="仿宋" w:cs="仿宋"/>
          <w:b w:val="0"/>
          <w:bCs w:val="0"/>
          <w:i w:val="0"/>
          <w:iCs w:val="0"/>
          <w:caps w:val="0"/>
          <w:color w:val="333333"/>
          <w:spacing w:val="0"/>
          <w:sz w:val="32"/>
          <w:szCs w:val="32"/>
          <w:shd w:val="clear" w:fill="FFFFFF"/>
          <w:vertAlign w:val="baseline"/>
        </w:rPr>
        <w:t>一</w:t>
      </w:r>
      <w:r>
        <w:rPr>
          <w:rFonts w:hint="eastAsia" w:ascii="仿宋" w:hAnsi="仿宋" w:eastAsia="仿宋" w:cs="仿宋"/>
          <w:b/>
          <w:bCs/>
          <w:i w:val="0"/>
          <w:iCs w:val="0"/>
          <w:caps w:val="0"/>
          <w:color w:val="auto"/>
          <w:spacing w:val="0"/>
          <w:sz w:val="32"/>
          <w:szCs w:val="32"/>
          <w:shd w:val="clear" w:fill="FFFFFF"/>
          <w:vertAlign w:val="baseline"/>
        </w:rPr>
        <w:t>般公共预算财政拨款项目支出决算表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260" w:beforeAutospacing="0" w:after="260" w:afterAutospacing="0" w:line="554" w:lineRule="atLeast"/>
        <w:ind w:left="0" w:right="0" w:firstLine="0"/>
        <w:jc w:val="both"/>
        <w:rPr>
          <w:rFonts w:hint="default" w:ascii="Cambria" w:hAnsi="Cambria" w:eastAsia="Cambria" w:cs="Cambria"/>
          <w:i w:val="0"/>
          <w:iCs w:val="0"/>
          <w:caps w:val="0"/>
          <w:color w:val="333333"/>
          <w:spacing w:val="0"/>
          <w:sz w:val="32"/>
          <w:szCs w:val="32"/>
        </w:rPr>
      </w:pPr>
      <w:bookmarkStart w:id="57" w:name="_Toc79163895"/>
      <w:bookmarkEnd w:id="57"/>
      <w:bookmarkStart w:id="58" w:name="_Toc79163645"/>
      <w:bookmarkEnd w:id="58"/>
      <w:bookmarkStart w:id="59" w:name="_Toc15396628"/>
      <w:bookmarkEnd w:id="59"/>
      <w:r>
        <w:rPr>
          <w:rFonts w:hint="eastAsia" w:ascii="仿宋" w:hAnsi="仿宋" w:eastAsia="仿宋" w:cs="仿宋"/>
          <w:b/>
          <w:bCs/>
          <w:i w:val="0"/>
          <w:iCs w:val="0"/>
          <w:caps w:val="0"/>
          <w:color w:val="auto"/>
          <w:spacing w:val="0"/>
          <w:sz w:val="32"/>
          <w:szCs w:val="32"/>
          <w:shd w:val="clear" w:fill="FFFFFF"/>
          <w:vertAlign w:val="baseline"/>
        </w:rPr>
        <w:t>十、</w:t>
      </w:r>
      <w:r>
        <w:rPr>
          <w:rFonts w:hint="eastAsia" w:ascii="仿宋" w:hAnsi="仿宋" w:eastAsia="仿宋" w:cs="仿宋"/>
          <w:b w:val="0"/>
          <w:bCs w:val="0"/>
          <w:i w:val="0"/>
          <w:iCs w:val="0"/>
          <w:caps w:val="0"/>
          <w:color w:val="333333"/>
          <w:spacing w:val="0"/>
          <w:sz w:val="32"/>
          <w:szCs w:val="32"/>
          <w:shd w:val="clear" w:fill="FFFFFF"/>
          <w:vertAlign w:val="baseline"/>
        </w:rPr>
        <w:t>一</w:t>
      </w:r>
      <w:r>
        <w:rPr>
          <w:rFonts w:hint="eastAsia" w:ascii="仿宋" w:hAnsi="仿宋" w:eastAsia="仿宋" w:cs="仿宋"/>
          <w:b/>
          <w:bCs/>
          <w:i w:val="0"/>
          <w:iCs w:val="0"/>
          <w:caps w:val="0"/>
          <w:color w:val="auto"/>
          <w:spacing w:val="0"/>
          <w:sz w:val="32"/>
          <w:szCs w:val="32"/>
          <w:shd w:val="clear" w:fill="FFFFFF"/>
          <w:vertAlign w:val="baseline"/>
        </w:rPr>
        <w:t>般公共预算财政拨款“三公”经费支出决算表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260" w:beforeAutospacing="0" w:after="260" w:afterAutospacing="0" w:line="554" w:lineRule="atLeast"/>
        <w:ind w:left="0" w:right="0" w:firstLine="0"/>
        <w:jc w:val="both"/>
        <w:rPr>
          <w:rFonts w:hint="default" w:ascii="Cambria" w:hAnsi="Cambria" w:eastAsia="Cambria" w:cs="Cambria"/>
          <w:i w:val="0"/>
          <w:iCs w:val="0"/>
          <w:caps w:val="0"/>
          <w:color w:val="333333"/>
          <w:spacing w:val="0"/>
          <w:sz w:val="32"/>
          <w:szCs w:val="32"/>
        </w:rPr>
      </w:pPr>
      <w:bookmarkStart w:id="60" w:name="_Toc79163896"/>
      <w:bookmarkEnd w:id="60"/>
      <w:bookmarkStart w:id="61" w:name="_Toc15396629"/>
      <w:bookmarkEnd w:id="61"/>
      <w:bookmarkStart w:id="62" w:name="_Toc79163646"/>
      <w:bookmarkEnd w:id="62"/>
      <w:r>
        <w:rPr>
          <w:rFonts w:hint="eastAsia" w:ascii="仿宋" w:hAnsi="仿宋" w:eastAsia="仿宋" w:cs="仿宋"/>
          <w:b/>
          <w:bCs/>
          <w:i w:val="0"/>
          <w:iCs w:val="0"/>
          <w:caps w:val="0"/>
          <w:color w:val="auto"/>
          <w:spacing w:val="0"/>
          <w:sz w:val="32"/>
          <w:szCs w:val="32"/>
          <w:shd w:val="clear" w:fill="FFFFFF"/>
          <w:vertAlign w:val="baseline"/>
        </w:rPr>
        <w:t>十一、</w:t>
      </w:r>
      <w:r>
        <w:rPr>
          <w:rFonts w:hint="eastAsia" w:ascii="仿宋" w:hAnsi="仿宋" w:eastAsia="仿宋" w:cs="仿宋"/>
          <w:b w:val="0"/>
          <w:bCs w:val="0"/>
          <w:i w:val="0"/>
          <w:iCs w:val="0"/>
          <w:caps w:val="0"/>
          <w:color w:val="333333"/>
          <w:spacing w:val="0"/>
          <w:sz w:val="32"/>
          <w:szCs w:val="32"/>
          <w:shd w:val="clear" w:fill="FFFFFF"/>
          <w:vertAlign w:val="baseline"/>
        </w:rPr>
        <w:t>政</w:t>
      </w:r>
      <w:r>
        <w:rPr>
          <w:rFonts w:hint="eastAsia" w:ascii="仿宋" w:hAnsi="仿宋" w:eastAsia="仿宋" w:cs="仿宋"/>
          <w:b/>
          <w:bCs/>
          <w:i w:val="0"/>
          <w:iCs w:val="0"/>
          <w:caps w:val="0"/>
          <w:color w:val="auto"/>
          <w:spacing w:val="0"/>
          <w:sz w:val="32"/>
          <w:szCs w:val="32"/>
          <w:shd w:val="clear" w:fill="FFFFFF"/>
          <w:vertAlign w:val="baseline"/>
        </w:rPr>
        <w:t>府性基金预算财政拨款收入支出决算表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260" w:beforeAutospacing="0" w:after="260" w:afterAutospacing="0" w:line="554" w:lineRule="atLeast"/>
        <w:ind w:left="0" w:right="0" w:firstLine="0"/>
        <w:jc w:val="both"/>
        <w:rPr>
          <w:rFonts w:hint="default" w:ascii="Cambria" w:hAnsi="Cambria" w:eastAsia="Cambria" w:cs="Cambria"/>
          <w:i w:val="0"/>
          <w:iCs w:val="0"/>
          <w:caps w:val="0"/>
          <w:color w:val="333333"/>
          <w:spacing w:val="0"/>
          <w:sz w:val="32"/>
          <w:szCs w:val="32"/>
        </w:rPr>
      </w:pPr>
      <w:bookmarkStart w:id="63" w:name="_Toc15396630"/>
      <w:bookmarkEnd w:id="63"/>
      <w:bookmarkStart w:id="64" w:name="_Toc79163647"/>
      <w:bookmarkEnd w:id="64"/>
      <w:bookmarkStart w:id="65" w:name="_Toc79163897"/>
      <w:bookmarkEnd w:id="65"/>
      <w:r>
        <w:rPr>
          <w:rFonts w:hint="eastAsia" w:ascii="仿宋" w:hAnsi="仿宋" w:eastAsia="仿宋" w:cs="仿宋"/>
          <w:b/>
          <w:bCs/>
          <w:i w:val="0"/>
          <w:iCs w:val="0"/>
          <w:caps w:val="0"/>
          <w:color w:val="auto"/>
          <w:spacing w:val="0"/>
          <w:sz w:val="32"/>
          <w:szCs w:val="32"/>
          <w:shd w:val="clear" w:fill="FFFFFF"/>
          <w:vertAlign w:val="baseline"/>
        </w:rPr>
        <w:t>十二、</w:t>
      </w:r>
      <w:r>
        <w:rPr>
          <w:rFonts w:hint="eastAsia" w:ascii="仿宋" w:hAnsi="仿宋" w:eastAsia="仿宋" w:cs="仿宋"/>
          <w:b w:val="0"/>
          <w:bCs w:val="0"/>
          <w:i w:val="0"/>
          <w:iCs w:val="0"/>
          <w:caps w:val="0"/>
          <w:color w:val="333333"/>
          <w:spacing w:val="0"/>
          <w:sz w:val="32"/>
          <w:szCs w:val="32"/>
          <w:shd w:val="clear" w:fill="FFFFFF"/>
          <w:vertAlign w:val="baseline"/>
        </w:rPr>
        <w:t>政</w:t>
      </w:r>
      <w:r>
        <w:rPr>
          <w:rFonts w:hint="eastAsia" w:ascii="仿宋" w:hAnsi="仿宋" w:eastAsia="仿宋" w:cs="仿宋"/>
          <w:b/>
          <w:bCs/>
          <w:i w:val="0"/>
          <w:iCs w:val="0"/>
          <w:caps w:val="0"/>
          <w:color w:val="auto"/>
          <w:spacing w:val="0"/>
          <w:sz w:val="32"/>
          <w:szCs w:val="32"/>
          <w:shd w:val="clear" w:fill="FFFFFF"/>
          <w:vertAlign w:val="baseline"/>
        </w:rPr>
        <w:t>府性基金预算财政拨款“三公”经费支出决算表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260" w:beforeAutospacing="0" w:after="260" w:afterAutospacing="0" w:line="554" w:lineRule="atLeast"/>
        <w:ind w:left="0" w:right="0" w:firstLine="0"/>
        <w:jc w:val="both"/>
        <w:rPr>
          <w:rFonts w:hint="default" w:ascii="Cambria" w:hAnsi="Cambria" w:eastAsia="Cambria" w:cs="Cambria"/>
          <w:i w:val="0"/>
          <w:iCs w:val="0"/>
          <w:caps w:val="0"/>
          <w:color w:val="333333"/>
          <w:spacing w:val="0"/>
          <w:sz w:val="32"/>
          <w:szCs w:val="32"/>
        </w:rPr>
      </w:pPr>
      <w:bookmarkStart w:id="66" w:name="_Toc79163648"/>
      <w:bookmarkEnd w:id="66"/>
      <w:bookmarkStart w:id="67" w:name="_Toc15396631"/>
      <w:bookmarkEnd w:id="67"/>
      <w:bookmarkStart w:id="68" w:name="_Toc79163898"/>
      <w:bookmarkEnd w:id="68"/>
      <w:r>
        <w:rPr>
          <w:rFonts w:hint="eastAsia" w:ascii="仿宋" w:hAnsi="仿宋" w:eastAsia="仿宋" w:cs="仿宋"/>
          <w:b/>
          <w:bCs/>
          <w:i w:val="0"/>
          <w:iCs w:val="0"/>
          <w:caps w:val="0"/>
          <w:color w:val="auto"/>
          <w:spacing w:val="0"/>
          <w:sz w:val="32"/>
          <w:szCs w:val="32"/>
          <w:shd w:val="clear" w:fill="FFFFFF"/>
          <w:vertAlign w:val="baseline"/>
        </w:rPr>
        <w:t>十三、</w:t>
      </w:r>
      <w:r>
        <w:rPr>
          <w:rFonts w:hint="eastAsia" w:ascii="仿宋" w:hAnsi="仿宋" w:eastAsia="仿宋" w:cs="仿宋"/>
          <w:b w:val="0"/>
          <w:bCs w:val="0"/>
          <w:i w:val="0"/>
          <w:iCs w:val="0"/>
          <w:caps w:val="0"/>
          <w:color w:val="333333"/>
          <w:spacing w:val="0"/>
          <w:sz w:val="32"/>
          <w:szCs w:val="32"/>
          <w:shd w:val="clear" w:fill="FFFFFF"/>
          <w:vertAlign w:val="baseline"/>
        </w:rPr>
        <w:t>国</w:t>
      </w:r>
      <w:r>
        <w:rPr>
          <w:rFonts w:hint="eastAsia" w:ascii="仿宋" w:hAnsi="仿宋" w:eastAsia="仿宋" w:cs="仿宋"/>
          <w:b/>
          <w:bCs/>
          <w:i w:val="0"/>
          <w:iCs w:val="0"/>
          <w:caps w:val="0"/>
          <w:color w:val="auto"/>
          <w:spacing w:val="0"/>
          <w:sz w:val="32"/>
          <w:szCs w:val="32"/>
          <w:shd w:val="clear" w:fill="FFFFFF"/>
          <w:vertAlign w:val="baseline"/>
        </w:rPr>
        <w:t>有资本经营预算财政拨款支出决算表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260" w:beforeAutospacing="0" w:after="260" w:afterAutospacing="0" w:line="554" w:lineRule="atLeast"/>
        <w:ind w:left="0" w:right="0" w:firstLine="0"/>
        <w:jc w:val="both"/>
        <w:rPr>
          <w:rStyle w:val="24"/>
          <w:rFonts w:ascii="仿宋" w:hAnsi="仿宋" w:eastAsia="仿宋"/>
          <w:b w:val="0"/>
          <w:bCs w:val="0"/>
        </w:rPr>
      </w:pPr>
      <w:bookmarkStart w:id="69" w:name="_Toc79163649"/>
      <w:bookmarkEnd w:id="69"/>
      <w:bookmarkStart w:id="70" w:name="_Toc79163899"/>
      <w:bookmarkEnd w:id="70"/>
      <w:r>
        <w:rPr>
          <w:rFonts w:hint="eastAsia" w:ascii="仿宋" w:hAnsi="仿宋" w:eastAsia="仿宋" w:cs="仿宋"/>
          <w:b/>
          <w:bCs/>
          <w:i w:val="0"/>
          <w:iCs w:val="0"/>
          <w:caps w:val="0"/>
          <w:color w:val="auto"/>
          <w:spacing w:val="0"/>
          <w:sz w:val="32"/>
          <w:szCs w:val="32"/>
          <w:shd w:val="clear" w:fill="FFFFFF"/>
          <w:vertAlign w:val="baseline"/>
        </w:rPr>
        <w:t>十四、国有资本经营预算财政拨款支出决算表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rPr>
        <w:rFonts w:hint="eastAsia" w:eastAsia="宋体"/>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rPr>
        <w:rFonts w:hint="eastAsia" w:eastAsia="宋体"/>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mc:Fallback>
      </mc:AlternateContent>
    </w:r>
  </w:p>
  <w:p>
    <w:pPr>
      <w:pStyle w:val="11"/>
      <w:rPr>
        <w:rFonts w:hint="eastAsia" w:eastAsia="宋体"/>
        <w:lang w:val="en-US" w:eastAsia="zh-C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hzD29rgEAAEsD&#10;AAAOAAAAAAAAAAEAIAAAAB4BAABkcnMvZTJvRG9jLnhtbFBLBQYAAAAABgAGAFkBAAA+BQAAAAA=&#10;">
              <v:fill on="f" focussize="0,0"/>
              <v:stroke on="f"/>
              <v:imagedata o:title=""/>
              <o:lock v:ext="edit" aspectratio="f"/>
              <v:textbox inset="0mm,0mm,0mm,0mm" style="mso-fit-shape-to-text:t;">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652CEC"/>
    <w:multiLevelType w:val="singleLevel"/>
    <w:tmpl w:val="CF652CEC"/>
    <w:lvl w:ilvl="0" w:tentative="0">
      <w:start w:val="9"/>
      <w:numFmt w:val="chineseCounting"/>
      <w:suff w:val="nothing"/>
      <w:lvlText w:val="%1、"/>
      <w:lvlJc w:val="left"/>
      <w:pPr>
        <w:ind w:left="-10"/>
      </w:pPr>
      <w:rPr>
        <w:rFonts w:hint="eastAsia" w:cs="Times New Roman"/>
      </w:rPr>
    </w:lvl>
  </w:abstractNum>
  <w:abstractNum w:abstractNumId="1">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FhOGRlZTY3OGI4MjRhZDZiOGI4NWU5NzRlMjI0NDQ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301"/>
    <w:rsid w:val="001319E1"/>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56262"/>
    <w:rsid w:val="00260C38"/>
    <w:rsid w:val="002616C0"/>
    <w:rsid w:val="00265372"/>
    <w:rsid w:val="002662AA"/>
    <w:rsid w:val="0027224D"/>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E6FE4"/>
    <w:rsid w:val="00406254"/>
    <w:rsid w:val="004223DE"/>
    <w:rsid w:val="00434489"/>
    <w:rsid w:val="00437085"/>
    <w:rsid w:val="00443880"/>
    <w:rsid w:val="00445607"/>
    <w:rsid w:val="004464F4"/>
    <w:rsid w:val="00471401"/>
    <w:rsid w:val="00473F31"/>
    <w:rsid w:val="0048263A"/>
    <w:rsid w:val="00487E5D"/>
    <w:rsid w:val="004A711F"/>
    <w:rsid w:val="004B199D"/>
    <w:rsid w:val="004B4690"/>
    <w:rsid w:val="004D5479"/>
    <w:rsid w:val="004E0A2D"/>
    <w:rsid w:val="004E206B"/>
    <w:rsid w:val="004E6DF7"/>
    <w:rsid w:val="004F0FBD"/>
    <w:rsid w:val="00505A47"/>
    <w:rsid w:val="00512FDA"/>
    <w:rsid w:val="00520DA0"/>
    <w:rsid w:val="005269A7"/>
    <w:rsid w:val="005269D7"/>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2977"/>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D8"/>
    <w:rsid w:val="00935C98"/>
    <w:rsid w:val="00946945"/>
    <w:rsid w:val="00951248"/>
    <w:rsid w:val="0095152F"/>
    <w:rsid w:val="00954C49"/>
    <w:rsid w:val="00955E37"/>
    <w:rsid w:val="00962656"/>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11E4"/>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0E4E"/>
    <w:rsid w:val="00B944D6"/>
    <w:rsid w:val="00B965DC"/>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4B0"/>
    <w:rsid w:val="00DC7CBA"/>
    <w:rsid w:val="00DD73B7"/>
    <w:rsid w:val="00DF28BC"/>
    <w:rsid w:val="00DF34B9"/>
    <w:rsid w:val="00E01053"/>
    <w:rsid w:val="00E0566E"/>
    <w:rsid w:val="00E07ACF"/>
    <w:rsid w:val="00E32CAD"/>
    <w:rsid w:val="00E331A1"/>
    <w:rsid w:val="00E33202"/>
    <w:rsid w:val="00E336A9"/>
    <w:rsid w:val="00E472B1"/>
    <w:rsid w:val="00E50624"/>
    <w:rsid w:val="00E568DF"/>
    <w:rsid w:val="00E64269"/>
    <w:rsid w:val="00E70975"/>
    <w:rsid w:val="00E82267"/>
    <w:rsid w:val="00E853CE"/>
    <w:rsid w:val="00E867B6"/>
    <w:rsid w:val="00EA010F"/>
    <w:rsid w:val="00ED1B63"/>
    <w:rsid w:val="00ED3C1F"/>
    <w:rsid w:val="00ED4085"/>
    <w:rsid w:val="00ED420E"/>
    <w:rsid w:val="00ED6FBE"/>
    <w:rsid w:val="00EE2F57"/>
    <w:rsid w:val="00EF4C34"/>
    <w:rsid w:val="00EF60EF"/>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132BF"/>
    <w:rsid w:val="034441BA"/>
    <w:rsid w:val="05673112"/>
    <w:rsid w:val="05674A63"/>
    <w:rsid w:val="05C3315A"/>
    <w:rsid w:val="06724640"/>
    <w:rsid w:val="07181283"/>
    <w:rsid w:val="073C7C53"/>
    <w:rsid w:val="08386072"/>
    <w:rsid w:val="0A2032A3"/>
    <w:rsid w:val="0E1924B1"/>
    <w:rsid w:val="0E690464"/>
    <w:rsid w:val="0F1A028E"/>
    <w:rsid w:val="103453C8"/>
    <w:rsid w:val="10C055FF"/>
    <w:rsid w:val="118107EC"/>
    <w:rsid w:val="12704F31"/>
    <w:rsid w:val="12EC6328"/>
    <w:rsid w:val="12F4307A"/>
    <w:rsid w:val="141F43DF"/>
    <w:rsid w:val="143F2545"/>
    <w:rsid w:val="16BB723D"/>
    <w:rsid w:val="1790205B"/>
    <w:rsid w:val="186C0A7C"/>
    <w:rsid w:val="1B4A1612"/>
    <w:rsid w:val="1B764AEA"/>
    <w:rsid w:val="1BA11812"/>
    <w:rsid w:val="1D155CEE"/>
    <w:rsid w:val="1DE860FE"/>
    <w:rsid w:val="1ED33FB6"/>
    <w:rsid w:val="240371BF"/>
    <w:rsid w:val="24375D00"/>
    <w:rsid w:val="25585D39"/>
    <w:rsid w:val="259D70CC"/>
    <w:rsid w:val="270829DB"/>
    <w:rsid w:val="29FD04D3"/>
    <w:rsid w:val="2B113A6F"/>
    <w:rsid w:val="2B8D29C0"/>
    <w:rsid w:val="2E225369"/>
    <w:rsid w:val="308342C6"/>
    <w:rsid w:val="317F3918"/>
    <w:rsid w:val="319F7F4E"/>
    <w:rsid w:val="34EC0DF6"/>
    <w:rsid w:val="35F63EB7"/>
    <w:rsid w:val="37F519B5"/>
    <w:rsid w:val="381C20F8"/>
    <w:rsid w:val="39AF49B2"/>
    <w:rsid w:val="3A7D0EBA"/>
    <w:rsid w:val="3DED2456"/>
    <w:rsid w:val="409332BE"/>
    <w:rsid w:val="41D87034"/>
    <w:rsid w:val="44AD4902"/>
    <w:rsid w:val="45C641DF"/>
    <w:rsid w:val="48904BC8"/>
    <w:rsid w:val="4B575C19"/>
    <w:rsid w:val="4DA150FB"/>
    <w:rsid w:val="4E557C94"/>
    <w:rsid w:val="4ECE2238"/>
    <w:rsid w:val="52F942DC"/>
    <w:rsid w:val="53264362"/>
    <w:rsid w:val="5463135D"/>
    <w:rsid w:val="54C1627F"/>
    <w:rsid w:val="56757125"/>
    <w:rsid w:val="59E63722"/>
    <w:rsid w:val="5A662370"/>
    <w:rsid w:val="5B5068D8"/>
    <w:rsid w:val="5D4A17CB"/>
    <w:rsid w:val="5DD72473"/>
    <w:rsid w:val="5EC904B7"/>
    <w:rsid w:val="5F9C3975"/>
    <w:rsid w:val="62132CF7"/>
    <w:rsid w:val="65276A93"/>
    <w:rsid w:val="653F4792"/>
    <w:rsid w:val="65D1744C"/>
    <w:rsid w:val="68430658"/>
    <w:rsid w:val="685F7470"/>
    <w:rsid w:val="69227D0C"/>
    <w:rsid w:val="6C4A05C8"/>
    <w:rsid w:val="6D54588F"/>
    <w:rsid w:val="6DAF6F69"/>
    <w:rsid w:val="6F4B1159"/>
    <w:rsid w:val="70967854"/>
    <w:rsid w:val="714E0847"/>
    <w:rsid w:val="723B28C3"/>
    <w:rsid w:val="72734D90"/>
    <w:rsid w:val="742B36B9"/>
    <w:rsid w:val="7BE565E1"/>
    <w:rsid w:val="7CE502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4"/>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25"/>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Layout w:type="fixed"/>
      <w:tblCellMar>
        <w:top w:w="0" w:type="dxa"/>
        <w:left w:w="108" w:type="dxa"/>
        <w:bottom w:w="0" w:type="dxa"/>
        <w:right w:w="108" w:type="dxa"/>
      </w:tblCellMar>
    </w:tblPr>
  </w:style>
  <w:style w:type="paragraph" w:styleId="5">
    <w:name w:val="toc 7"/>
    <w:basedOn w:val="1"/>
    <w:next w:val="1"/>
    <w:unhideWhenUsed/>
    <w:qFormat/>
    <w:uiPriority w:val="39"/>
    <w:pPr>
      <w:ind w:left="1260"/>
      <w:jc w:val="left"/>
    </w:pPr>
    <w:rPr>
      <w:rFonts w:asciiTheme="minorHAnsi" w:eastAsiaTheme="minorHAnsi"/>
      <w:sz w:val="18"/>
      <w:szCs w:val="18"/>
    </w:rPr>
  </w:style>
  <w:style w:type="paragraph" w:styleId="6">
    <w:name w:val="Body Text"/>
    <w:basedOn w:val="1"/>
    <w:link w:val="32"/>
    <w:qFormat/>
    <w:uiPriority w:val="99"/>
    <w:pPr>
      <w:spacing w:beforeLines="30"/>
    </w:pPr>
    <w:rPr>
      <w:rFonts w:ascii="仿宋_GB2312" w:eastAsia="仿宋_GB2312"/>
      <w:kern w:val="0"/>
      <w:sz w:val="24"/>
      <w:szCs w:val="20"/>
      <w:lang w:val="zh-CN" w:eastAsia="zh-CN"/>
    </w:rPr>
  </w:style>
  <w:style w:type="paragraph" w:styleId="7">
    <w:name w:val="toc 5"/>
    <w:basedOn w:val="1"/>
    <w:next w:val="1"/>
    <w:unhideWhenUsed/>
    <w:qFormat/>
    <w:uiPriority w:val="39"/>
    <w:pPr>
      <w:ind w:left="840"/>
      <w:jc w:val="left"/>
    </w:pPr>
    <w:rPr>
      <w:rFonts w:asciiTheme="minorHAnsi" w:eastAsiaTheme="minorHAnsi"/>
      <w:sz w:val="18"/>
      <w:szCs w:val="18"/>
    </w:rPr>
  </w:style>
  <w:style w:type="paragraph" w:styleId="8">
    <w:name w:val="toc 3"/>
    <w:basedOn w:val="1"/>
    <w:next w:val="1"/>
    <w:unhideWhenUsed/>
    <w:qFormat/>
    <w:uiPriority w:val="39"/>
    <w:pPr>
      <w:ind w:left="420"/>
      <w:jc w:val="left"/>
    </w:pPr>
    <w:rPr>
      <w:rFonts w:asciiTheme="minorHAnsi" w:eastAsiaTheme="minorHAnsi"/>
      <w:i/>
      <w:iCs/>
      <w:sz w:val="20"/>
      <w:szCs w:val="20"/>
    </w:rPr>
  </w:style>
  <w:style w:type="paragraph" w:styleId="9">
    <w:name w:val="toc 8"/>
    <w:basedOn w:val="1"/>
    <w:next w:val="1"/>
    <w:unhideWhenUsed/>
    <w:qFormat/>
    <w:uiPriority w:val="39"/>
    <w:pPr>
      <w:ind w:left="1470"/>
      <w:jc w:val="left"/>
    </w:pPr>
    <w:rPr>
      <w:rFonts w:asciiTheme="minorHAnsi" w:eastAsiaTheme="minorHAnsi"/>
      <w:sz w:val="18"/>
      <w:szCs w:val="18"/>
    </w:rPr>
  </w:style>
  <w:style w:type="paragraph" w:styleId="10">
    <w:name w:val="Balloon Text"/>
    <w:basedOn w:val="1"/>
    <w:link w:val="27"/>
    <w:semiHidden/>
    <w:unhideWhenUsed/>
    <w:qFormat/>
    <w:uiPriority w:val="99"/>
    <w:rPr>
      <w:sz w:val="18"/>
      <w:szCs w:val="18"/>
    </w:rPr>
  </w:style>
  <w:style w:type="paragraph" w:styleId="11">
    <w:name w:val="footer"/>
    <w:basedOn w:val="1"/>
    <w:link w:val="31"/>
    <w:qFormat/>
    <w:uiPriority w:val="99"/>
    <w:pPr>
      <w:tabs>
        <w:tab w:val="center" w:pos="4153"/>
        <w:tab w:val="right" w:pos="8306"/>
      </w:tabs>
      <w:snapToGrid w:val="0"/>
      <w:jc w:val="left"/>
    </w:pPr>
    <w:rPr>
      <w:rFonts w:ascii="Calibri" w:hAnsi="Calibri"/>
      <w:kern w:val="0"/>
      <w:sz w:val="18"/>
      <w:szCs w:val="20"/>
      <w:lang w:val="zh-CN" w:eastAsia="zh-CN"/>
    </w:rPr>
  </w:style>
  <w:style w:type="paragraph" w:styleId="12">
    <w:name w:val="header"/>
    <w:basedOn w:val="1"/>
    <w:link w:val="30"/>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eastAsia="zh-CN"/>
    </w:rPr>
  </w:style>
  <w:style w:type="paragraph" w:styleId="13">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4">
    <w:name w:val="toc 4"/>
    <w:basedOn w:val="1"/>
    <w:next w:val="1"/>
    <w:unhideWhenUsed/>
    <w:qFormat/>
    <w:uiPriority w:val="39"/>
    <w:pPr>
      <w:ind w:left="630"/>
      <w:jc w:val="left"/>
    </w:pPr>
    <w:rPr>
      <w:rFonts w:asciiTheme="minorHAnsi" w:eastAsiaTheme="minorHAnsi"/>
      <w:sz w:val="18"/>
      <w:szCs w:val="18"/>
    </w:rPr>
  </w:style>
  <w:style w:type="paragraph" w:styleId="15">
    <w:name w:val="toc 6"/>
    <w:basedOn w:val="1"/>
    <w:next w:val="1"/>
    <w:unhideWhenUsed/>
    <w:qFormat/>
    <w:uiPriority w:val="39"/>
    <w:pPr>
      <w:ind w:left="1050"/>
      <w:jc w:val="left"/>
    </w:pPr>
    <w:rPr>
      <w:rFonts w:asciiTheme="minorHAnsi" w:eastAsiaTheme="minorHAnsi"/>
      <w:sz w:val="18"/>
      <w:szCs w:val="18"/>
    </w:rPr>
  </w:style>
  <w:style w:type="paragraph" w:styleId="16">
    <w:name w:val="toc 2"/>
    <w:basedOn w:val="1"/>
    <w:next w:val="1"/>
    <w:unhideWhenUsed/>
    <w:qFormat/>
    <w:uiPriority w:val="39"/>
    <w:pPr>
      <w:ind w:left="210"/>
      <w:jc w:val="left"/>
    </w:pPr>
    <w:rPr>
      <w:rFonts w:asciiTheme="minorHAnsi" w:eastAsiaTheme="minorHAnsi"/>
      <w:smallCaps/>
      <w:sz w:val="20"/>
      <w:szCs w:val="20"/>
    </w:rPr>
  </w:style>
  <w:style w:type="paragraph" w:styleId="17">
    <w:name w:val="toc 9"/>
    <w:basedOn w:val="1"/>
    <w:next w:val="1"/>
    <w:unhideWhenUsed/>
    <w:qFormat/>
    <w:uiPriority w:val="39"/>
    <w:pPr>
      <w:ind w:left="1680"/>
      <w:jc w:val="left"/>
    </w:pPr>
    <w:rPr>
      <w:rFonts w:asciiTheme="minorHAnsi" w:eastAsiaTheme="minorHAnsi"/>
      <w:sz w:val="18"/>
      <w:szCs w:val="18"/>
    </w:rPr>
  </w:style>
  <w:style w:type="paragraph" w:styleId="1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21">
    <w:name w:val="Strong"/>
    <w:basedOn w:val="20"/>
    <w:qFormat/>
    <w:uiPriority w:val="99"/>
    <w:rPr>
      <w:rFonts w:cs="Times New Roman"/>
      <w:b/>
    </w:rPr>
  </w:style>
  <w:style w:type="character" w:styleId="22">
    <w:name w:val="Hyperlink"/>
    <w:basedOn w:val="20"/>
    <w:unhideWhenUsed/>
    <w:qFormat/>
    <w:uiPriority w:val="99"/>
    <w:rPr>
      <w:rFonts w:cs="Times New Roman"/>
      <w:color w:val="0000FF"/>
      <w:u w:val="single"/>
    </w:rPr>
  </w:style>
  <w:style w:type="character" w:customStyle="1" w:styleId="23">
    <w:name w:val="标题 1 字符"/>
    <w:basedOn w:val="20"/>
    <w:link w:val="2"/>
    <w:qFormat/>
    <w:locked/>
    <w:uiPriority w:val="9"/>
    <w:rPr>
      <w:rFonts w:ascii="Times New Roman" w:hAnsi="Times New Roman" w:cs="Times New Roman"/>
      <w:b/>
      <w:bCs/>
      <w:kern w:val="44"/>
      <w:sz w:val="44"/>
      <w:szCs w:val="44"/>
    </w:rPr>
  </w:style>
  <w:style w:type="character" w:customStyle="1" w:styleId="24">
    <w:name w:val="标题 2 字符"/>
    <w:basedOn w:val="20"/>
    <w:link w:val="3"/>
    <w:qFormat/>
    <w:locked/>
    <w:uiPriority w:val="9"/>
    <w:rPr>
      <w:rFonts w:ascii="Cambria" w:hAnsi="Cambria" w:eastAsia="宋体" w:cs="Times New Roman"/>
      <w:b/>
      <w:bCs/>
      <w:kern w:val="2"/>
      <w:sz w:val="32"/>
      <w:szCs w:val="32"/>
    </w:rPr>
  </w:style>
  <w:style w:type="character" w:customStyle="1" w:styleId="25">
    <w:name w:val="标题 3 字符"/>
    <w:basedOn w:val="20"/>
    <w:link w:val="4"/>
    <w:qFormat/>
    <w:locked/>
    <w:uiPriority w:val="9"/>
    <w:rPr>
      <w:rFonts w:ascii="Times New Roman" w:hAnsi="Times New Roman" w:cs="Times New Roman"/>
      <w:b/>
      <w:bCs/>
      <w:kern w:val="2"/>
      <w:sz w:val="32"/>
      <w:szCs w:val="32"/>
    </w:rPr>
  </w:style>
  <w:style w:type="character" w:customStyle="1" w:styleId="26">
    <w:name w:val="Body Text Char"/>
    <w:basedOn w:val="20"/>
    <w:semiHidden/>
    <w:qFormat/>
    <w:uiPriority w:val="99"/>
    <w:rPr>
      <w:rFonts w:ascii="Times New Roman" w:hAnsi="Times New Roman" w:cs="Times New Roman"/>
      <w:sz w:val="24"/>
      <w:szCs w:val="24"/>
    </w:rPr>
  </w:style>
  <w:style w:type="character" w:customStyle="1" w:styleId="27">
    <w:name w:val="批注框文本 字符"/>
    <w:basedOn w:val="20"/>
    <w:link w:val="10"/>
    <w:semiHidden/>
    <w:qFormat/>
    <w:locked/>
    <w:uiPriority w:val="99"/>
    <w:rPr>
      <w:rFonts w:ascii="Times New Roman" w:hAnsi="Times New Roman" w:cs="Times New Roman"/>
      <w:kern w:val="2"/>
      <w:sz w:val="18"/>
      <w:szCs w:val="18"/>
    </w:rPr>
  </w:style>
  <w:style w:type="character" w:customStyle="1" w:styleId="28">
    <w:name w:val="Footer Char"/>
    <w:basedOn w:val="20"/>
    <w:semiHidden/>
    <w:qFormat/>
    <w:uiPriority w:val="99"/>
    <w:rPr>
      <w:rFonts w:ascii="Times New Roman" w:hAnsi="Times New Roman" w:cs="Times New Roman"/>
      <w:sz w:val="18"/>
      <w:szCs w:val="18"/>
    </w:rPr>
  </w:style>
  <w:style w:type="character" w:customStyle="1" w:styleId="29">
    <w:name w:val="Header Char"/>
    <w:basedOn w:val="20"/>
    <w:semiHidden/>
    <w:qFormat/>
    <w:uiPriority w:val="99"/>
    <w:rPr>
      <w:rFonts w:ascii="Times New Roman" w:hAnsi="Times New Roman" w:cs="Times New Roman"/>
      <w:sz w:val="18"/>
      <w:szCs w:val="18"/>
    </w:rPr>
  </w:style>
  <w:style w:type="character" w:customStyle="1" w:styleId="30">
    <w:name w:val="页眉 字符"/>
    <w:link w:val="12"/>
    <w:semiHidden/>
    <w:qFormat/>
    <w:locked/>
    <w:uiPriority w:val="99"/>
    <w:rPr>
      <w:sz w:val="18"/>
    </w:rPr>
  </w:style>
  <w:style w:type="character" w:customStyle="1" w:styleId="31">
    <w:name w:val="页脚 字符"/>
    <w:link w:val="11"/>
    <w:qFormat/>
    <w:locked/>
    <w:uiPriority w:val="99"/>
    <w:rPr>
      <w:sz w:val="18"/>
    </w:rPr>
  </w:style>
  <w:style w:type="character" w:customStyle="1" w:styleId="32">
    <w:name w:val="正文文本 字符"/>
    <w:link w:val="6"/>
    <w:qFormat/>
    <w:locked/>
    <w:uiPriority w:val="99"/>
    <w:rPr>
      <w:rFonts w:ascii="仿宋_GB2312" w:hAnsi="Times New Roman" w:eastAsia="仿宋_GB2312"/>
      <w:sz w:val="24"/>
    </w:rPr>
  </w:style>
  <w:style w:type="paragraph" w:customStyle="1" w:styleId="3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4">
    <w:name w:val="列表段落1"/>
    <w:basedOn w:val="1"/>
    <w:qFormat/>
    <w:uiPriority w:val="34"/>
    <w:pPr>
      <w:ind w:firstLine="420" w:firstLineChars="200"/>
    </w:pPr>
  </w:style>
  <w:style w:type="paragraph" w:customStyle="1" w:styleId="35">
    <w:name w:val="TOC 标题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6">
    <w:name w:val="TOC Heading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7">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styleId="3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20</a:t>
            </a:r>
            <a:r>
              <a:rPr lang="en-US" altLang="zh-CN"/>
              <a:t>24</a:t>
            </a:r>
            <a:r>
              <a:t>-202</a:t>
            </a:r>
            <a:r>
              <a:rPr lang="en-US" altLang="zh-CN"/>
              <a:t>5</a:t>
            </a:r>
            <a:r>
              <a:t>年收入支出总体情况表</a:t>
            </a:r>
          </a:p>
        </c:rich>
      </c:tx>
      <c:layout/>
      <c:overlay val="0"/>
      <c:spPr>
        <a:noFill/>
        <a:ln>
          <a:noFill/>
        </a:ln>
        <a:effectLst/>
      </c:spPr>
    </c:title>
    <c:autoTitleDeleted val="0"/>
    <c:plotArea>
      <c:layout>
        <c:manualLayout>
          <c:layoutTarget val="inner"/>
          <c:xMode val="edge"/>
          <c:yMode val="edge"/>
          <c:x val="0.066825"/>
          <c:y val="0.199333333333333"/>
          <c:w val="0.9018"/>
          <c:h val="0.707066666666667"/>
        </c:manualLayout>
      </c:layout>
      <c:barChart>
        <c:barDir val="col"/>
        <c:grouping val="clustered"/>
        <c:varyColors val="0"/>
        <c:ser>
          <c:idx val="0"/>
          <c:order val="0"/>
          <c:tx>
            <c:strRef>
              <c:f>Sheet1!$B$1</c:f>
              <c:strCache>
                <c:ptCount val="1"/>
                <c:pt idx="0">
                  <c:v>收入（万元）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c:v>
                </c:pt>
                <c:pt idx="1">
                  <c:v>2025年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459.51</c:v>
                </c:pt>
                <c:pt idx="1">
                  <c:v>196.96</c:v>
                </c:pt>
              </c:numCache>
            </c:numRef>
          </c:val>
        </c:ser>
        <c:ser>
          <c:idx val="1"/>
          <c:order val="1"/>
          <c:tx>
            <c:strRef>
              <c:f>Sheet1!$C$1</c:f>
              <c:strCache>
                <c:ptCount val="1"/>
                <c:pt idx="0">
                  <c:v>支出（万元）</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c:v>
                </c:pt>
                <c:pt idx="1">
                  <c:v>2025年</c:v>
                </c:pt>
              </c:strCache>
            </c:strRef>
          </c:cat>
          <c:val>
            <c:numRef>
              <c:extLst>
                <c:ext xmlns:c15="http://schemas.microsoft.com/office/drawing/2012/chart" uri="{02D57815-91ED-43cb-92C2-25804820EDAC}">
                  <c15:fullRef>
                    <c15:sqref>Sheet1!$C$2:$C$5</c15:sqref>
                  </c15:fullRef>
                </c:ext>
              </c:extLst>
              <c:f>Sheet1!$C$2:$C$3</c:f>
              <c:numCache>
                <c:formatCode>General</c:formatCode>
                <c:ptCount val="2"/>
                <c:pt idx="0">
                  <c:v>459.51</c:v>
                </c:pt>
                <c:pt idx="1">
                  <c:v>196.96</c:v>
                </c:pt>
              </c:numCache>
            </c:numRef>
          </c:val>
        </c:ser>
        <c:dLbls>
          <c:showLegendKey val="0"/>
          <c:showVal val="1"/>
          <c:showCatName val="0"/>
          <c:showSerName val="0"/>
          <c:showPercent val="0"/>
          <c:showBubbleSize val="0"/>
        </c:dLbls>
        <c:gapWidth val="219"/>
        <c:overlap val="-27"/>
        <c:axId val="997938576"/>
        <c:axId val="684208793"/>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Sheet1!$A$2:$A$5</c15:sqref>
                        </c15:fullRef>
                        <c15:formulaRef>
                          <c15:sqref>Sheet1!$A$2:$A$3</c15:sqref>
                        </c15:formulaRef>
                      </c:ext>
                    </c:extLst>
                    <c:strCache>
                      <c:ptCount val="2"/>
                      <c:pt idx="0">
                        <c:v>2024年</c:v>
                      </c:pt>
                      <c:pt idx="1">
                        <c:v>2025年</c:v>
                      </c:pt>
                    </c:strCache>
                  </c:strRef>
                </c:cat>
              </c15:ser>
            </c15:filteredBarSeries>
          </c:ext>
        </c:extLst>
      </c:barChart>
      <c:catAx>
        <c:axId val="99793857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4208793"/>
        <c:crosses val="autoZero"/>
        <c:auto val="1"/>
        <c:lblAlgn val="ctr"/>
        <c:lblOffset val="100"/>
        <c:noMultiLvlLbl val="0"/>
      </c:catAx>
      <c:valAx>
        <c:axId val="684208793"/>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79385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财政拨款收入支出总体情况</a:t>
            </a:r>
          </a:p>
        </c:rich>
      </c:tx>
      <c:layout/>
      <c:overlay val="0"/>
      <c:spPr>
        <a:noFill/>
        <a:ln>
          <a:noFill/>
        </a:ln>
        <a:effectLst/>
      </c:spPr>
    </c:title>
    <c:autoTitleDeleted val="0"/>
    <c:plotArea>
      <c:layout>
        <c:manualLayout>
          <c:layoutTarget val="inner"/>
          <c:xMode val="edge"/>
          <c:yMode val="edge"/>
          <c:x val="0.029375"/>
          <c:y val="0.2"/>
          <c:w val="0.945"/>
          <c:h val="0.7169"/>
        </c:manualLayout>
      </c:layout>
      <c:barChart>
        <c:barDir val="col"/>
        <c:grouping val="clustered"/>
        <c:varyColors val="0"/>
        <c:ser>
          <c:idx val="0"/>
          <c:order val="0"/>
          <c:tx>
            <c:strRef>
              <c:f>Sheet1!$B$1</c:f>
              <c:strCache>
                <c:ptCount val="1"/>
                <c:pt idx="0">
                  <c:v>收入支出合计（万元）</c:v>
                </c:pt>
              </c:strCache>
            </c:strRef>
          </c:tx>
          <c:spPr>
            <a:solidFill>
              <a:schemeClr val="accent1"/>
            </a:solidFill>
            <a:ln>
              <a:noFill/>
            </a:ln>
            <a:effectLst/>
          </c:spPr>
          <c:invertIfNegative val="0"/>
          <c:dLbls>
            <c:dLbl>
              <c:idx val="1"/>
              <c:layout>
                <c:manualLayout>
                  <c:x val="0.001875"/>
                  <c:y val="0"/>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393.92</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15:layout>
                    <c:manualLayout>
                      <c:w val="0.089375"/>
                      <c:h val="0.049"/>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919.02</c:v>
                </c:pt>
                <c:pt idx="1">
                  <c:v>393.92</c:v>
                </c:pt>
              </c:numCache>
            </c:numRef>
          </c:val>
        </c:ser>
        <c:ser>
          <c:idx val="1"/>
          <c:order val="1"/>
          <c:tx>
            <c:strRef>
              <c:f>Sheet1!$C$1</c:f>
              <c:strCache>
                <c:ptCount val="1"/>
                <c:pt idx="0">
                  <c:v>收入（万元）</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Sheet1!$C$2:$C$3</c:f>
              <c:numCache>
                <c:formatCode>General</c:formatCode>
                <c:ptCount val="2"/>
                <c:pt idx="0">
                  <c:v>459.51</c:v>
                </c:pt>
                <c:pt idx="1">
                  <c:v>196.96</c:v>
                </c:pt>
              </c:numCache>
            </c:numRef>
          </c:val>
        </c:ser>
        <c:ser>
          <c:idx val="2"/>
          <c:order val="2"/>
          <c:tx>
            <c:strRef>
              <c:f>Sheet1!$D$1</c:f>
              <c:strCache>
                <c:ptCount val="1"/>
                <c:pt idx="0">
                  <c:v>支出（万元）</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Sheet1!$D$2:$D$3</c:f>
              <c:numCache>
                <c:formatCode>General</c:formatCode>
                <c:ptCount val="2"/>
                <c:pt idx="0">
                  <c:v>459.51</c:v>
                </c:pt>
                <c:pt idx="1">
                  <c:v>196.96</c:v>
                </c:pt>
              </c:numCache>
            </c:numRef>
          </c:val>
        </c:ser>
        <c:dLbls>
          <c:showLegendKey val="0"/>
          <c:showVal val="1"/>
          <c:showCatName val="0"/>
          <c:showSerName val="0"/>
          <c:showPercent val="0"/>
          <c:showBubbleSize val="0"/>
        </c:dLbls>
        <c:gapWidth val="150"/>
        <c:overlap val="-25"/>
        <c:axId val="289256350"/>
        <c:axId val="929003404"/>
      </c:barChart>
      <c:catAx>
        <c:axId val="289256350"/>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9003404"/>
        <c:crosses val="autoZero"/>
        <c:auto val="1"/>
        <c:lblAlgn val="ctr"/>
        <c:lblOffset val="100"/>
        <c:noMultiLvlLbl val="0"/>
      </c:catAx>
      <c:valAx>
        <c:axId val="929003404"/>
        <c:scaling>
          <c:orientation val="minMax"/>
        </c:scaling>
        <c:delete val="0"/>
        <c:axPos val="l"/>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9256350"/>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Sheet1!$B$2</c:f>
              <c:numCache>
                <c:formatCode>General</c:formatCode>
                <c:ptCount val="1"/>
                <c:pt idx="0">
                  <c:v>459.51</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196.96</c:v>
                </c:pt>
              </c:numCache>
            </c:numRef>
          </c:val>
        </c:ser>
        <c:dLbls>
          <c:showLegendKey val="0"/>
          <c:showVal val="1"/>
          <c:showCatName val="0"/>
          <c:showSerName val="0"/>
          <c:showPercent val="0"/>
          <c:showBubbleSize val="0"/>
        </c:dLbls>
        <c:gapWidth val="291"/>
        <c:overlap val="-90"/>
        <c:axId val="372253406"/>
        <c:axId val="318376349"/>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c15:sqref>
                        </c15:formulaRef>
                      </c:ext>
                    </c:extLst>
                    <c:strCache>
                      <c:ptCount val="1"/>
                      <c:pt idx="0">
                        <c:v>一般公共预算财政拨款支出</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372253406"/>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376349"/>
        <c:crosses val="autoZero"/>
        <c:auto val="1"/>
        <c:lblAlgn val="ctr"/>
        <c:lblOffset val="100"/>
        <c:noMultiLvlLbl val="0"/>
      </c:catAx>
      <c:valAx>
        <c:axId val="318376349"/>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225340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15875" cap="flat" cmpd="sng" algn="ctr">
      <a:solidFill>
        <a:schemeClr val="accent1">
          <a:alpha val="91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c:v>
                </c:pt>
                <c:pt idx="1">
                  <c:v>社会保障和就业</c:v>
                </c:pt>
                <c:pt idx="2">
                  <c:v>卫生健康支出</c:v>
                </c:pt>
                <c:pt idx="3">
                  <c:v>住房保障支出</c:v>
                </c:pt>
              </c:strCache>
            </c:strRef>
          </c:cat>
          <c:val>
            <c:numRef>
              <c:f>Sheet1!$B$2:$B$5</c:f>
              <c:numCache>
                <c:formatCode>General</c:formatCode>
                <c:ptCount val="4"/>
                <c:pt idx="0">
                  <c:v>159.11</c:v>
                </c:pt>
                <c:pt idx="1">
                  <c:v>19.62</c:v>
                </c:pt>
                <c:pt idx="2">
                  <c:v>7.39</c:v>
                </c:pt>
                <c:pt idx="3">
                  <c:v>10.83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2025</a:t>
            </a:r>
            <a:r>
              <a:rPr altLang="en-US"/>
              <a:t>年</a:t>
            </a:r>
            <a:r>
              <a:t>人员经费</a:t>
            </a:r>
          </a:p>
        </c:rich>
      </c:tx>
      <c:layout/>
      <c:overlay val="0"/>
      <c:spPr>
        <a:noFill/>
        <a:ln>
          <a:noFill/>
        </a:ln>
        <a:effectLst/>
      </c:spPr>
    </c:title>
    <c:autoTitleDeleted val="0"/>
    <c:plotArea>
      <c:layout/>
      <c:pieChart>
        <c:varyColors val="1"/>
        <c:ser>
          <c:idx val="0"/>
          <c:order val="0"/>
          <c:tx>
            <c:strRef>
              <c:f>Sheet1!$B$1</c:f>
              <c:strCache>
                <c:ptCount val="1"/>
                <c:pt idx="0">
                  <c:v>人员经费</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Pt>
            <c:idx val="8"/>
            <c:bubble3D val="0"/>
            <c:spPr>
              <a:solidFill>
                <a:schemeClr val="accent3">
                  <a:lumMod val="60000"/>
                </a:schemeClr>
              </a:solidFill>
              <a:ln w="19050">
                <a:solidFill>
                  <a:schemeClr val="lt1"/>
                </a:solidFill>
              </a:ln>
              <a:effectLst/>
            </c:spPr>
          </c:dPt>
          <c:dPt>
            <c:idx val="9"/>
            <c:bubble3D val="0"/>
            <c:spPr>
              <a:solidFill>
                <a:schemeClr val="accent3">
                  <a:lumMod val="60000"/>
                  <a:lumOff val="40000"/>
                </a:schemeClr>
              </a:solidFill>
              <a:ln w="19050">
                <a:solidFill>
                  <a:schemeClr val="lt1"/>
                </a:solidFill>
              </a:ln>
              <a:effectLst/>
            </c:spPr>
          </c:dPt>
          <c:dPt>
            <c:idx val="10"/>
            <c:bubble3D val="0"/>
            <c:spPr>
              <a:solidFill>
                <a:schemeClr val="accent5">
                  <a:lumMod val="60000"/>
                </a:schemeClr>
              </a:solidFill>
              <a:ln w="19050">
                <a:solidFill>
                  <a:schemeClr val="lt1"/>
                </a:solidFill>
              </a:ln>
              <a:effectLst/>
            </c:spPr>
          </c:dPt>
          <c:dLbls>
            <c:dLbl>
              <c:idx val="6"/>
              <c:layout>
                <c:manualLayout>
                  <c:x val="-0.010176428266554"/>
                  <c:y val="0.0154337251430637"/>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7"/>
              <c:layout>
                <c:manualLayout>
                  <c:x val="-0.0330679673568221"/>
                  <c:y val="0.00507826833758842"/>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8"/>
              <c:layout>
                <c:manualLayout>
                  <c:x val="0.022615080364808"/>
                  <c:y val="-0.0165664129102911"/>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基本工资（万元）</c:v>
                </c:pt>
                <c:pt idx="1">
                  <c:v>津贴补贴（万元）</c:v>
                </c:pt>
                <c:pt idx="2">
                  <c:v>奖金（万元）</c:v>
                </c:pt>
                <c:pt idx="3">
                  <c:v>绩效工资（万元）</c:v>
                </c:pt>
                <c:pt idx="4">
                  <c:v>机关事业单位基本养老保险缴费（万元）</c:v>
                </c:pt>
                <c:pt idx="5">
                  <c:v>职业年金缴费（万元）</c:v>
                </c:pt>
                <c:pt idx="6">
                  <c:v>职工基本医疗保险缴费（万元）</c:v>
                </c:pt>
                <c:pt idx="7">
                  <c:v>公务员医疗补助缴费（万元）</c:v>
                </c:pt>
                <c:pt idx="8">
                  <c:v>其他社会保障缴费（万元）</c:v>
                </c:pt>
                <c:pt idx="9">
                  <c:v>住房公积金（万元）</c:v>
                </c:pt>
                <c:pt idx="10">
                  <c:v>医疗费</c:v>
                </c:pt>
              </c:strCache>
            </c:strRef>
          </c:cat>
          <c:val>
            <c:numRef>
              <c:f>Sheet1!$B$2:$B$12</c:f>
              <c:numCache>
                <c:formatCode>General</c:formatCode>
                <c:ptCount val="11"/>
                <c:pt idx="0">
                  <c:v>29.46</c:v>
                </c:pt>
                <c:pt idx="1">
                  <c:v>11.51</c:v>
                </c:pt>
                <c:pt idx="2">
                  <c:v>32.97</c:v>
                </c:pt>
                <c:pt idx="3">
                  <c:v>13.78</c:v>
                </c:pt>
                <c:pt idx="4">
                  <c:v>13.08</c:v>
                </c:pt>
                <c:pt idx="5">
                  <c:v>6.54</c:v>
                </c:pt>
                <c:pt idx="6">
                  <c:v>6.22</c:v>
                </c:pt>
                <c:pt idx="7">
                  <c:v>1.17</c:v>
                </c:pt>
                <c:pt idx="8">
                  <c:v>0.64</c:v>
                </c:pt>
                <c:pt idx="9">
                  <c:v>10.83</c:v>
                </c:pt>
                <c:pt idx="10">
                  <c:v>1.06</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r"/>
      <c:layout>
        <c:manualLayout>
          <c:xMode val="edge"/>
          <c:yMode val="edge"/>
          <c:x val="0.655795401220085"/>
          <c:y val="0.0299421009098428"/>
          <c:w val="0.330126701079305"/>
          <c:h val="0.92969396195202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2024</a:t>
            </a:r>
            <a:r>
              <a:rPr altLang="en-US"/>
              <a:t>年</a:t>
            </a:r>
            <a:r>
              <a:t>日常公用经费</a:t>
            </a:r>
          </a:p>
        </c:rich>
      </c:tx>
      <c:layout>
        <c:manualLayout>
          <c:xMode val="edge"/>
          <c:yMode val="edge"/>
          <c:x val="0.341589732042333"/>
          <c:y val="0.00549006943323107"/>
        </c:manualLayout>
      </c:layout>
      <c:overlay val="0"/>
      <c:spPr>
        <a:noFill/>
        <a:ln>
          <a:noFill/>
        </a:ln>
        <a:effectLst/>
      </c:spPr>
    </c:title>
    <c:autoTitleDeleted val="0"/>
    <c:plotArea>
      <c:layout>
        <c:manualLayout>
          <c:layoutTarget val="inner"/>
          <c:xMode val="edge"/>
          <c:yMode val="edge"/>
          <c:x val="0.101044809727539"/>
          <c:y val="0.169139350880026"/>
          <c:w val="0.515991893717631"/>
          <c:h val="0.740035523978686"/>
        </c:manualLayout>
      </c:layout>
      <c:pieChart>
        <c:varyColors val="1"/>
        <c:ser>
          <c:idx val="0"/>
          <c:order val="0"/>
          <c:tx>
            <c:strRef>
              <c:f>Sheet1!$B$1</c:f>
              <c:strCache>
                <c:ptCount val="1"/>
                <c:pt idx="0">
                  <c:v>日常公用经费</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dLbl>
              <c:idx val="0"/>
              <c:layout>
                <c:manualLayout>
                  <c:x val="-0.00245038100132107"/>
                  <c:y val="-0.0360856694088886"/>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278377263013126"/>
                  <c:y val="0.0746828542002624"/>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252397885106129"/>
                  <c:y val="-0.0293178274225337"/>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211180108790104"/>
                  <c:y val="0.012293652983786"/>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5"/>
              <c:layout>
                <c:manualLayout>
                  <c:x val="-0.08142922219871"/>
                  <c:y val="0.0467862591870503"/>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6"/>
              <c:layout>
                <c:manualLayout>
                  <c:x val="-0.091193710850845"/>
                  <c:y val="-0.00341420107465378"/>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办公费(万元)</c:v>
                </c:pt>
                <c:pt idx="1">
                  <c:v>水费（万元）</c:v>
                </c:pt>
                <c:pt idx="2">
                  <c:v>邮电费(万元)</c:v>
                </c:pt>
                <c:pt idx="3">
                  <c:v>邮电费(万元)</c:v>
                </c:pt>
                <c:pt idx="4">
                  <c:v>差旅费(万元)</c:v>
                </c:pt>
                <c:pt idx="5">
                  <c:v>公务接待费</c:v>
                </c:pt>
                <c:pt idx="6">
                  <c:v> 其他交通费用</c:v>
                </c:pt>
                <c:pt idx="7">
                  <c:v>其他商品服务支出</c:v>
                </c:pt>
              </c:strCache>
            </c:strRef>
          </c:cat>
          <c:val>
            <c:numRef>
              <c:f>Sheet1!$B$2:$B$9</c:f>
              <c:numCache>
                <c:formatCode>General</c:formatCode>
                <c:ptCount val="8"/>
                <c:pt idx="0">
                  <c:v>1.31</c:v>
                </c:pt>
                <c:pt idx="1">
                  <c:v>0.05</c:v>
                </c:pt>
                <c:pt idx="2">
                  <c:v>0.18</c:v>
                </c:pt>
                <c:pt idx="3">
                  <c:v>0.6</c:v>
                </c:pt>
                <c:pt idx="4">
                  <c:v>4.19</c:v>
                </c:pt>
                <c:pt idx="5">
                  <c:v>37.31</c:v>
                </c:pt>
                <c:pt idx="6">
                  <c:v>4.62</c:v>
                </c:pt>
                <c:pt idx="7">
                  <c:v>1.22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728214366133754"/>
          <c:y val="0.248183432908122"/>
          <c:w val="0.268408016212565"/>
          <c:h val="0.42386565477151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a:t>
            </a:r>
            <a:r>
              <a:t>三公</a:t>
            </a:r>
            <a:r>
              <a:rPr lang="en-US" altLang="zh-CN"/>
              <a:t>”</a:t>
            </a:r>
            <a:r>
              <a:t>经财政拨款支出</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公务接待费（万元）</c:v>
                </c:pt>
              </c:strCache>
            </c:strRef>
          </c:cat>
          <c:val>
            <c:numRef>
              <c:f>Sheet1!$B$2</c:f>
              <c:numCache>
                <c:formatCode>General</c:formatCode>
                <c:ptCount val="1"/>
                <c:pt idx="0">
                  <c:v>37.31</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9CAE55-CD1B-4B4A-B759-66D9AAD6058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23</Pages>
  <Words>6220</Words>
  <Characters>6960</Characters>
  <Lines>74</Lines>
  <Paragraphs>21</Paragraphs>
  <TotalTime>0</TotalTime>
  <ScaleCrop>false</ScaleCrop>
  <LinksUpToDate>false</LinksUpToDate>
  <CharactersWithSpaces>7014</CharactersWithSpaces>
  <Application>WPS Office_11.1.0.8515_F1E327BC-269C-435d-A152-05C5408002CA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2021-08-06T09:38:00Z</dcterms:created>
  <dc:creator>曹颖</dc:creator>
  <cp:lastModifiedBy>PCPC</cp:lastModifiedBy>
  <cp:lastPrinted>2023-09-14T09:48:00Z</cp:lastPrinted>
  <dcterms:modified xsi:type="dcterms:W3CDTF">2026-10-16T03:08:20Z</dcterms:modified>
  <dc:title>阿坝州部门决算说明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2052-11.1.0.8515</vt:lpwstr>
  </property>
  <property fmtid="{D5CDD505-2E9C-101B-9397-08002B2CF9AE}" pid="3" name="ICV">
    <vt:lpwstr>C698AA87905C47A993C7C782B77A9E5E</vt:lpwstr>
  </property>
  <property fmtid="{D5CDD505-2E9C-101B-9397-08002B2CF9AE}" pid="4" name="KSOTemplateDocerSaveRecord">
    <vt:lpwstr>eyJoZGlkIjoiZTc5NGVkOGJkOTBjNDg3YTZiMGM2ODEzOWJiNmQ2OGMiLCJ1c2VySWQiOiI4MzMyMTA5MTEifQ==</vt:lpwstr>
  </property>
</Properties>
</file>