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2025年度四川省小金县人民代表大会常务委员会部门决算</w:t>
      </w:r>
    </w:p>
    <w:p>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(部门公开范本)</w:t>
      </w:r>
      <w:r>
        <w:br w:type="page"/>
      </w:r>
    </w:p>
    <w:p>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pPr>
        <w:widowControl/>
        <w:jc w:val="center"/>
        <w:rPr>
          <w:rFonts w:ascii="黑体" w:hAnsi="黑体" w:eastAsia="黑体" w:cs="Times New Roman"/>
          <w:color w:val="000000"/>
          <w:sz w:val="28"/>
          <w:szCs w:val="28"/>
          <w:highlight w:val="none"/>
        </w:rPr>
      </w:pPr>
    </w:p>
    <w:p>
      <w:pPr>
        <w:pStyle w:val="11"/>
        <w:rPr>
          <w:color w:val="000000"/>
          <w:highlight w:val="none"/>
        </w:rPr>
      </w:pPr>
      <w:r>
        <w:rPr>
          <w:color w:val="000000"/>
        </w:rPr>
        <w:t>公开时间：2026年10月</w:t>
      </w:r>
      <w:r>
        <w:rPr>
          <w:rFonts w:hint="eastAsia"/>
          <w:color w:val="000000"/>
          <w:lang w:val="en-US" w:eastAsia="zh-CN"/>
        </w:rPr>
        <w:t>16</w:t>
      </w:r>
      <w:r>
        <w:rPr>
          <w:color w:val="000000"/>
        </w:rPr>
        <w:t>日</w:t>
      </w:r>
    </w:p>
    <w:p>
      <w:pPr>
        <w:rPr>
          <w:color w:val="000000"/>
          <w:highlight w:val="none"/>
        </w:rPr>
      </w:pPr>
    </w:p>
    <w:p>
      <w:pPr>
        <w:pStyle w:val="11"/>
        <w:snapToGrid w:val="0"/>
        <w:spacing w:before="0" w:after="0" w:line="440" w:lineRule="exact"/>
        <w:jc w:val="left"/>
        <w:rPr>
          <w:rFonts w:cs="Times New Roman"/>
          <w:color w:val="000000"/>
          <w:sz w:val="24"/>
          <w:szCs w:val="24"/>
          <w:highlight w:val="none"/>
        </w:rPr>
      </w:pPr>
      <w:r>
        <w:rPr>
          <w:color w:val="000000"/>
          <w:sz w:val="24"/>
        </w:rPr>
        <w:t>第一部分 部门概况</w:t>
      </w:r>
    </w:p>
    <w:p>
      <w:pPr>
        <w:pStyle w:val="14"/>
        <w:snapToGrid w:val="0"/>
        <w:spacing w:line="440" w:lineRule="exact"/>
        <w:jc w:val="left"/>
        <w:rPr>
          <w:rFonts w:hint="default" w:ascii="仿宋" w:hAnsi="仿宋" w:eastAsia="仿宋" w:cs="仿宋"/>
          <w:color w:val="000000"/>
          <w:sz w:val="24"/>
          <w:highlight w:val="none"/>
          <w:lang w:val="en-US"/>
        </w:rPr>
      </w:pPr>
      <w:r>
        <w:rPr>
          <w:color w:val="000000"/>
          <w:sz w:val="24"/>
        </w:rPr>
        <w:t>一、</w:t>
      </w:r>
      <w:r>
        <w:rPr>
          <w:color w:val="000000"/>
          <w:sz w:val="24"/>
          <w:lang w:eastAsia="zh-CN"/>
        </w:rPr>
        <w:t>部门职责</w:t>
      </w:r>
      <w:r>
        <w:rPr>
          <w:rFonts w:hint="eastAsia"/>
          <w:color w:val="000000"/>
          <w:sz w:val="24"/>
          <w:lang w:val="en-US" w:eastAsia="zh-CN"/>
        </w:rPr>
        <w:t>........................................................................................................4</w:t>
      </w:r>
    </w:p>
    <w:p>
      <w:pPr>
        <w:pStyle w:val="14"/>
        <w:snapToGrid w:val="0"/>
        <w:spacing w:line="440" w:lineRule="exact"/>
        <w:jc w:val="left"/>
        <w:rPr>
          <w:rFonts w:hint="default"/>
          <w:color w:val="000000"/>
          <w:sz w:val="24"/>
          <w:szCs w:val="24"/>
          <w:highlight w:val="none"/>
          <w:lang w:val="en-US"/>
        </w:rPr>
      </w:pPr>
      <w:r>
        <w:rPr>
          <w:color w:val="000000"/>
          <w:sz w:val="24"/>
        </w:rPr>
        <w:t>二、机构设置</w:t>
      </w:r>
      <w:r>
        <w:rPr>
          <w:rFonts w:hint="eastAsia"/>
          <w:color w:val="000000"/>
          <w:sz w:val="24"/>
          <w:lang w:val="en-US" w:eastAsia="zh-CN"/>
        </w:rPr>
        <w:t>........................................................................................................5</w:t>
      </w:r>
      <w:r>
        <w:rPr>
          <w:color w:val="000000"/>
          <w:sz w:val="24"/>
        </w:rPr>
        <w:t>第二部分 2025年度部门决算情况说明</w:t>
      </w:r>
      <w:r>
        <w:rPr>
          <w:rFonts w:hint="eastAsia"/>
          <w:color w:val="000000"/>
          <w:sz w:val="24"/>
          <w:lang w:val="en-US" w:eastAsia="zh-CN"/>
        </w:rPr>
        <w:t>..............................................................6</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一、收入支出决算总体情况说明</w:t>
      </w:r>
      <w:r>
        <w:rPr>
          <w:rFonts w:hint="eastAsia"/>
          <w:color w:val="000000"/>
          <w:sz w:val="24"/>
          <w:lang w:val="en-US" w:eastAsia="zh-CN"/>
        </w:rPr>
        <w:t>........................................................................6</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二、收入决算情况说明</w:t>
      </w:r>
      <w:r>
        <w:rPr>
          <w:rFonts w:hint="eastAsia"/>
          <w:color w:val="000000"/>
          <w:sz w:val="24"/>
          <w:lang w:val="en-US" w:eastAsia="zh-CN"/>
        </w:rPr>
        <w:t>.......................................................................................6</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三、支出决算情况说明</w:t>
      </w:r>
      <w:r>
        <w:rPr>
          <w:rFonts w:hint="eastAsia"/>
          <w:color w:val="000000"/>
          <w:sz w:val="24"/>
          <w:lang w:val="en-US" w:eastAsia="zh-CN"/>
        </w:rPr>
        <w:t>......................................................................................8</w:t>
      </w:r>
    </w:p>
    <w:p>
      <w:pPr>
        <w:pStyle w:val="14"/>
        <w:snapToGrid w:val="0"/>
        <w:spacing w:line="440" w:lineRule="exact"/>
        <w:jc w:val="left"/>
        <w:rPr>
          <w:rFonts w:hint="default"/>
          <w:lang w:val="en-US"/>
        </w:rPr>
      </w:pPr>
      <w:r>
        <w:rPr>
          <w:color w:val="000000"/>
          <w:sz w:val="24"/>
        </w:rPr>
        <w:t>四、财政拨款收入支出决算总体情况说明</w:t>
      </w:r>
      <w:r>
        <w:rPr>
          <w:rFonts w:hint="eastAsia"/>
          <w:color w:val="000000"/>
          <w:sz w:val="24"/>
          <w:lang w:val="en-US" w:eastAsia="zh-CN"/>
        </w:rPr>
        <w:t>.......................................................8</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五、一般公共预算财政拨款支出决算情况说明</w:t>
      </w:r>
      <w:r>
        <w:rPr>
          <w:rFonts w:hint="eastAsia"/>
          <w:color w:val="000000"/>
          <w:sz w:val="24"/>
          <w:lang w:val="en-US" w:eastAsia="zh-CN"/>
        </w:rPr>
        <w:t>..............................................11</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六、一般公共预算财政拨款基本支出决算情况说明</w:t>
      </w:r>
      <w:r>
        <w:rPr>
          <w:rFonts w:hint="eastAsia"/>
          <w:color w:val="000000"/>
          <w:sz w:val="24"/>
          <w:lang w:val="en-US" w:eastAsia="zh-CN"/>
        </w:rPr>
        <w:t>......................................12</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七、财政拨款</w:t>
      </w:r>
      <w:r>
        <w:rPr>
          <w:color w:val="000000"/>
          <w:sz w:val="24"/>
          <w:lang w:eastAsia="zh-CN"/>
        </w:rPr>
        <w:t>“</w:t>
      </w:r>
      <w:r>
        <w:rPr>
          <w:color w:val="000000"/>
          <w:sz w:val="24"/>
        </w:rPr>
        <w:t>三公”经费支出决算情况说明</w:t>
      </w:r>
      <w:r>
        <w:rPr>
          <w:rFonts w:hint="eastAsia"/>
          <w:color w:val="000000"/>
          <w:sz w:val="24"/>
          <w:lang w:val="en-US" w:eastAsia="zh-CN"/>
        </w:rPr>
        <w:t>...................................................14</w:t>
      </w:r>
    </w:p>
    <w:p>
      <w:pPr>
        <w:pStyle w:val="14"/>
        <w:snapToGrid w:val="0"/>
        <w:spacing w:line="440" w:lineRule="exact"/>
        <w:jc w:val="left"/>
        <w:rPr>
          <w:rFonts w:hint="default" w:ascii="仿宋" w:hAnsi="仿宋" w:eastAsia="仿宋" w:cs="Times New Roman"/>
          <w:color w:val="000000"/>
          <w:sz w:val="24"/>
          <w:highlight w:val="none"/>
          <w:lang w:val="en-US"/>
        </w:rPr>
      </w:pPr>
      <w:r>
        <w:rPr>
          <w:color w:val="000000"/>
          <w:sz w:val="24"/>
        </w:rPr>
        <w:t>八、政府性基金预算支出决算情况说明</w:t>
      </w:r>
      <w:r>
        <w:rPr>
          <w:rFonts w:hint="eastAsia"/>
          <w:color w:val="000000"/>
          <w:sz w:val="24"/>
          <w:lang w:val="en-US" w:eastAsia="zh-CN"/>
        </w:rPr>
        <w:t>..........................................................14</w:t>
      </w:r>
    </w:p>
    <w:p>
      <w:pPr>
        <w:pStyle w:val="14"/>
        <w:snapToGrid w:val="0"/>
        <w:spacing w:line="440" w:lineRule="exact"/>
        <w:jc w:val="left"/>
        <w:rPr>
          <w:rFonts w:hint="default" w:ascii="宋体" w:hAnsi="宋体" w:eastAsia="宋体" w:cs="宋体"/>
          <w:color w:val="000000"/>
          <w:sz w:val="24"/>
          <w:highlight w:val="none"/>
          <w:lang w:val="en-US"/>
        </w:rPr>
      </w:pPr>
      <w:r>
        <w:rPr>
          <w:rFonts w:ascii="宋体" w:hAnsi="宋体" w:cs="宋体"/>
          <w:color w:val="000000"/>
          <w:sz w:val="24"/>
        </w:rPr>
        <w:t>九、</w:t>
      </w:r>
      <w:r>
        <w:rPr>
          <w:rFonts w:ascii="宋体" w:hAnsi="宋体" w:cs="宋体"/>
          <w:color w:val="000000"/>
          <w:sz w:val="24"/>
          <w:lang w:eastAsia="zh-CN"/>
        </w:rPr>
        <w:t>国</w:t>
      </w:r>
      <w:r>
        <w:rPr>
          <w:rFonts w:ascii="宋体" w:hAnsi="宋体" w:cs="宋体"/>
          <w:color w:val="000000"/>
          <w:sz w:val="24"/>
        </w:rPr>
        <w:t>有资本经营预算支出决算情况说明</w:t>
      </w:r>
      <w:r>
        <w:rPr>
          <w:rFonts w:hint="eastAsia"/>
          <w:color w:val="000000"/>
          <w:sz w:val="24"/>
          <w:lang w:val="en-US" w:eastAsia="zh-CN"/>
        </w:rPr>
        <w:t>......................................................15</w:t>
      </w:r>
    </w:p>
    <w:p>
      <w:pPr>
        <w:pStyle w:val="14"/>
        <w:snapToGrid w:val="0"/>
        <w:spacing w:line="440" w:lineRule="exact"/>
        <w:jc w:val="left"/>
        <w:rPr>
          <w:rFonts w:hint="default" w:ascii="宋体" w:hAnsi="宋体" w:eastAsia="宋体" w:cs="宋体"/>
          <w:color w:val="000000"/>
          <w:sz w:val="24"/>
          <w:highlight w:val="none"/>
          <w:lang w:val="en-US"/>
        </w:rPr>
      </w:pPr>
      <w:r>
        <w:rPr>
          <w:rStyle w:val="19"/>
          <w:rFonts w:ascii="宋体" w:hAnsi="宋体" w:cs="宋体"/>
          <w:color w:val="000000"/>
          <w:sz w:val="24"/>
          <w:u w:val="none"/>
          <w:lang w:eastAsia="zh-CN"/>
        </w:rPr>
        <w:t>十</w:t>
      </w:r>
      <w:r>
        <w:rPr>
          <w:rStyle w:val="19"/>
          <w:rFonts w:ascii="宋体" w:hAnsi="宋体" w:cs="宋体"/>
          <w:color w:val="000000"/>
          <w:sz w:val="24"/>
          <w:u w:val="none"/>
        </w:rPr>
        <w:t>、</w:t>
      </w:r>
      <w:r>
        <w:rPr>
          <w:rFonts w:ascii="宋体" w:hAnsi="宋体" w:cs="宋体"/>
          <w:color w:val="000000"/>
          <w:sz w:val="24"/>
        </w:rPr>
        <w:t>其他重要事项的情况说明</w:t>
      </w:r>
      <w:r>
        <w:rPr>
          <w:rFonts w:ascii="宋体" w:hAnsi="宋体" w:eastAsia="宋体" w:cs="宋体"/>
          <w:color w:val="000000"/>
          <w:sz w:val="24"/>
        </w:rPr>
        <w:tab/>
      </w:r>
      <w:r>
        <w:rPr>
          <w:rFonts w:hint="eastAsia"/>
          <w:color w:val="000000"/>
          <w:sz w:val="24"/>
          <w:lang w:val="en-US" w:eastAsia="zh-CN"/>
        </w:rPr>
        <w:t>..............................................................15</w:t>
      </w:r>
    </w:p>
    <w:p>
      <w:pPr>
        <w:pStyle w:val="14"/>
        <w:snapToGrid w:val="0"/>
        <w:spacing w:line="440" w:lineRule="exact"/>
        <w:jc w:val="left"/>
        <w:rPr>
          <w:rFonts w:hint="default" w:cs="Times New Roman"/>
          <w:color w:val="000000"/>
          <w:sz w:val="24"/>
          <w:szCs w:val="24"/>
          <w:highlight w:val="none"/>
          <w:lang w:val="en-US"/>
        </w:rPr>
      </w:pPr>
      <w:r>
        <w:rPr>
          <w:color w:val="000000"/>
          <w:sz w:val="24"/>
        </w:rPr>
        <w:t>第三部分 名词解释</w:t>
      </w:r>
      <w:r>
        <w:rPr>
          <w:rFonts w:hint="eastAsia"/>
          <w:color w:val="000000"/>
          <w:sz w:val="24"/>
          <w:lang w:val="en-US" w:eastAsia="zh-CN"/>
        </w:rPr>
        <w:t>.............................................................................................16</w:t>
      </w:r>
    </w:p>
    <w:p>
      <w:pPr>
        <w:pStyle w:val="14"/>
        <w:snapToGrid w:val="0"/>
        <w:spacing w:line="440" w:lineRule="exact"/>
        <w:jc w:val="left"/>
        <w:rPr>
          <w:rFonts w:hint="default" w:cs="Times New Roman"/>
          <w:color w:val="000000"/>
          <w:sz w:val="24"/>
          <w:szCs w:val="24"/>
          <w:highlight w:val="none"/>
          <w:lang w:val="en-US"/>
        </w:rPr>
      </w:pPr>
      <w:r>
        <w:rPr>
          <w:color w:val="000000"/>
          <w:sz w:val="24"/>
        </w:rPr>
        <w:t>第四部分 附件</w:t>
      </w:r>
      <w:r>
        <w:rPr>
          <w:rFonts w:hint="eastAsia"/>
          <w:color w:val="000000"/>
          <w:sz w:val="24"/>
          <w:lang w:val="en-US" w:eastAsia="zh-CN"/>
        </w:rPr>
        <w:t>.....................................................................................................20</w:t>
      </w:r>
    </w:p>
    <w:p>
      <w:pPr>
        <w:pStyle w:val="14"/>
        <w:snapToGrid w:val="0"/>
        <w:spacing w:line="440" w:lineRule="exact"/>
        <w:jc w:val="left"/>
        <w:rPr>
          <w:rFonts w:hint="default" w:cs="Times New Roman"/>
          <w:color w:val="000000"/>
          <w:sz w:val="24"/>
          <w:szCs w:val="24"/>
          <w:highlight w:val="none"/>
          <w:lang w:val="en-US"/>
        </w:rPr>
      </w:pPr>
      <w:r>
        <w:rPr>
          <w:color w:val="000000"/>
          <w:sz w:val="24"/>
        </w:rPr>
        <w:t>第五部分 附表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一、收入支出决算总表</w:t>
      </w:r>
      <w:r>
        <w:rPr>
          <w:rFonts w:hint="eastAsia"/>
          <w:color w:val="000000"/>
          <w:sz w:val="24"/>
          <w:lang w:val="en-US" w:eastAsia="zh-CN"/>
        </w:rPr>
        <w:t>......................................................................................35</w:t>
      </w:r>
      <w:r>
        <w:rPr>
          <w:color w:val="000000"/>
          <w:sz w:val="24"/>
        </w:rPr>
        <w:t>二、收入决算表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三、支出决算表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四、财政拨款收入支出决算总表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五、财政拨款支出决算明细表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六、一般公共预算财政拨款支出决算表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七、一般公共预算财政拨款支出决算明细表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八、一般公共预算财政拨款基本支出决算</w:t>
      </w:r>
      <w:r>
        <w:rPr>
          <w:color w:val="000000"/>
          <w:sz w:val="24"/>
          <w:lang w:eastAsia="zh-CN"/>
        </w:rPr>
        <w:t>明细</w:t>
      </w:r>
      <w:r>
        <w:rPr>
          <w:color w:val="000000"/>
          <w:sz w:val="24"/>
        </w:rPr>
        <w:t>表</w:t>
      </w:r>
      <w:r>
        <w:rPr>
          <w:rFonts w:hint="eastAsia"/>
          <w:color w:val="000000"/>
          <w:sz w:val="24"/>
          <w:lang w:val="en-US" w:eastAsia="zh-CN"/>
        </w:rPr>
        <w:t>..........................................35</w:t>
      </w:r>
    </w:p>
    <w:p>
      <w:pPr>
        <w:pStyle w:val="14"/>
        <w:snapToGrid w:val="0"/>
        <w:spacing w:line="440" w:lineRule="exact"/>
        <w:jc w:val="left"/>
        <w:rPr>
          <w:rFonts w:hint="default" w:ascii="仿宋" w:hAnsi="仿宋" w:eastAsia="仿宋" w:cs="仿宋"/>
          <w:color w:val="000000"/>
          <w:sz w:val="24"/>
          <w:highlight w:val="none"/>
          <w:lang w:val="en-US"/>
        </w:rPr>
      </w:pPr>
      <w:r>
        <w:rPr>
          <w:color w:val="000000"/>
          <w:sz w:val="24"/>
        </w:rPr>
        <w:t>九、一般公共预算财政拨款项目支出决算表</w:t>
      </w:r>
      <w:r>
        <w:rPr>
          <w:rFonts w:hint="eastAsia"/>
          <w:color w:val="000000"/>
          <w:sz w:val="24"/>
          <w:lang w:val="en-US" w:eastAsia="zh-CN"/>
        </w:rPr>
        <w:t>..................................................35</w:t>
      </w:r>
    </w:p>
    <w:p>
      <w:pPr>
        <w:pStyle w:val="14"/>
        <w:snapToGrid w:val="0"/>
        <w:spacing w:line="440" w:lineRule="exact"/>
        <w:jc w:val="left"/>
        <w:rPr>
          <w:color w:val="000000"/>
          <w:sz w:val="24"/>
          <w:highlight w:val="none"/>
        </w:rPr>
      </w:pPr>
    </w:p>
    <w:p>
      <w:pPr>
        <w:pStyle w:val="14"/>
        <w:snapToGrid w:val="0"/>
        <w:spacing w:line="440" w:lineRule="exact"/>
        <w:jc w:val="left"/>
        <w:rPr>
          <w:rFonts w:hint="default"/>
          <w:color w:val="000000"/>
          <w:sz w:val="24"/>
          <w:highlight w:val="none"/>
          <w:lang w:val="en-US"/>
        </w:rPr>
      </w:pPr>
      <w:r>
        <w:rPr>
          <w:color w:val="000000"/>
          <w:sz w:val="24"/>
        </w:rPr>
        <w:t>十、政府性基金预算财政拨款收入支出决算表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十一、国有资本经营预算财政拨款收入支出决算表</w:t>
      </w:r>
      <w:r>
        <w:rPr>
          <w:rFonts w:hint="eastAsia"/>
          <w:color w:val="000000"/>
          <w:sz w:val="24"/>
          <w:lang w:val="en-US" w:eastAsia="zh-CN"/>
        </w:rPr>
        <w:t>......................................35</w:t>
      </w:r>
    </w:p>
    <w:p>
      <w:pPr>
        <w:pStyle w:val="14"/>
        <w:snapToGrid w:val="0"/>
        <w:spacing w:line="440" w:lineRule="exact"/>
        <w:jc w:val="left"/>
        <w:rPr>
          <w:rFonts w:hint="default"/>
          <w:color w:val="000000"/>
          <w:sz w:val="24"/>
          <w:highlight w:val="none"/>
          <w:lang w:val="en-US"/>
        </w:rPr>
      </w:pPr>
      <w:r>
        <w:rPr>
          <w:color w:val="000000"/>
          <w:sz w:val="24"/>
        </w:rPr>
        <w:t>十二、</w:t>
      </w:r>
      <w:r>
        <w:rPr>
          <w:color w:val="000000"/>
          <w:sz w:val="24"/>
          <w:lang w:val="en-US" w:eastAsia="zh-CN"/>
        </w:rPr>
        <w:t>国有资本经营预算财政拨款支出决算表</w:t>
      </w:r>
      <w:r>
        <w:rPr>
          <w:rFonts w:hint="eastAsia"/>
          <w:color w:val="000000"/>
          <w:sz w:val="24"/>
          <w:lang w:val="en-US" w:eastAsia="zh-CN"/>
        </w:rPr>
        <w:t>..............................................35</w:t>
      </w:r>
    </w:p>
    <w:p>
      <w:pPr>
        <w:pStyle w:val="14"/>
        <w:snapToGrid w:val="0"/>
        <w:spacing w:line="440" w:lineRule="exact"/>
        <w:jc w:val="left"/>
        <w:rPr>
          <w:rFonts w:hint="default" w:ascii="仿宋" w:hAnsi="仿宋" w:eastAsia="仿宋" w:cs="仿宋"/>
          <w:color w:val="000000"/>
          <w:sz w:val="24"/>
          <w:highlight w:val="none"/>
          <w:lang w:val="en-US"/>
        </w:rPr>
      </w:pPr>
      <w:r>
        <w:rPr>
          <w:color w:val="000000"/>
          <w:sz w:val="24"/>
        </w:rPr>
        <w:t>十三、财政拨款“三公”经费支出决算表</w:t>
      </w:r>
      <w:r>
        <w:rPr>
          <w:rFonts w:hint="eastAsia"/>
          <w:color w:val="000000"/>
          <w:sz w:val="24"/>
          <w:lang w:val="en-US" w:eastAsia="zh-CN"/>
        </w:rPr>
        <w:t>...........................................................35</w:t>
      </w:r>
    </w:p>
    <w:p>
      <w:pPr>
        <w:pStyle w:val="14"/>
        <w:snapToGrid w:val="0"/>
        <w:spacing w:line="440" w:lineRule="exact"/>
        <w:jc w:val="left"/>
        <w:rPr>
          <w:rFonts w:ascii="宋体" w:hAnsi="宋体" w:eastAsia="宋体" w:cs="宋体"/>
          <w:color w:val="000000"/>
          <w:sz w:val="24"/>
          <w:highlight w:val="none"/>
          <w:lang w:val="en-US" w:eastAsia="zh-CN"/>
        </w:rPr>
      </w:pPr>
    </w:p>
    <w:p>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rPr>
        <w:t>(注：请部门根据实际注明页码)</w:t>
      </w:r>
      <w:r>
        <w:br w:type="page"/>
      </w:r>
    </w:p>
    <w:p>
      <w:pPr>
        <w:widowControl/>
        <w:spacing w:line="440" w:lineRule="exact"/>
        <w:jc w:val="left"/>
        <w:rPr>
          <w:rFonts w:ascii="仿宋" w:hAnsi="仿宋" w:eastAsia="仿宋" w:cs="仿宋"/>
          <w:b/>
          <w:bCs/>
          <w:color w:val="000000"/>
          <w:kern w:val="2"/>
          <w:sz w:val="24"/>
          <w:highlight w:val="none"/>
        </w:rPr>
      </w:pPr>
    </w:p>
    <w:p>
      <w:pPr>
        <w:pStyle w:val="3"/>
        <w:jc w:val="center"/>
        <w:rPr>
          <w:rStyle w:val="27"/>
          <w:rFonts w:ascii="黑体" w:hAnsi="黑体" w:eastAsia="黑体" w:cs="黑体"/>
          <w:b/>
          <w:bCs w:val="0"/>
          <w:color w:val="000000"/>
          <w:highlight w:val="none"/>
        </w:rPr>
      </w:pPr>
      <w:r>
        <w:rPr>
          <w:rFonts w:ascii="黑体" w:hAnsi="黑体" w:eastAsia="黑体" w:cs="黑体"/>
          <w:b w:val="0"/>
          <w:color w:val="000000"/>
        </w:rPr>
        <w:t xml:space="preserve">第一部分 </w:t>
      </w:r>
      <w:r>
        <w:rPr>
          <w:rStyle w:val="27"/>
          <w:rFonts w:ascii="黑体" w:hAnsi="黑体" w:eastAsia="黑体" w:cs="黑体"/>
          <w:b w:val="0"/>
          <w:bCs w:val="0"/>
          <w:color w:val="000000"/>
        </w:rPr>
        <w:t>部门概况</w:t>
      </w:r>
    </w:p>
    <w:p>
      <w:pPr>
        <w:widowControl/>
        <w:jc w:val="left"/>
        <w:rPr>
          <w:rStyle w:val="27"/>
          <w:rFonts w:ascii="黑体" w:hAnsi="黑体" w:eastAsia="黑体" w:cs="黑体"/>
          <w:b/>
          <w:bCs w:val="0"/>
          <w:color w:val="000000"/>
          <w:sz w:val="32"/>
          <w:szCs w:val="32"/>
          <w:highlight w:val="none"/>
        </w:rPr>
      </w:pPr>
    </w:p>
    <w:p>
      <w:pPr>
        <w:pStyle w:val="4"/>
        <w:rPr>
          <w:rStyle w:val="28"/>
          <w:rFonts w:ascii="仿宋" w:hAnsi="仿宋" w:eastAsia="黑体" w:cs="仿宋"/>
          <w:b w:val="0"/>
          <w:bCs w:val="0"/>
          <w:color w:val="000000"/>
          <w:highlight w:val="none"/>
          <w:lang w:eastAsia="zh-CN"/>
        </w:rPr>
      </w:pPr>
      <w:r>
        <w:rPr>
          <w:rFonts w:ascii="黑体" w:hAnsi="黑体" w:eastAsia="黑体" w:cs="黑体"/>
          <w:b w:val="0"/>
          <w:color w:val="000000"/>
        </w:rPr>
        <w:t>一、</w:t>
      </w:r>
      <w:r>
        <w:rPr>
          <w:rFonts w:ascii="黑体" w:hAnsi="黑体" w:eastAsia="黑体" w:cs="黑体"/>
          <w:b w:val="0"/>
          <w:color w:val="000000"/>
          <w:lang w:eastAsia="zh-CN"/>
        </w:rPr>
        <w:t>部门职责</w:t>
      </w:r>
    </w:p>
    <w:p>
      <w:pPr>
        <w:numPr>
          <w:ilvl w:val="0"/>
          <w:numId w:val="0"/>
        </w:numPr>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一</w:t>
      </w:r>
      <w:r>
        <w:rPr>
          <w:rFonts w:hint="eastAsia" w:ascii="仿宋" w:hAnsi="仿宋" w:eastAsia="仿宋"/>
          <w:color w:val="auto"/>
          <w:sz w:val="32"/>
          <w:szCs w:val="32"/>
          <w:highlight w:val="none"/>
          <w:lang w:eastAsia="zh-CN"/>
        </w:rPr>
        <w:t xml:space="preserve">）主要职能。 </w:t>
      </w:r>
    </w:p>
    <w:p>
      <w:pPr>
        <w:numPr>
          <w:ilvl w:val="0"/>
          <w:numId w:val="0"/>
        </w:numPr>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 xml:space="preserve">本单位主要职能是县人大常委会办公室主要负责做好本级人民代表大会、常委会会议、主任会议、党组会议以及其他有关会议各种文件的起草、会议记录和会务工作，对会议决定的事项负责办理落实，并及时报告反馈。负责对乡（镇）人大主席团工作指导并考核其工作。负责开展驻县省、州代表活动及县代表培训，视察活动，建立代表联络站。完成精准扶贫帮扶工作及县委交办的其他工作。积极做好机关内部各项建设。 </w:t>
      </w:r>
      <w:r>
        <w:rPr>
          <w:rFonts w:hint="eastAsia" w:ascii="仿宋" w:hAnsi="仿宋" w:eastAsia="仿宋"/>
          <w:color w:val="auto"/>
          <w:sz w:val="32"/>
          <w:szCs w:val="32"/>
          <w:highlight w:val="none"/>
          <w:lang w:val="en-US" w:eastAsia="zh-CN"/>
        </w:rPr>
        <w:t xml:space="preserve">         </w:t>
      </w:r>
    </w:p>
    <w:p>
      <w:pPr>
        <w:numPr>
          <w:ilvl w:val="0"/>
          <w:numId w:val="0"/>
        </w:numPr>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 xml:space="preserve">（二）2025年主要工作完成情况。 </w:t>
      </w:r>
    </w:p>
    <w:p>
      <w:pPr>
        <w:numPr>
          <w:ilvl w:val="0"/>
          <w:numId w:val="0"/>
        </w:numPr>
        <w:ind w:firstLine="640" w:firstLineChars="200"/>
        <w:rPr>
          <w:lang w:eastAsia="zh-CN"/>
        </w:rPr>
      </w:pPr>
      <w:r>
        <w:rPr>
          <w:rFonts w:hint="eastAsia" w:ascii="仿宋" w:hAnsi="仿宋" w:eastAsia="仿宋"/>
          <w:color w:val="auto"/>
          <w:sz w:val="32"/>
          <w:szCs w:val="32"/>
          <w:highlight w:val="none"/>
          <w:lang w:eastAsia="zh-CN"/>
        </w:rPr>
        <w:t>在县委的坚强领导下，县人大常委会坚持以习近平新时代中国特色社会主义思想为指导，全面贯彻党的二十大精神，深入学习贯彻习近平总书记来川视察重要指示精神和对四川对阿坝工作系列重要指示批示精神，紧跟县委决策部署，紧扣践行全过程人民民主的要求，扎实推进监督、重大事项决定、代表工作和“四个机关”建设，组织召开主任会议12次，常委会会议7次，听取审议专项报告19项、人大评议意见整改情况报告19项，开展执法检查3项，作出决议决定7项，提出审议意见16份、65条，任免国家机关工作人员39人次，圆满完成了县十六届人大二次会议确定的各项目标任务。</w:t>
      </w:r>
    </w:p>
    <w:p>
      <w:pPr>
        <w:pStyle w:val="4"/>
        <w:rPr>
          <w:rStyle w:val="28"/>
          <w:b w:val="0"/>
          <w:bCs w:val="0"/>
          <w:color w:val="000000"/>
          <w:highlight w:val="none"/>
        </w:rPr>
      </w:pPr>
      <w:r>
        <w:rPr>
          <w:rFonts w:ascii="黑体" w:hAnsi="黑体" w:eastAsia="黑体"/>
          <w:b w:val="0"/>
          <w:color w:val="000000"/>
        </w:rPr>
        <w:t>二、</w:t>
      </w:r>
      <w:r>
        <w:rPr>
          <w:rFonts w:ascii="黑体" w:hAnsi="黑体" w:eastAsia="黑体" w:cs="黑体"/>
          <w:b w:val="0"/>
          <w:color w:val="000000"/>
        </w:rPr>
        <w:t>机</w:t>
      </w:r>
      <w:r>
        <w:rPr>
          <w:rStyle w:val="28"/>
          <w:rFonts w:ascii="黑体" w:hAnsi="黑体" w:eastAsia="黑体" w:cs="黑体"/>
          <w:b w:val="0"/>
          <w:bCs w:val="0"/>
          <w:color w:val="000000"/>
        </w:rPr>
        <w:t>构设置</w:t>
      </w:r>
    </w:p>
    <w:p>
      <w:pPr>
        <w:ind w:firstLine="800" w:firstLineChars="25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小金县人大常委会</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pPr>
        <w:pStyle w:val="6"/>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小金县人大常委会2</w:t>
      </w:r>
      <w:r>
        <w:rPr>
          <w:rFonts w:hint="eastAsia" w:ascii="仿宋" w:hAnsi="仿宋" w:eastAsia="仿宋"/>
          <w:color w:val="auto"/>
          <w:sz w:val="32"/>
          <w:szCs w:val="32"/>
          <w:highlight w:val="none"/>
          <w:lang w:eastAsia="zh-CN"/>
        </w:rPr>
        <w:t>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年度部门决算编制范围的二级预算单位包括：</w:t>
      </w:r>
    </w:p>
    <w:p>
      <w:pPr>
        <w:pStyle w:val="6"/>
        <w:numPr>
          <w:ilvl w:val="0"/>
          <w:numId w:val="2"/>
        </w:numPr>
        <w:adjustRightInd w:val="0"/>
        <w:snapToGrid w:val="0"/>
        <w:spacing w:before="93" w:line="600" w:lineRule="exact"/>
        <w:outlineLvl w:val="2"/>
        <w:rPr>
          <w:rFonts w:ascii="仿宋" w:hAnsi="仿宋" w:eastAsia="仿宋"/>
          <w:color w:val="auto"/>
          <w:sz w:val="32"/>
          <w:szCs w:val="32"/>
          <w:highlight w:val="none"/>
        </w:rPr>
      </w:pPr>
      <w:bookmarkStart w:id="0" w:name="_Toc15936"/>
      <w:r>
        <w:rPr>
          <w:rFonts w:hint="eastAsia" w:ascii="仿宋" w:hAnsi="仿宋" w:eastAsia="仿宋"/>
          <w:color w:val="auto"/>
          <w:sz w:val="32"/>
          <w:szCs w:val="32"/>
          <w:highlight w:val="none"/>
          <w:lang w:val="en-US" w:eastAsia="zh-CN"/>
        </w:rPr>
        <w:t>小金县人民代表大会常务委员会办公室</w:t>
      </w:r>
      <w:bookmarkEnd w:id="0"/>
    </w:p>
    <w:p>
      <w:pPr>
        <w:pStyle w:val="6"/>
        <w:numPr>
          <w:ilvl w:val="0"/>
          <w:numId w:val="2"/>
        </w:numPr>
        <w:adjustRightInd w:val="0"/>
        <w:snapToGrid w:val="0"/>
        <w:spacing w:before="93" w:line="600" w:lineRule="exact"/>
        <w:outlineLvl w:val="2"/>
        <w:rPr>
          <w:rFonts w:ascii="仿宋" w:hAnsi="仿宋" w:eastAsia="仿宋"/>
          <w:color w:val="auto"/>
          <w:sz w:val="32"/>
          <w:szCs w:val="32"/>
          <w:highlight w:val="none"/>
        </w:rPr>
      </w:pPr>
      <w:bookmarkStart w:id="1" w:name="_Toc8596"/>
      <w:r>
        <w:rPr>
          <w:rFonts w:hint="eastAsia" w:ascii="仿宋" w:hAnsi="仿宋" w:eastAsia="仿宋"/>
          <w:color w:val="auto"/>
          <w:sz w:val="32"/>
          <w:szCs w:val="32"/>
          <w:highlight w:val="none"/>
          <w:lang w:val="en-US" w:eastAsia="zh-CN"/>
        </w:rPr>
        <w:t>小金县人大常委会办公室信息中心</w:t>
      </w:r>
      <w:bookmarkEnd w:id="1"/>
    </w:p>
    <w:p>
      <w:pPr>
        <w:pStyle w:val="15"/>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100" w:afterAutospacing="1" w:line="240" w:lineRule="auto"/>
        <w:ind w:left="0" w:right="0" w:firstLine="960" w:firstLineChars="300"/>
        <w:jc w:val="left"/>
        <w:outlineLvl w:val="9"/>
        <w:rPr>
          <w:rFonts w:hint="eastAsia" w:ascii="仿宋" w:hAnsi="仿宋" w:eastAsia="仿宋" w:cs="Times New Roman"/>
          <w:color w:val="auto"/>
          <w:kern w:val="2"/>
          <w:sz w:val="32"/>
          <w:szCs w:val="32"/>
          <w:lang w:val="en-US" w:eastAsia="zh-CN" w:bidi="ar-SA"/>
        </w:rPr>
      </w:pPr>
      <w:r>
        <w:rPr>
          <w:rFonts w:hint="eastAsia" w:ascii="仿宋" w:hAnsi="仿宋" w:eastAsia="仿宋" w:cs="Times New Roman"/>
          <w:color w:val="auto"/>
          <w:kern w:val="2"/>
          <w:sz w:val="32"/>
          <w:szCs w:val="32"/>
          <w:lang w:val="en-US" w:eastAsia="zh-CN" w:bidi="ar-SA"/>
        </w:rPr>
        <w:t>本单位本年度纳入本套决算编制范围的独立编制机构数共2个，比上年增加0个，变动情况及原因为：无变化；独立核算机构数共2个，比上年增加0个，变动情况及原因：无变化。</w:t>
      </w:r>
    </w:p>
    <w:p>
      <w:pPr>
        <w:pStyle w:val="15"/>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100" w:afterAutospacing="1" w:line="240" w:lineRule="auto"/>
        <w:ind w:left="0" w:right="0" w:firstLine="960" w:firstLineChars="300"/>
        <w:jc w:val="left"/>
        <w:outlineLvl w:val="9"/>
        <w:rPr>
          <w:rFonts w:ascii="仿宋" w:hAnsi="仿宋" w:eastAsia="仿宋" w:cs="仿宋"/>
          <w:color w:val="000000"/>
          <w:kern w:val="0"/>
          <w:sz w:val="32"/>
          <w:szCs w:val="32"/>
          <w:highlight w:val="none"/>
        </w:rPr>
      </w:pPr>
      <w:r>
        <w:rPr>
          <w:rFonts w:hint="eastAsia" w:ascii="仿宋" w:hAnsi="仿宋" w:eastAsia="仿宋" w:cs="Times New Roman"/>
          <w:color w:val="auto"/>
          <w:kern w:val="2"/>
          <w:sz w:val="32"/>
          <w:szCs w:val="32"/>
          <w:lang w:val="en-US" w:eastAsia="zh-CN" w:bidi="ar-SA"/>
        </w:rPr>
        <w:t>本单位本年度年末实有人数为22人（其中：行政16人，行政工勤4人，信息中心2人），比上年减少2人（本年度调出2人）；年末实有离退休人数为0人，比上年增加0人；变动情况及原因为：无变动。年末实有其他人数为0人，比上年增加0人；变动情况及因为：无变动。</w:t>
      </w:r>
    </w:p>
    <w:p>
      <w:pPr>
        <w:pStyle w:val="3"/>
        <w:ind w:right="440" w:firstLine="0"/>
        <w:jc w:val="center"/>
        <w:rPr>
          <w:rStyle w:val="27"/>
          <w:rFonts w:ascii="黑体" w:hAnsi="黑体" w:eastAsia="黑体" w:cs="黑体"/>
          <w:b w:val="0"/>
          <w:bCs/>
          <w:color w:val="000000"/>
          <w:highlight w:val="none"/>
        </w:rPr>
      </w:pPr>
      <w:r>
        <w:rPr>
          <w:rFonts w:ascii="黑体" w:hAnsi="黑体" w:eastAsia="黑体" w:cs="黑体"/>
          <w:b w:val="0"/>
          <w:bCs/>
          <w:color w:val="000000"/>
        </w:rPr>
        <w:t>第二部分 2025年度部门决算情况说明</w:t>
      </w:r>
    </w:p>
    <w:p>
      <w:pPr>
        <w:pStyle w:val="32"/>
        <w:numPr>
          <w:ilvl w:val="0"/>
          <w:numId w:val="3"/>
        </w:numPr>
        <w:spacing w:line="600" w:lineRule="exact"/>
        <w:outlineLvl w:val="1"/>
        <w:rPr>
          <w:rStyle w:val="28"/>
          <w:rFonts w:ascii="黑体" w:hAnsi="黑体" w:eastAsia="黑体" w:cs="黑体"/>
          <w:b w:val="0"/>
          <w:color w:val="000000"/>
          <w:highlight w:val="none"/>
        </w:rPr>
      </w:pPr>
      <w:r>
        <w:rPr>
          <w:rFonts w:ascii="黑体" w:hAnsi="黑体" w:eastAsia="黑体" w:cs="黑体"/>
          <w:color w:val="000000"/>
          <w:sz w:val="32"/>
          <w:szCs w:val="32"/>
        </w:rPr>
        <w:t>收</w:t>
      </w:r>
      <w:r>
        <w:rPr>
          <w:rStyle w:val="28"/>
          <w:rFonts w:ascii="黑体" w:hAnsi="黑体" w:eastAsia="黑体" w:cs="黑体"/>
          <w:b w:val="0"/>
          <w:color w:val="000000"/>
        </w:rPr>
        <w:t>入支出决算总体情况说明</w:t>
      </w:r>
    </w:p>
    <w:p>
      <w:pPr>
        <w:spacing w:line="240" w:lineRule="auto"/>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w:t>
      </w:r>
      <w:r>
        <w:rPr>
          <w:rFonts w:hint="eastAsia" w:ascii="仿宋" w:hAnsi="仿宋" w:eastAsia="仿宋" w:cs="仿宋"/>
          <w:color w:val="000000"/>
          <w:sz w:val="32"/>
          <w:szCs w:val="32"/>
          <w:lang w:eastAsia="zh-CN"/>
        </w:rPr>
        <w:t>入</w:t>
      </w:r>
      <w:r>
        <w:rPr>
          <w:rFonts w:ascii="仿宋" w:hAnsi="仿宋" w:eastAsia="仿宋" w:cs="仿宋"/>
          <w:color w:val="000000"/>
          <w:sz w:val="32"/>
          <w:szCs w:val="32"/>
          <w:lang w:eastAsia="zh-CN"/>
        </w:rPr>
        <w:t>总计为865.42万元</w:t>
      </w:r>
      <w:r>
        <w:rPr>
          <w:rFonts w:hint="eastAsia" w:ascii="仿宋" w:hAnsi="仿宋" w:eastAsia="仿宋" w:cs="仿宋"/>
          <w:color w:val="000000"/>
          <w:sz w:val="32"/>
          <w:szCs w:val="32"/>
          <w:lang w:eastAsia="zh-CN"/>
        </w:rPr>
        <w:t>（含上年结转结余资金</w:t>
      </w:r>
      <w:r>
        <w:rPr>
          <w:rFonts w:hint="eastAsia" w:ascii="仿宋" w:hAnsi="仿宋" w:eastAsia="仿宋" w:cs="仿宋"/>
          <w:color w:val="000000"/>
          <w:sz w:val="32"/>
          <w:szCs w:val="32"/>
          <w:lang w:val="en-US" w:eastAsia="zh-CN"/>
        </w:rPr>
        <w:t>39.22万元），支出为846.29万元，结转结余资金19.13万元</w:t>
      </w:r>
      <w:r>
        <w:rPr>
          <w:rFonts w:ascii="仿宋" w:hAnsi="仿宋" w:eastAsia="仿宋" w:cs="仿宋"/>
          <w:color w:val="000000"/>
          <w:sz w:val="32"/>
          <w:szCs w:val="32"/>
          <w:lang w:eastAsia="zh-CN"/>
        </w:rPr>
        <w:t>。与2024年度相比，收入减少155.75万元，下降15.25%；支出减少162.74万元，下降15.83%。主要变动原因是：人员经费增减（调出7人，调入1人），本年任务重，出差多。</w:t>
      </w:r>
      <w:r>
        <w:rPr>
          <w:rFonts w:ascii="仿宋" w:hAnsi="仿宋" w:eastAsia="仿宋" w:cs="仿宋"/>
          <w:color w:val="000000"/>
          <w:sz w:val="32"/>
          <w:szCs w:val="32"/>
          <w:highlight w:val="none"/>
          <w:lang w:eastAsia="zh-CN"/>
        </w:rPr>
        <w:drawing>
          <wp:inline distT="0" distB="0" distL="114300" distR="114300">
            <wp:extent cx="4923790" cy="3336925"/>
            <wp:effectExtent l="0" t="0" r="10160" b="15875"/>
            <wp:docPr id="2" name="图片 2"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1"/>
                    <pic:cNvPicPr>
                      <a:picLocks noChangeAspect="1"/>
                    </pic:cNvPicPr>
                  </pic:nvPicPr>
                  <pic:blipFill>
                    <a:blip r:embed="rId5"/>
                    <a:stretch>
                      <a:fillRect/>
                    </a:stretch>
                  </pic:blipFill>
                  <pic:spPr>
                    <a:xfrm>
                      <a:off x="0" y="0"/>
                      <a:ext cx="4923790" cy="3336925"/>
                    </a:xfrm>
                    <a:prstGeom prst="rect">
                      <a:avLst/>
                    </a:prstGeom>
                  </pic:spPr>
                </pic:pic>
              </a:graphicData>
            </a:graphic>
          </wp:inline>
        </w:drawing>
      </w:r>
      <w:bookmarkStart w:id="2" w:name="_GoBack"/>
      <w:bookmarkEnd w:id="2"/>
    </w:p>
    <w:p>
      <w:pPr>
        <w:spacing w:line="600" w:lineRule="exact"/>
        <w:ind w:firstLine="640"/>
        <w:rPr>
          <w:rFonts w:ascii="仿宋_GB2312" w:hAnsi="仿宋_GB2312" w:eastAsia="仿宋_GB2312" w:cs="仿宋"/>
          <w:color w:val="000000"/>
          <w:sz w:val="32"/>
          <w:szCs w:val="32"/>
          <w:highlight w:val="none"/>
        </w:rPr>
      </w:pPr>
      <w:r>
        <w:rPr>
          <w:rFonts w:ascii="仿宋" w:hAnsi="仿宋" w:eastAsia="仿宋" w:cs="仿宋"/>
          <w:color w:val="000000"/>
          <w:sz w:val="32"/>
          <w:szCs w:val="32"/>
        </w:rPr>
        <w:t>（图1：收、支决算总计变动情况图）（柱状图）</w:t>
      </w:r>
    </w:p>
    <w:p>
      <w:pPr>
        <w:pStyle w:val="32"/>
        <w:numPr>
          <w:ilvl w:val="0"/>
          <w:numId w:val="3"/>
        </w:numPr>
        <w:spacing w:line="600" w:lineRule="exact"/>
        <w:outlineLvl w:val="1"/>
        <w:rPr>
          <w:rStyle w:val="28"/>
          <w:rFonts w:ascii="黑体" w:hAnsi="黑体" w:eastAsia="黑体" w:cs="黑体"/>
          <w:b w:val="0"/>
          <w:color w:val="000000"/>
          <w:highlight w:val="none"/>
        </w:rPr>
      </w:pPr>
      <w:r>
        <w:rPr>
          <w:rFonts w:ascii="黑体" w:hAnsi="黑体" w:eastAsia="黑体" w:cs="黑体"/>
          <w:color w:val="000000"/>
          <w:sz w:val="32"/>
          <w:szCs w:val="32"/>
        </w:rPr>
        <w:t>收</w:t>
      </w:r>
      <w:r>
        <w:rPr>
          <w:rStyle w:val="28"/>
          <w:rFonts w:ascii="黑体" w:hAnsi="黑体" w:eastAsia="黑体" w:cs="黑体"/>
          <w:b w:val="0"/>
          <w:color w:val="000000"/>
        </w:rPr>
        <w:t>入决算情况说明</w:t>
      </w:r>
    </w:p>
    <w:p>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826.20万元，其中：一般公共预算财政拨款收入816.20万元，占98.79%；政府性基金预算财政拨款收入0万元，占0%；国有资本经营预算财政拨款收入0万元，占0%；上级补助收入0万元，占0%；事业收入0万元，占0%；经营收入0万元，占0%；附属单位上缴收入0万元，占0%；其他收入10.00万元，占1.21%。</w:t>
      </w:r>
    </w:p>
    <w:p>
      <w:pPr>
        <w:numPr>
          <w:ilvl w:val="0"/>
          <w:numId w:val="0"/>
        </w:numPr>
        <w:spacing w:line="240" w:lineRule="auto"/>
        <w:outlineLvl w:val="1"/>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drawing>
          <wp:inline distT="0" distB="0" distL="114300" distR="114300">
            <wp:extent cx="3420110" cy="2273935"/>
            <wp:effectExtent l="0" t="0" r="8890" b="12065"/>
            <wp:docPr id="3" name="图片 3"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2"/>
                    <pic:cNvPicPr>
                      <a:picLocks noChangeAspect="1"/>
                    </pic:cNvPicPr>
                  </pic:nvPicPr>
                  <pic:blipFill>
                    <a:blip r:embed="rId6"/>
                    <a:stretch>
                      <a:fillRect/>
                    </a:stretch>
                  </pic:blipFill>
                  <pic:spPr>
                    <a:xfrm>
                      <a:off x="0" y="0"/>
                      <a:ext cx="3420110" cy="2273935"/>
                    </a:xfrm>
                    <a:prstGeom prst="rect">
                      <a:avLst/>
                    </a:prstGeom>
                  </pic:spPr>
                </pic:pic>
              </a:graphicData>
            </a:graphic>
          </wp:inline>
        </w:drawing>
      </w:r>
    </w:p>
    <w:p>
      <w:pPr>
        <w:spacing w:line="600" w:lineRule="exact"/>
        <w:ind w:firstLine="640"/>
        <w:rPr>
          <w:rFonts w:ascii="仿宋_GB2312" w:hAnsi="仿宋_GB2312" w:eastAsia="仿宋_GB2312" w:cs="仿宋"/>
          <w:color w:val="000000"/>
          <w:sz w:val="32"/>
          <w:szCs w:val="32"/>
          <w:highlight w:val="none"/>
        </w:rPr>
      </w:pPr>
      <w:r>
        <w:rPr>
          <w:rFonts w:ascii="仿宋" w:hAnsi="仿宋" w:eastAsia="仿宋" w:cs="仿宋"/>
          <w:color w:val="000000"/>
          <w:sz w:val="32"/>
          <w:szCs w:val="32"/>
        </w:rPr>
        <w:t>（图2：收入决算结构图）（饼状图）</w:t>
      </w:r>
    </w:p>
    <w:p>
      <w:pPr>
        <w:pStyle w:val="32"/>
        <w:numPr>
          <w:ilvl w:val="0"/>
          <w:numId w:val="3"/>
        </w:numPr>
        <w:spacing w:line="600" w:lineRule="exact"/>
        <w:outlineLvl w:val="1"/>
        <w:rPr>
          <w:rStyle w:val="28"/>
          <w:rFonts w:ascii="黑体" w:hAnsi="黑体" w:eastAsia="黑体" w:cs="黑体"/>
          <w:b w:val="0"/>
          <w:color w:val="000000"/>
          <w:highlight w:val="none"/>
        </w:rPr>
      </w:pPr>
      <w:r>
        <w:rPr>
          <w:rFonts w:ascii="黑体" w:hAnsi="黑体" w:eastAsia="黑体" w:cs="黑体"/>
          <w:color w:val="000000"/>
          <w:sz w:val="32"/>
          <w:szCs w:val="32"/>
        </w:rPr>
        <w:t>支</w:t>
      </w:r>
      <w:r>
        <w:rPr>
          <w:rStyle w:val="28"/>
          <w:rFonts w:ascii="黑体" w:hAnsi="黑体" w:eastAsia="黑体" w:cs="黑体"/>
          <w:b w:val="0"/>
          <w:color w:val="000000"/>
        </w:rPr>
        <w:t>出决算情况说明</w:t>
      </w:r>
    </w:p>
    <w:p>
      <w:pPr>
        <w:numPr>
          <w:ilvl w:val="0"/>
          <w:numId w:val="0"/>
        </w:numPr>
        <w:spacing w:line="600" w:lineRule="exact"/>
        <w:ind w:firstLine="640"/>
        <w:outlineLvl w:val="1"/>
        <w:rPr>
          <w:rFonts w:ascii="仿宋" w:hAnsi="仿宋" w:eastAsia="仿宋" w:cs="仿宋"/>
          <w:color w:val="000000"/>
          <w:sz w:val="32"/>
          <w:szCs w:val="32"/>
          <w:highlight w:val="none"/>
        </w:rPr>
      </w:pPr>
      <w:r>
        <w:rPr>
          <w:rFonts w:hint="eastAsia" w:ascii="仿宋" w:hAnsi="仿宋" w:eastAsia="仿宋" w:cs="仿宋"/>
          <w:b/>
          <w:color w:val="000000"/>
          <w:sz w:val="32"/>
          <w:szCs w:val="32"/>
          <w:highlight w:val="none"/>
          <w:shd w:val="clear" w:fill="E5E5E5"/>
          <w:lang w:eastAsia="zh-CN"/>
        </w:rPr>
        <w:drawing>
          <wp:anchor distT="0" distB="0" distL="114300" distR="114300" simplePos="0" relativeHeight="251661312" behindDoc="0" locked="0" layoutInCell="1" allowOverlap="1">
            <wp:simplePos x="0" y="0"/>
            <wp:positionH relativeFrom="column">
              <wp:posOffset>48895</wp:posOffset>
            </wp:positionH>
            <wp:positionV relativeFrom="paragraph">
              <wp:posOffset>1566545</wp:posOffset>
            </wp:positionV>
            <wp:extent cx="4990465" cy="2172335"/>
            <wp:effectExtent l="0" t="0" r="635" b="18415"/>
            <wp:wrapSquare wrapText="bothSides"/>
            <wp:docPr id="4" name="图片 4"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3"/>
                    <pic:cNvPicPr>
                      <a:picLocks noChangeAspect="1"/>
                    </pic:cNvPicPr>
                  </pic:nvPicPr>
                  <pic:blipFill>
                    <a:blip r:embed="rId7"/>
                    <a:stretch>
                      <a:fillRect/>
                    </a:stretch>
                  </pic:blipFill>
                  <pic:spPr>
                    <a:xfrm>
                      <a:off x="0" y="0"/>
                      <a:ext cx="4990465" cy="2172335"/>
                    </a:xfrm>
                    <a:prstGeom prst="rect">
                      <a:avLst/>
                    </a:prstGeom>
                  </pic:spPr>
                </pic:pic>
              </a:graphicData>
            </a:graphic>
          </wp:anchor>
        </w:drawing>
      </w:r>
      <w:r>
        <w:rPr>
          <w:rFonts w:ascii="仿宋" w:hAnsi="仿宋" w:eastAsia="仿宋" w:cs="仿宋"/>
          <w:color w:val="000000"/>
          <w:sz w:val="32"/>
          <w:szCs w:val="32"/>
          <w:lang w:eastAsia="zh-CN"/>
        </w:rPr>
        <w:t>2025年度本年支出合计846.29万元，其中：基本支出723.38万元，占85.48%；项目支出122.91万元，占14.52%；上缴上级支出0万元，占0%；经营支出0万元，占0%；对附属单位补助支出0万元，占0%。</w:t>
      </w:r>
    </w:p>
    <w:p>
      <w:pPr>
        <w:spacing w:line="240" w:lineRule="auto"/>
        <w:ind w:firstLine="640"/>
        <w:rPr>
          <w:rFonts w:hint="eastAsia" w:ascii="仿宋" w:hAnsi="仿宋" w:eastAsia="仿宋" w:cs="仿宋"/>
          <w:b/>
          <w:color w:val="000000"/>
          <w:sz w:val="32"/>
          <w:szCs w:val="32"/>
          <w:highlight w:val="none"/>
          <w:shd w:val="clear" w:fill="E5E5E5"/>
          <w:lang w:eastAsia="zh-CN"/>
        </w:rPr>
      </w:pPr>
    </w:p>
    <w:p>
      <w:pPr>
        <w:spacing w:line="600" w:lineRule="exact"/>
        <w:ind w:firstLine="640"/>
        <w:rPr>
          <w:rFonts w:ascii="仿宋" w:hAnsi="仿宋" w:eastAsia="仿宋" w:cs="仿宋"/>
          <w:color w:val="000000"/>
          <w:sz w:val="32"/>
          <w:szCs w:val="32"/>
        </w:rPr>
      </w:pPr>
    </w:p>
    <w:p>
      <w:pPr>
        <w:spacing w:line="600" w:lineRule="exact"/>
        <w:rPr>
          <w:rFonts w:ascii="仿宋_GB2312" w:hAnsi="仿宋_GB2312" w:eastAsia="仿宋_GB2312" w:cs="仿宋"/>
          <w:color w:val="000000"/>
          <w:sz w:val="32"/>
          <w:szCs w:val="32"/>
          <w:highlight w:val="none"/>
        </w:rPr>
      </w:pPr>
      <w:r>
        <w:rPr>
          <w:rFonts w:ascii="仿宋" w:hAnsi="仿宋" w:eastAsia="仿宋" w:cs="仿宋"/>
          <w:color w:val="000000"/>
          <w:sz w:val="32"/>
          <w:szCs w:val="32"/>
        </w:rPr>
        <w:t>（图3：出决算结构图）（饼状图）</w:t>
      </w:r>
    </w:p>
    <w:p>
      <w:pPr>
        <w:numPr>
          <w:ilvl w:val="0"/>
          <w:numId w:val="0"/>
        </w:numPr>
        <w:spacing w:line="600" w:lineRule="exact"/>
        <w:ind w:firstLine="640"/>
        <w:outlineLvl w:val="1"/>
        <w:rPr>
          <w:rStyle w:val="28"/>
          <w:rFonts w:ascii="黑体" w:hAnsi="黑体" w:eastAsia="黑体" w:cs="黑体"/>
          <w:b w:val="0"/>
          <w:color w:val="000000"/>
          <w:highlight w:val="none"/>
        </w:rPr>
      </w:pPr>
      <w:r>
        <w:rPr>
          <w:rFonts w:ascii="黑体" w:hAnsi="黑体" w:eastAsia="黑体" w:cs="黑体"/>
          <w:color w:val="000000"/>
          <w:sz w:val="32"/>
          <w:szCs w:val="32"/>
        </w:rPr>
        <w:t>四、财</w:t>
      </w:r>
      <w:r>
        <w:rPr>
          <w:rStyle w:val="28"/>
          <w:rFonts w:ascii="黑体" w:hAnsi="黑体" w:eastAsia="黑体" w:cs="黑体"/>
          <w:b w:val="0"/>
          <w:color w:val="000000"/>
        </w:rPr>
        <w:t>政拨款收入支出决算总体情况说明</w:t>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2025年度财政拨款收、支总计均为816.20万元。与2024年度相比，财政拨款收、支总计各减少191.25万元，下降18.98%。主要变动原因是：人员经费增减（调出</w:t>
      </w:r>
      <w:r>
        <w:rPr>
          <w:rFonts w:hint="eastAsia" w:ascii="仿宋" w:hAnsi="仿宋" w:eastAsia="仿宋" w:cs="仿宋"/>
          <w:color w:val="000000"/>
          <w:sz w:val="32"/>
          <w:szCs w:val="32"/>
          <w:lang w:val="en-US" w:eastAsia="zh-CN"/>
        </w:rPr>
        <w:t>2</w:t>
      </w:r>
      <w:r>
        <w:rPr>
          <w:rFonts w:ascii="仿宋" w:hAnsi="仿宋" w:eastAsia="仿宋" w:cs="仿宋"/>
          <w:color w:val="000000"/>
          <w:sz w:val="32"/>
          <w:szCs w:val="32"/>
          <w:lang w:eastAsia="zh-CN"/>
        </w:rPr>
        <w:t>人</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厉行节约</w:t>
      </w:r>
      <w:r>
        <w:rPr>
          <w:rFonts w:ascii="仿宋" w:hAnsi="仿宋" w:eastAsia="仿宋" w:cs="仿宋"/>
          <w:color w:val="000000"/>
          <w:sz w:val="32"/>
          <w:szCs w:val="32"/>
          <w:lang w:eastAsia="zh-CN"/>
        </w:rPr>
        <w:t>。</w:t>
      </w:r>
    </w:p>
    <w:p>
      <w:pPr>
        <w:spacing w:line="240" w:lineRule="auto"/>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drawing>
          <wp:inline distT="0" distB="0" distL="114300" distR="114300">
            <wp:extent cx="5269865" cy="3417570"/>
            <wp:effectExtent l="0" t="0" r="6985" b="11430"/>
            <wp:docPr id="5" name="图片 5"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4"/>
                    <pic:cNvPicPr>
                      <a:picLocks noChangeAspect="1"/>
                    </pic:cNvPicPr>
                  </pic:nvPicPr>
                  <pic:blipFill>
                    <a:blip r:embed="rId8"/>
                    <a:stretch>
                      <a:fillRect/>
                    </a:stretch>
                  </pic:blipFill>
                  <pic:spPr>
                    <a:xfrm>
                      <a:off x="0" y="0"/>
                      <a:ext cx="5269865" cy="3417570"/>
                    </a:xfrm>
                    <a:prstGeom prst="rect">
                      <a:avLst/>
                    </a:prstGeom>
                  </pic:spPr>
                </pic:pic>
              </a:graphicData>
            </a:graphic>
          </wp:inline>
        </w:drawing>
      </w:r>
    </w:p>
    <w:p>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（图4：财政拨款收、支决算总计变动情况）（柱状图）</w:t>
      </w:r>
    </w:p>
    <w:p>
      <w:pPr>
        <w:numPr>
          <w:ilvl w:val="0"/>
          <w:numId w:val="0"/>
        </w:numPr>
        <w:spacing w:line="600" w:lineRule="exact"/>
        <w:ind w:firstLine="640"/>
        <w:outlineLvl w:val="1"/>
        <w:rPr>
          <w:rStyle w:val="28"/>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28"/>
          <w:rFonts w:ascii="黑体" w:hAnsi="黑体" w:eastAsia="黑体" w:cs="黑体"/>
          <w:b w:val="0"/>
          <w:color w:val="000000"/>
        </w:rPr>
        <w:t>般公共预算财政拨款支出决算情况说明</w:t>
      </w:r>
    </w:p>
    <w:p>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2025年度一般公共预算财政拨款支出816.20万元，占本年支出合计的96.44%。与2024年度相比，一般公共预算财政拨款支出减少191.25万元，下降18.98%。主要变动原因是：人员经费增减（调出</w:t>
      </w:r>
      <w:r>
        <w:rPr>
          <w:rFonts w:hint="eastAsia" w:ascii="仿宋" w:hAnsi="仿宋" w:eastAsia="仿宋" w:cs="仿宋"/>
          <w:color w:val="000000"/>
          <w:sz w:val="32"/>
          <w:szCs w:val="32"/>
          <w:lang w:val="en-US" w:eastAsia="zh-CN"/>
        </w:rPr>
        <w:t>2</w:t>
      </w:r>
      <w:r>
        <w:rPr>
          <w:rFonts w:ascii="仿宋" w:hAnsi="仿宋" w:eastAsia="仿宋" w:cs="仿宋"/>
          <w:color w:val="000000"/>
          <w:sz w:val="32"/>
          <w:szCs w:val="32"/>
          <w:lang w:eastAsia="zh-CN"/>
        </w:rPr>
        <w:t>人</w:t>
      </w:r>
      <w:r>
        <w:rPr>
          <w:rFonts w:hint="eastAsia" w:ascii="仿宋" w:hAnsi="仿宋" w:eastAsia="仿宋" w:cs="仿宋"/>
          <w:color w:val="000000"/>
          <w:sz w:val="32"/>
          <w:szCs w:val="32"/>
          <w:lang w:eastAsia="zh-CN"/>
        </w:rPr>
        <w:t>）</w:t>
      </w:r>
      <w:r>
        <w:rPr>
          <w:rFonts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厉行节约</w:t>
      </w:r>
      <w:r>
        <w:rPr>
          <w:rFonts w:ascii="仿宋" w:hAnsi="仿宋" w:eastAsia="仿宋" w:cs="仿宋"/>
          <w:color w:val="000000"/>
          <w:sz w:val="32"/>
          <w:szCs w:val="32"/>
          <w:lang w:eastAsia="zh-CN"/>
        </w:rPr>
        <w:t>。</w:t>
      </w:r>
    </w:p>
    <w:p>
      <w:pPr>
        <w:spacing w:line="240" w:lineRule="auto"/>
        <w:ind w:firstLine="640"/>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eastAsia="zh-CN"/>
        </w:rPr>
        <w:drawing>
          <wp:inline distT="0" distB="0" distL="114300" distR="114300">
            <wp:extent cx="5270500" cy="3406140"/>
            <wp:effectExtent l="0" t="0" r="6350" b="3810"/>
            <wp:docPr id="6" name="图片 6" descr="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5"/>
                    <pic:cNvPicPr>
                      <a:picLocks noChangeAspect="1"/>
                    </pic:cNvPicPr>
                  </pic:nvPicPr>
                  <pic:blipFill>
                    <a:blip r:embed="rId9"/>
                    <a:stretch>
                      <a:fillRect/>
                    </a:stretch>
                  </pic:blipFill>
                  <pic:spPr>
                    <a:xfrm>
                      <a:off x="0" y="0"/>
                      <a:ext cx="5270500" cy="3406140"/>
                    </a:xfrm>
                    <a:prstGeom prst="rect">
                      <a:avLst/>
                    </a:prstGeom>
                  </pic:spPr>
                </pic:pic>
              </a:graphicData>
            </a:graphic>
          </wp:inline>
        </w:drawing>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816.20万元，主要用于以下方面:一般公共服务支出643.57万元，占78.85%；教育支出0万元，占0%；科学技术支出0万元，占0%；文化旅游体育与传媒支出0万元，占0%；社会保障和就业支出89.14万元，占10.92%；卫生健康支出35.96万元，占4.41%；住房保障支出47.53万元，占5.82%。</w:t>
      </w:r>
    </w:p>
    <w:p>
      <w:pPr>
        <w:spacing w:line="240" w:lineRule="auto"/>
        <w:ind w:firstLine="640"/>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drawing>
          <wp:inline distT="0" distB="0" distL="114300" distR="114300">
            <wp:extent cx="5266055" cy="3294380"/>
            <wp:effectExtent l="0" t="0" r="10795" b="1270"/>
            <wp:docPr id="7" name="图片 7" descr="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6"/>
                    <pic:cNvPicPr>
                      <a:picLocks noChangeAspect="1"/>
                    </pic:cNvPicPr>
                  </pic:nvPicPr>
                  <pic:blipFill>
                    <a:blip r:embed="rId10"/>
                    <a:stretch>
                      <a:fillRect/>
                    </a:stretch>
                  </pic:blipFill>
                  <pic:spPr>
                    <a:xfrm>
                      <a:off x="0" y="0"/>
                      <a:ext cx="5266055" cy="3294380"/>
                    </a:xfrm>
                    <a:prstGeom prst="rect">
                      <a:avLst/>
                    </a:prstGeom>
                  </pic:spPr>
                </pic:pic>
              </a:graphicData>
            </a:graphic>
          </wp:inline>
        </w:drawing>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pPr>
        <w:spacing w:line="600" w:lineRule="exact"/>
        <w:ind w:firstLine="640"/>
        <w:rPr>
          <w:rFonts w:ascii="仿宋" w:hAnsi="仿宋" w:eastAsia="仿宋" w:cs="仿宋"/>
          <w:color w:val="000000"/>
          <w:sz w:val="32"/>
          <w:szCs w:val="32"/>
          <w:highlight w:val="none"/>
        </w:rPr>
      </w:pPr>
    </w:p>
    <w:p>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2025年度一般公共预算支出决算数为816.20万元，完成预算100%。其中：</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1.一般公共服务（类）人大事务（款）: 支出决算为643.57万元，完成预算100%，与预算数持平。其中：行政运行（2010101）475.80万元、人大会议（2010104）24.91万元、人大监督（2010106）13.90万元、人大代表履职能力提升（2010107）15.02万元、代表工作（2010108）16.01万元、事业运行（2010150）44.86万元、其他人大事务支出（2010199）53.07万元，均与预算数持平。</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2.教育（类）：支出决算为0万元，完成预算100%，此项本部门不涉及。</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3.科学技术（类）：支出决算为0万元，完成预算100%，此项本部门不涉及。</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4.文化旅游体育与传媒（类）：支出决算为0万元，完成预算100%，此项本部门不涉及。</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5.社会保障和就业（类）行政事业单位养老（款）: 支出决算为89.14万元，完成预算100%，与预算数持平。其中：机关事业单位基本养老保险缴费支出（2080505）59.43万元、机关事业单位职业年金缴费支出（2080506）29.70万元。</w:t>
      </w:r>
    </w:p>
    <w:p>
      <w:pPr>
        <w:spacing w:line="600" w:lineRule="exact"/>
        <w:ind w:firstLine="640"/>
        <w:rPr>
          <w:rFonts w:ascii="仿宋" w:hAnsi="仿宋" w:eastAsia="仿宋" w:cs="仿宋"/>
          <w:color w:val="000000"/>
          <w:sz w:val="32"/>
          <w:szCs w:val="32"/>
        </w:rPr>
      </w:pPr>
      <w:r>
        <w:rPr>
          <w:rFonts w:ascii="仿宋" w:hAnsi="仿宋" w:eastAsia="仿宋" w:cs="仿宋"/>
          <w:color w:val="000000"/>
          <w:sz w:val="32"/>
          <w:szCs w:val="32"/>
        </w:rPr>
        <w:t>6.卫生健康（类）行政事业单位医疗（款）: 支出决算为35.96万元，完成预算100%，与预算数持平。其中：行政单位医疗（2101101）25.01万元、事业单位医疗（2101102）2.35万元、公务员医疗补助（2101103）8.21万元、其他行政事业单位医疗支出（2101199）0.39万元。</w:t>
      </w:r>
    </w:p>
    <w:p>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7.住房保障（类）住房改革（款）住房公积金（项）: 支出决算为47.53万元，完成预算100%，与预算数持平。</w:t>
      </w:r>
    </w:p>
    <w:p>
      <w:pPr>
        <w:numPr>
          <w:ilvl w:val="0"/>
          <w:numId w:val="0"/>
        </w:numPr>
        <w:tabs>
          <w:tab w:val="right" w:pos="8306"/>
        </w:tabs>
        <w:spacing w:line="600" w:lineRule="exact"/>
        <w:ind w:firstLine="640"/>
        <w:outlineLvl w:val="1"/>
        <w:rPr>
          <w:rStyle w:val="28"/>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28"/>
          <w:rFonts w:ascii="黑体" w:hAnsi="黑体" w:eastAsia="黑体" w:cs="黑体"/>
          <w:b w:val="0"/>
          <w:color w:val="000000"/>
        </w:rPr>
        <w:t>般公共预算财政拨款基本支出决算情况说明</w:t>
      </w:r>
      <w:r>
        <w:rPr>
          <w:rStyle w:val="28"/>
          <w:rFonts w:ascii="黑体" w:hAnsi="黑体" w:eastAsia="黑体" w:cs="黑体"/>
          <w:b w:val="0"/>
          <w:color w:val="000000"/>
        </w:rPr>
        <w:tab/>
      </w:r>
    </w:p>
    <w:p>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2025年度一般公共预算财政拨款基本支出693.29万元，其中：</w:t>
      </w:r>
    </w:p>
    <w:p>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631.88万元，主要包括：基本工资151.62万元、津贴补贴117.03万元、奖金148.58万元、伙食补助费0万元、绩效工资5.64万元、机关事业单位基本养老保险缴费59.43万元、职业年金缴费29.70万元、职工基本医疗保险缴费27.36万元、公务员医疗补助缴费8.60万元、其他社会保障缴费1.26万元、住房公积金47.53万元、医疗费5.46万元、其他工资福利支出0万元、离休费0万元、退休费0万元、抚恤金0万元、生活补助26.75万元、医疗费补助2.89万元、奖励金0.03万元、其他对个人和家庭的补助0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61.41万元，主要包括：办公费6.07万元、印刷费7.00万元、手续费0万元、水费0.18万元、电费0万元、邮电费2.83万元、取暖费0万元、物业管理费0万元、差旅费23.85万元、因公出国（境）费用0万元、维修（护）费0.71万元、租赁费0万元、会议费0万元、培训费0万元、公务接待费0.20万元、专用材料费0万元、被装购置费0万元、专用燃料费0万元、劳务费0万元、委托业务费0万元、工会经费0万元、福利费0万元、公务用车运行维护费10.86万元、其他交通费用5.28万元、税金及附加费用0万元、其他商品和服务支出4.44万元等。</w:t>
      </w:r>
    </w:p>
    <w:p>
      <w:pPr>
        <w:numPr>
          <w:ilvl w:val="0"/>
          <w:numId w:val="0"/>
        </w:numPr>
        <w:spacing w:line="600" w:lineRule="exact"/>
        <w:ind w:firstLine="640"/>
        <w:outlineLvl w:val="1"/>
        <w:rPr>
          <w:rStyle w:val="28"/>
          <w:rFonts w:ascii="黑体" w:hAnsi="黑体" w:eastAsia="黑体" w:cs="黑体"/>
          <w:b w:val="0"/>
          <w:color w:val="000000"/>
          <w:highlight w:val="none"/>
        </w:rPr>
      </w:pPr>
      <w:r>
        <w:rPr>
          <w:rFonts w:ascii="黑体" w:hAnsi="黑体" w:eastAsia="黑体"/>
          <w:color w:val="000000"/>
          <w:sz w:val="32"/>
          <w:szCs w:val="32"/>
        </w:rPr>
        <w:t>七、</w:t>
      </w:r>
      <w:r>
        <w:rPr>
          <w:rStyle w:val="28"/>
          <w:rFonts w:ascii="黑体" w:hAnsi="黑体" w:eastAsia="黑体" w:cs="黑体"/>
          <w:b w:val="0"/>
          <w:color w:val="000000"/>
        </w:rPr>
        <w:t>财政拨款</w:t>
      </w:r>
      <w:r>
        <w:rPr>
          <w:rStyle w:val="28"/>
          <w:rFonts w:ascii="黑体" w:hAnsi="黑体" w:eastAsia="黑体" w:cs="黑体"/>
          <w:color w:val="000000"/>
        </w:rPr>
        <w:t>“</w:t>
      </w:r>
      <w:r>
        <w:rPr>
          <w:rStyle w:val="28"/>
          <w:rFonts w:ascii="黑体" w:hAnsi="黑体" w:eastAsia="黑体" w:cs="黑体"/>
          <w:b w:val="0"/>
          <w:color w:val="000000"/>
        </w:rPr>
        <w:t>三公”经费支出决算情况说明</w:t>
      </w:r>
    </w:p>
    <w:p>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2025年度“三公”经费财政拨款支出决算为11.06万元，完成预算100%，较2024年度减少0.38万元，下降3.32%</w:t>
      </w:r>
      <w:r>
        <w:rPr>
          <w:rFonts w:hint="eastAsia" w:ascii="仿宋" w:hAnsi="仿宋" w:eastAsia="仿宋" w:cs="仿宋"/>
          <w:color w:val="000000"/>
          <w:sz w:val="32"/>
          <w:szCs w:val="32"/>
          <w:lang w:eastAsia="zh-CN"/>
        </w:rPr>
        <w:t>，</w:t>
      </w:r>
      <w:r>
        <w:rPr>
          <w:rFonts w:ascii="仿宋" w:hAnsi="仿宋" w:eastAsia="仿宋" w:cs="仿宋"/>
          <w:color w:val="000000"/>
          <w:sz w:val="32"/>
          <w:szCs w:val="32"/>
          <w:lang w:eastAsia="zh-CN"/>
        </w:rPr>
        <w:t>与预算数持平。</w:t>
      </w:r>
    </w:p>
    <w:p>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2025年度“三公”经费财政拨款支出决算中，因公出国（境）费支出决算0万元，占0.00%；公务用车购置及运行维护费支出决算10.86万元，占98.19%；公务接待费支出决算0.20万元，占1.81%。具体情况如下：</w:t>
      </w:r>
    </w:p>
    <w:p>
      <w:pPr>
        <w:spacing w:line="600" w:lineRule="exact"/>
        <w:ind w:firstLine="640"/>
        <w:rPr>
          <w:rFonts w:ascii="仿宋" w:hAnsi="仿宋" w:eastAsia="仿宋" w:cs="仿宋"/>
          <w:color w:val="000000"/>
          <w:sz w:val="32"/>
          <w:szCs w:val="32"/>
          <w:lang w:eastAsia="zh-CN"/>
        </w:rPr>
      </w:pPr>
      <w:r>
        <w:rPr>
          <w:rFonts w:ascii="仿宋" w:hAnsi="仿宋" w:eastAsia="仿宋" w:cs="仿宋"/>
          <w:color w:val="000000"/>
          <w:sz w:val="32"/>
          <w:szCs w:val="32"/>
          <w:lang w:eastAsia="zh-CN"/>
        </w:rPr>
        <w:t>1.因公出国（境）经费支出0万元，完成预算100%。全年安排因公出国（境）团组0次，出国（境）0人。因公出国（境）支出决算比2024年无变化。</w:t>
      </w:r>
    </w:p>
    <w:p>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我单位无因公出国（境）经费支出。</w:t>
      </w:r>
    </w:p>
    <w:p>
      <w:pPr>
        <w:spacing w:line="600" w:lineRule="exact"/>
        <w:ind w:firstLine="640"/>
        <w:rPr>
          <w:rFonts w:ascii="仿宋" w:hAnsi="仿宋" w:eastAsia="仿宋" w:cs="仿宋"/>
          <w:color w:val="000000"/>
          <w:sz w:val="32"/>
          <w:szCs w:val="32"/>
          <w:lang w:eastAsia="zh-CN"/>
        </w:rPr>
      </w:pPr>
      <w:r>
        <w:rPr>
          <w:rFonts w:ascii="仿宋" w:hAnsi="仿宋" w:eastAsia="仿宋" w:cs="仿宋"/>
          <w:color w:val="000000"/>
          <w:sz w:val="32"/>
          <w:szCs w:val="32"/>
          <w:lang w:eastAsia="zh-CN"/>
        </w:rPr>
        <w:t>2.公务用车购置及运行维护费支出10.86万元,完成预算100%。公务用车购置及运行维护费支出决算比2024年度增加0.01万元，上升0.09%。主要原因是：公务用车运行维护成本略有增加。</w:t>
      </w:r>
    </w:p>
    <w:p>
      <w:pPr>
        <w:spacing w:line="600" w:lineRule="exact"/>
        <w:ind w:firstLine="640"/>
        <w:rPr>
          <w:rFonts w:ascii="仿宋" w:hAnsi="仿宋" w:eastAsia="仿宋" w:cs="仿宋"/>
          <w:color w:val="000000"/>
          <w:sz w:val="32"/>
          <w:szCs w:val="32"/>
          <w:lang w:eastAsia="zh-CN"/>
        </w:rPr>
      </w:pPr>
      <w:r>
        <w:rPr>
          <w:rFonts w:ascii="仿宋_GB2312" w:hAnsi="仿宋_GB2312" w:eastAsia="仿宋_GB2312"/>
          <w:color w:val="000000"/>
          <w:sz w:val="32"/>
          <w:szCs w:val="32"/>
        </w:rPr>
        <w:t>其中：公务用车购置支出0万元。全年按规定更新购置公务用车0辆，其中：轿车0辆、金额0万元，越野车0辆、金额0万元，载客汽车0辆、金额0万元。截至2025年12月31日，单位共有公务用车4辆，其中：轿车0辆、越野车4辆、载客汽车0辆。</w:t>
      </w:r>
      <w:r>
        <w:rPr>
          <w:rFonts w:ascii="仿宋" w:hAnsi="仿宋" w:eastAsia="仿宋" w:cs="仿宋"/>
          <w:color w:val="000000"/>
          <w:sz w:val="32"/>
          <w:szCs w:val="32"/>
          <w:lang w:eastAsia="zh-CN"/>
        </w:rPr>
        <w:t>公务用车运行维护费支出10.86万元。主要用于县内下乡视察调查、执法检查、调研、精准扶贫帮扶等工作所需的公务用车燃料费、维修费、过路过桥费、保险费等支出。</w:t>
      </w:r>
    </w:p>
    <w:p>
      <w:pPr>
        <w:spacing w:line="600" w:lineRule="exact"/>
        <w:ind w:firstLine="640"/>
        <w:rPr>
          <w:rFonts w:ascii="仿宋" w:hAnsi="仿宋" w:eastAsia="仿宋" w:cs="仿宋"/>
          <w:color w:val="000000"/>
          <w:sz w:val="32"/>
          <w:szCs w:val="32"/>
          <w:lang w:eastAsia="zh-CN"/>
        </w:rPr>
      </w:pPr>
      <w:r>
        <w:rPr>
          <w:rFonts w:ascii="仿宋" w:hAnsi="仿宋" w:eastAsia="仿宋" w:cs="仿宋"/>
          <w:color w:val="000000"/>
          <w:sz w:val="32"/>
          <w:szCs w:val="32"/>
          <w:lang w:eastAsia="zh-CN"/>
        </w:rPr>
        <w:t>3.公务接待费支出0.20万元，完成预算100%。公务接待费支出决算比2024年度减少0.39万元，下降66.10%。主要原因是：厉行节约，减少成本。其中：</w:t>
      </w:r>
    </w:p>
    <w:p>
      <w:pPr>
        <w:spacing w:line="600" w:lineRule="exact"/>
        <w:ind w:firstLine="640"/>
        <w:rPr>
          <w:rFonts w:ascii="仿宋_GB2312" w:hAnsi="仿宋_GB2312" w:eastAsia="仿宋_GB2312"/>
          <w:color w:val="000000"/>
          <w:sz w:val="32"/>
          <w:szCs w:val="32"/>
          <w:highlight w:val="none"/>
        </w:rPr>
      </w:pPr>
      <w:r>
        <w:rPr>
          <w:rFonts w:ascii="仿宋" w:hAnsi="仿宋" w:eastAsia="仿宋" w:cs="仿宋"/>
          <w:b/>
          <w:color w:val="000000"/>
          <w:sz w:val="32"/>
          <w:szCs w:val="32"/>
        </w:rPr>
        <w:t>国内公务接待支出0.20万元，主要用于执行公务、开展业务活动开支的交通费、住宿费、用餐费等。国内公务接待3批次，45人次（不包括陪同人员），共计支出0.20万元。</w:t>
      </w:r>
    </w:p>
    <w:p>
      <w:pPr>
        <w:spacing w:line="600" w:lineRule="exact"/>
        <w:ind w:firstLine="643"/>
        <w:rPr>
          <w:rFonts w:ascii="仿宋" w:hAnsi="仿宋" w:eastAsia="仿宋" w:cs="仿宋"/>
          <w:b/>
          <w:color w:val="000000"/>
          <w:sz w:val="32"/>
          <w:szCs w:val="32"/>
        </w:rPr>
      </w:pPr>
      <w:r>
        <w:rPr>
          <w:rFonts w:ascii="仿宋" w:hAnsi="仿宋" w:eastAsia="仿宋" w:cs="仿宋"/>
          <w:b/>
          <w:color w:val="000000"/>
          <w:sz w:val="32"/>
          <w:szCs w:val="32"/>
        </w:rPr>
        <w:t>外事接待支出0万元，本部门不涉及外事接待。</w:t>
      </w:r>
    </w:p>
    <w:p>
      <w:pPr>
        <w:pStyle w:val="13"/>
      </w:pPr>
    </w:p>
    <w:p>
      <w:pPr>
        <w:spacing w:line="600" w:lineRule="exact"/>
        <w:ind w:firstLine="640"/>
        <w:rPr>
          <w:rFonts w:ascii="黑体" w:hAnsi="黑体" w:eastAsia="黑体"/>
          <w:color w:val="000000"/>
          <w:sz w:val="32"/>
          <w:szCs w:val="32"/>
          <w:highlight w:val="none"/>
        </w:rPr>
      </w:pPr>
      <w:r>
        <w:rPr>
          <w:rFonts w:ascii="方正小标宋简体" w:hAnsi="方正小标宋简体" w:eastAsia="方正小标宋简体" w:cs="Times New Roman"/>
          <w:color w:val="000000"/>
          <w:kern w:val="2"/>
          <w:sz w:val="44"/>
          <w:szCs w:val="44"/>
          <w:highlight w:val="none"/>
          <w:lang w:val="en-US" w:eastAsia="zh-CN" w:bidi="ar-SA"/>
        </w:rPr>
        <w:drawing>
          <wp:anchor distT="0" distB="0" distL="114300" distR="114300" simplePos="0" relativeHeight="251660288" behindDoc="0" locked="0" layoutInCell="1" allowOverlap="1">
            <wp:simplePos x="0" y="0"/>
            <wp:positionH relativeFrom="column">
              <wp:posOffset>83185</wp:posOffset>
            </wp:positionH>
            <wp:positionV relativeFrom="paragraph">
              <wp:posOffset>74295</wp:posOffset>
            </wp:positionV>
            <wp:extent cx="5266690" cy="3500120"/>
            <wp:effectExtent l="0" t="0" r="10160" b="5080"/>
            <wp:wrapSquare wrapText="bothSides"/>
            <wp:docPr id="1" name="图片 1" descr="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7"/>
                    <pic:cNvPicPr>
                      <a:picLocks noChangeAspect="1"/>
                    </pic:cNvPicPr>
                  </pic:nvPicPr>
                  <pic:blipFill>
                    <a:blip r:embed="rId11"/>
                    <a:stretch>
                      <a:fillRect/>
                    </a:stretch>
                  </pic:blipFill>
                  <pic:spPr>
                    <a:xfrm>
                      <a:off x="0" y="0"/>
                      <a:ext cx="5266690" cy="3500120"/>
                    </a:xfrm>
                    <a:prstGeom prst="rect">
                      <a:avLst/>
                    </a:prstGeom>
                  </pic:spPr>
                </pic:pic>
              </a:graphicData>
            </a:graphic>
          </wp:anchor>
        </w:drawing>
      </w:r>
      <w:r>
        <w:rPr>
          <w:rFonts w:ascii="仿宋" w:hAnsi="仿宋" w:eastAsia="仿宋" w:cs="仿宋"/>
          <w:color w:val="000000"/>
          <w:sz w:val="32"/>
          <w:szCs w:val="32"/>
        </w:rPr>
        <w:t>（图7：“三公”经费财政拨款支出结构）（饼状图）</w:t>
      </w:r>
    </w:p>
    <w:p>
      <w:pPr>
        <w:numPr>
          <w:ilvl w:val="0"/>
          <w:numId w:val="0"/>
        </w:numPr>
        <w:spacing w:line="600" w:lineRule="exact"/>
        <w:ind w:firstLine="640"/>
        <w:outlineLvl w:val="1"/>
        <w:rPr>
          <w:rStyle w:val="28"/>
          <w:rFonts w:ascii="黑体" w:hAnsi="黑体" w:eastAsia="黑体" w:cs="黑体"/>
          <w:color w:val="000000"/>
          <w:highlight w:val="none"/>
        </w:rPr>
      </w:pPr>
      <w:r>
        <w:rPr>
          <w:rFonts w:ascii="黑体" w:hAnsi="黑体" w:eastAsia="黑体"/>
          <w:color w:val="000000"/>
          <w:sz w:val="32"/>
          <w:szCs w:val="32"/>
        </w:rPr>
        <w:t>八、</w:t>
      </w:r>
      <w:r>
        <w:rPr>
          <w:rStyle w:val="28"/>
          <w:rFonts w:ascii="黑体" w:hAnsi="黑体" w:eastAsia="黑体" w:cs="黑体"/>
          <w:b w:val="0"/>
          <w:color w:val="000000"/>
        </w:rPr>
        <w:t>政府性基金预算支出决算情况说明</w:t>
      </w:r>
    </w:p>
    <w:p>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lang w:eastAsia="zh-CN"/>
        </w:rPr>
        <w:t>2025年度政府性基金预算财政拨款支出0万元。我部门没有使用政府性基金预算安排支出，故本表无数据。</w:t>
      </w:r>
    </w:p>
    <w:p>
      <w:pPr>
        <w:numPr>
          <w:ilvl w:val="0"/>
          <w:numId w:val="4"/>
        </w:numPr>
        <w:spacing w:line="600" w:lineRule="exact"/>
        <w:ind w:left="0" w:firstLine="640"/>
        <w:outlineLvl w:val="1"/>
        <w:rPr>
          <w:rStyle w:val="28"/>
          <w:rFonts w:ascii="黑体" w:hAnsi="黑体" w:eastAsia="黑体" w:cs="黑体"/>
          <w:b w:val="0"/>
          <w:color w:val="000000"/>
          <w:highlight w:val="none"/>
        </w:rPr>
      </w:pPr>
      <w:r>
        <w:rPr>
          <w:rStyle w:val="28"/>
          <w:rFonts w:ascii="黑体" w:hAnsi="黑体" w:eastAsia="黑体" w:cs="黑体"/>
          <w:b w:val="0"/>
          <w:color w:val="000000"/>
        </w:rPr>
        <w:t>国有资本经营预算支出决算情况说明</w:t>
      </w:r>
    </w:p>
    <w:p>
      <w:pPr>
        <w:spacing w:line="600" w:lineRule="exact"/>
        <w:ind w:firstLine="640"/>
        <w:rPr>
          <w:rFonts w:ascii="方正小标宋简体" w:hAnsi="方正小标宋简体" w:eastAsia="方正小标宋简体" w:cs="方正小标宋简体"/>
          <w:color w:val="000000"/>
          <w:sz w:val="44"/>
          <w:szCs w:val="44"/>
          <w:highlight w:val="none"/>
        </w:rPr>
      </w:pPr>
      <w:r>
        <w:rPr>
          <w:rFonts w:ascii="仿宋_GB2312" w:hAnsi="仿宋_GB2312" w:eastAsia="仿宋_GB2312"/>
          <w:color w:val="000000"/>
          <w:sz w:val="32"/>
          <w:szCs w:val="32"/>
          <w:lang w:eastAsia="zh-CN"/>
        </w:rPr>
        <w:t>2025年度国有资本经营预算财政拨款支出0万元。我部门没有使用国有资本经营预算安排的支出，故本表无数据。</w:t>
      </w:r>
    </w:p>
    <w:p>
      <w:pPr>
        <w:numPr>
          <w:ilvl w:val="0"/>
          <w:numId w:val="4"/>
        </w:numPr>
        <w:spacing w:line="600" w:lineRule="exact"/>
        <w:ind w:left="0" w:firstLine="640"/>
        <w:outlineLvl w:val="1"/>
        <w:rPr>
          <w:rStyle w:val="28"/>
          <w:rFonts w:ascii="黑体" w:hAnsi="黑体" w:eastAsia="黑体" w:cs="黑体"/>
          <w:b w:val="0"/>
          <w:color w:val="000000"/>
          <w:highlight w:val="none"/>
        </w:rPr>
      </w:pPr>
      <w:r>
        <w:rPr>
          <w:rStyle w:val="28"/>
          <w:rFonts w:ascii="黑体" w:hAnsi="黑体" w:eastAsia="黑体" w:cs="黑体"/>
          <w:b w:val="0"/>
          <w:color w:val="000000"/>
        </w:rPr>
        <w:t>其他重要事项的情况说明</w:t>
      </w:r>
    </w:p>
    <w:p>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pPr>
        <w:spacing w:line="600" w:lineRule="exact"/>
        <w:ind w:firstLine="640"/>
        <w:rPr>
          <w:rFonts w:ascii="仿宋_GB2312" w:hAnsi="仿宋_GB2312" w:eastAsia="仿宋_GB2312"/>
          <w:color w:val="000000"/>
          <w:sz w:val="32"/>
          <w:szCs w:val="32"/>
          <w:highlight w:val="none"/>
          <w:lang w:eastAsia="zh-CN"/>
        </w:rPr>
      </w:pPr>
      <w:r>
        <w:rPr>
          <w:rFonts w:ascii="仿宋_GB2312" w:hAnsi="仿宋_GB2312" w:eastAsia="仿宋_GB2312"/>
          <w:color w:val="000000"/>
          <w:sz w:val="32"/>
          <w:szCs w:val="32"/>
          <w:lang w:eastAsia="zh-CN"/>
        </w:rPr>
        <w:t>2025年度，小金县人民代表大会常务委员会机关运行经费支出61.41万元，比2024年度减少90.17万元，下降59.49%。主要原因是：印发《小金人大》刊物印刷业务量减少，印刷费下降。</w:t>
      </w:r>
    </w:p>
    <w:p>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lang w:eastAsia="zh-CN"/>
        </w:rPr>
        <w:t>2025年度，小金县人民代表大会常务委员会政府采购支出总额0万元，其中：政府采购货物支出0万元、政府采购工程支出0万元、政府采购服务支出0万元。授予中小企业合同金额0万元，占政府采购支出总额的100%，其中：授予小微企业合同金额0万元，占政府采购支出总额的100%。</w:t>
      </w:r>
    </w:p>
    <w:p>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pPr>
        <w:autoSpaceDE w:val="0"/>
        <w:spacing w:line="60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截至2025年12月31日，小金县人民代表大会常务委员会共有车辆4辆，其中：主要领导干部用车0辆、机要通信用车0辆、应急保障用车4辆、其他用车0辆。单价100万元以上设备（不含车辆）0台（套）。</w:t>
      </w:r>
    </w:p>
    <w:p>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（四）预算绩效管理情况</w:t>
      </w:r>
    </w:p>
    <w:p>
      <w:pPr>
        <w:spacing w:line="580" w:lineRule="exact"/>
        <w:ind w:firstLine="640"/>
        <w:rPr>
          <w:rFonts w:ascii="仿宋_GB2312" w:hAnsi="仿宋_GB2312" w:eastAsia="仿宋_GB2312" w:cs="仿宋_GB2312"/>
          <w:color w:val="000000"/>
          <w:sz w:val="32"/>
          <w:szCs w:val="32"/>
          <w:highlight w:val="none"/>
          <w:lang w:eastAsia="zh-CN"/>
        </w:rPr>
      </w:pPr>
      <w:r>
        <w:rPr>
          <w:rFonts w:ascii="仿宋_GB2312" w:hAnsi="仿宋_GB2312" w:eastAsia="仿宋_GB2312" w:cs="仿宋_GB2312"/>
          <w:color w:val="000000"/>
          <w:sz w:val="32"/>
          <w:szCs w:val="32"/>
        </w:rPr>
        <w:t>根据预算绩效管理要求，本部门在2025年度预算编制阶段，组织对人大会议项目等5个项目开展了预算事前绩效评估，对5个项目编制了绩效目标，预算执行过程中，选取5个项目开展绩效监控。</w:t>
      </w:r>
    </w:p>
    <w:p>
      <w:pPr>
        <w:spacing w:line="580" w:lineRule="exact"/>
        <w:ind w:firstLine="640"/>
        <w:rPr>
          <w:rFonts w:ascii="仿宋_GB2312" w:hAnsi="仿宋_GB2312" w:eastAsia="仿宋_GB2312" w:cs="仿宋_GB2312"/>
          <w:color w:val="000000"/>
          <w:sz w:val="32"/>
          <w:szCs w:val="32"/>
          <w:highlight w:val="none"/>
          <w:lang w:val="en-US" w:eastAsia="zh-CN"/>
        </w:rPr>
      </w:pPr>
      <w:r>
        <w:rPr>
          <w:rFonts w:ascii="仿宋_GB2312" w:hAnsi="仿宋_GB2312" w:eastAsia="仿宋_GB2312" w:cs="仿宋_GB2312"/>
          <w:color w:val="000000"/>
          <w:sz w:val="32"/>
          <w:szCs w:val="32"/>
          <w:lang w:eastAsia="zh-CN"/>
        </w:rPr>
        <w:t>组织对2025年度一般公共预算、政府性基金预算、国有资本经营预算、社会保险基金预算以及资本资产、债券资金等全面开展绩效自评，形成小金县人民代表大会常务委员会部门整体（含部门预算项目）绩效自评报告、专项预算项目绩效自评报告，其中，小金县人民代表大会常务委员会部门整体（含部门预算项目）绩效自评得分为95分，绩效自评综述：良好；专项预算项目绩效自评得分待填列。绩效自评报告详见附件。</w:t>
      </w:r>
    </w:p>
    <w:p>
      <w:pPr>
        <w:widowControl/>
        <w:ind w:firstLine="643"/>
        <w:jc w:val="left"/>
        <w:rPr>
          <w:rFonts w:ascii="仿宋_GB2312" w:hAnsi="仿宋_GB2312" w:eastAsia="仿宋_GB2312" w:cs="仿宋_GB2312"/>
          <w:b/>
          <w:color w:val="000000"/>
          <w:sz w:val="32"/>
          <w:szCs w:val="32"/>
          <w:highlight w:val="none"/>
          <w:lang w:val="en-US" w:eastAsia="zh-CN"/>
        </w:rPr>
      </w:pPr>
    </w:p>
    <w:p>
      <w:pPr>
        <w:rPr>
          <w:rFonts w:ascii="仿宋_GB2312" w:hAnsi="仿宋_GB2312" w:eastAsia="仿宋_GB2312"/>
          <w:b/>
          <w:color w:val="000000"/>
          <w:sz w:val="32"/>
          <w:szCs w:val="32"/>
          <w:highlight w:val="none"/>
        </w:rPr>
      </w:pPr>
    </w:p>
    <w:p>
      <w:pPr>
        <w:numPr>
          <w:ilvl w:val="0"/>
          <w:numId w:val="5"/>
        </w:numPr>
        <w:spacing w:line="600" w:lineRule="exact"/>
        <w:ind w:left="0" w:firstLine="660"/>
        <w:jc w:val="center"/>
        <w:outlineLvl w:val="0"/>
        <w:rPr>
          <w:rStyle w:val="27"/>
          <w:rFonts w:ascii="黑体" w:hAnsi="黑体" w:eastAsia="黑体" w:cs="黑体"/>
          <w:b w:val="0"/>
          <w:color w:val="000000"/>
          <w:highlight w:val="none"/>
        </w:rPr>
      </w:pPr>
      <w:r>
        <w:rPr>
          <w:rFonts w:ascii="黑体" w:hAnsi="黑体" w:eastAsia="黑体" w:cs="黑体"/>
          <w:color w:val="000000"/>
          <w:sz w:val="44"/>
          <w:szCs w:val="44"/>
        </w:rPr>
        <w:t>名</w:t>
      </w:r>
      <w:r>
        <w:rPr>
          <w:rStyle w:val="27"/>
          <w:rFonts w:ascii="黑体" w:hAnsi="黑体" w:eastAsia="黑体" w:cs="黑体"/>
          <w:b w:val="0"/>
          <w:color w:val="000000"/>
        </w:rPr>
        <w:t>词解释</w:t>
      </w:r>
    </w:p>
    <w:p>
      <w:pPr>
        <w:spacing w:line="600" w:lineRule="exact"/>
        <w:jc w:val="left"/>
        <w:rPr>
          <w:rStyle w:val="27"/>
          <w:rFonts w:ascii="宋体" w:hAnsi="宋体" w:eastAsia="黑体" w:cs="黑体"/>
          <w:b/>
          <w:color w:val="000000"/>
          <w:sz w:val="44"/>
          <w:szCs w:val="44"/>
          <w:highlight w:val="none"/>
        </w:rPr>
      </w:pP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1.财政拨款收入：指单位从同级财政部门取得的财政预算资金。</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2.事业收入：指事业单位开展专业业务活动及辅助活动取得的收入。如…（二级预算单位事业收入情况）等。</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3.经营收入：指事业单位在专业业务活动及其辅助活动之外开展非独立核算经营活动取得的收入。如…（二级预算单位经营收入情况）等。</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4.其他收入：指单位取得的除上述收入以外的各项收入。主要是…（收入类型）等。 </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5.</w:t>
      </w:r>
      <w:r>
        <w:rPr>
          <w:rFonts w:ascii="仿宋_GB2312" w:hAnsi="仿宋_GB2312" w:eastAsia="仿宋_GB2312" w:cs="华文中宋;宋体"/>
          <w:sz w:val="32"/>
          <w:szCs w:val="32"/>
          <w:u w:val="none"/>
          <w:lang w:eastAsia="zh-CN"/>
        </w:rPr>
        <w:t>使用非财政拨款结余（含专用结余）</w:t>
      </w:r>
      <w:r>
        <w:rPr>
          <w:rFonts w:ascii="仿宋_GB2312" w:hAnsi="仿宋_GB2312" w:eastAsia="仿宋_GB2312"/>
          <w:color w:val="000000"/>
          <w:sz w:val="32"/>
          <w:szCs w:val="32"/>
        </w:rPr>
        <w:t>：指事业单位</w:t>
      </w:r>
      <w:r>
        <w:rPr>
          <w:rFonts w:ascii="仿宋_GB2312" w:hAnsi="仿宋_GB2312" w:eastAsia="仿宋_GB2312"/>
          <w:color w:val="000000"/>
          <w:sz w:val="32"/>
          <w:szCs w:val="32"/>
          <w:lang w:eastAsia="zh-CN"/>
        </w:rPr>
        <w:t>使用以前年度积累的非财政拨款结余弥补当年收支差额的金额。</w:t>
      </w:r>
      <w:r>
        <w:rPr>
          <w:rFonts w:ascii="仿宋_GB2312" w:hAnsi="仿宋_GB2312" w:eastAsia="仿宋_GB2312"/>
          <w:color w:val="000000"/>
          <w:sz w:val="32"/>
          <w:szCs w:val="32"/>
        </w:rPr>
        <w:t xml:space="preserve"> </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6.年初结转和结余：指以前年度尚未完成、结转到本年按有关规定继续使用的资金。 </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7.结余分配：指事业单位按照会计制度规定</w:t>
      </w:r>
      <w:r>
        <w:rPr>
          <w:rFonts w:ascii="仿宋_GB2312" w:hAnsi="仿宋_GB2312" w:eastAsia="仿宋_GB2312"/>
          <w:color w:val="000000"/>
          <w:sz w:val="32"/>
          <w:szCs w:val="32"/>
          <w:lang w:eastAsia="zh-CN"/>
        </w:rPr>
        <w:t>缴纳的所得税、提取的专用结余以及转入非财政拨款结余的金额</w:t>
      </w:r>
      <w:r>
        <w:rPr>
          <w:rFonts w:ascii="仿宋_GB2312" w:hAnsi="仿宋_GB2312" w:eastAsia="仿宋_GB2312"/>
          <w:color w:val="000000"/>
          <w:sz w:val="32"/>
          <w:szCs w:val="32"/>
        </w:rPr>
        <w:t>等。</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8</w:t>
      </w:r>
      <w:r>
        <w:rPr>
          <w:rFonts w:ascii="仿宋_GB2312" w:hAnsi="仿宋_GB2312" w:eastAsia="仿宋_GB2312"/>
          <w:color w:val="000000"/>
          <w:sz w:val="32"/>
          <w:szCs w:val="32"/>
          <w:lang w:val="en-US" w:eastAsia="zh-CN"/>
        </w:rPr>
        <w:t>.</w:t>
      </w:r>
      <w:r>
        <w:rPr>
          <w:rFonts w:ascii="仿宋_GB2312" w:hAnsi="仿宋_GB2312" w:eastAsia="仿宋_GB2312"/>
          <w:color w:val="000000"/>
          <w:sz w:val="32"/>
          <w:szCs w:val="32"/>
        </w:rPr>
        <w:t>年末结转和结余：指单位按有关规定结转到下年或以后年度继续使用的资金。</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9.一般公共服务（类）…（款）…（项）：指……。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10.外交（类）…（款）…（项）：指……。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11.公共安全（类）…（款）…（项）：指……。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12.教育（类）…（款）…（项）：指……。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13.科学技术（类）…（款）…（项）：指……。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14.文化</w:t>
      </w:r>
      <w:r>
        <w:rPr>
          <w:rFonts w:ascii="仿宋_GB2312" w:hAnsi="仿宋_GB2312" w:eastAsia="仿宋_GB2312"/>
          <w:color w:val="000000"/>
          <w:sz w:val="32"/>
          <w:szCs w:val="32"/>
          <w:lang w:eastAsia="zh-CN"/>
        </w:rPr>
        <w:t>旅游</w:t>
      </w:r>
      <w:r>
        <w:rPr>
          <w:rFonts w:ascii="仿宋_GB2312" w:hAnsi="仿宋_GB2312" w:eastAsia="仿宋_GB2312"/>
          <w:color w:val="000000"/>
          <w:sz w:val="32"/>
          <w:szCs w:val="32"/>
        </w:rPr>
        <w:t>体育与传媒（类）…（款）…（项）：指……。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15.社会保障和就业（类）…（款）…（项）：指……。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16.</w:t>
      </w:r>
      <w:r>
        <w:rPr>
          <w:rFonts w:ascii="仿宋_GB2312" w:hAnsi="仿宋_GB2312" w:eastAsia="仿宋_GB2312"/>
          <w:color w:val="000000"/>
          <w:sz w:val="32"/>
          <w:szCs w:val="32"/>
          <w:lang w:eastAsia="zh-CN"/>
        </w:rPr>
        <w:t>卫生健康</w:t>
      </w:r>
      <w:r>
        <w:rPr>
          <w:rFonts w:ascii="仿宋_GB2312" w:hAnsi="仿宋_GB2312" w:eastAsia="仿宋_GB2312"/>
          <w:color w:val="000000"/>
          <w:sz w:val="32"/>
          <w:szCs w:val="32"/>
        </w:rPr>
        <w:t>（类）…（款）…（项）：指……。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17.节能环保（类）…（款）…（项）：指……。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18.城乡社区（类）…（款）…（项）：指……。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19.农林水（类）…（款）…（项）：指……。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20.交通运输（类）…（款）…（项）：指……。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21.资源勘探</w:t>
      </w:r>
      <w:r>
        <w:rPr>
          <w:rFonts w:ascii="仿宋_GB2312" w:hAnsi="仿宋_GB2312" w:eastAsia="仿宋_GB2312"/>
          <w:color w:val="000000"/>
          <w:sz w:val="32"/>
          <w:szCs w:val="32"/>
          <w:lang w:eastAsia="zh-CN"/>
        </w:rPr>
        <w:t>工业</w:t>
      </w:r>
      <w:r>
        <w:rPr>
          <w:rFonts w:ascii="仿宋_GB2312" w:hAnsi="仿宋_GB2312" w:eastAsia="仿宋_GB2312"/>
          <w:color w:val="000000"/>
          <w:sz w:val="32"/>
          <w:szCs w:val="32"/>
        </w:rPr>
        <w:t>信息等（类）…（款）…（项）：指……。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22.商业服务业（类）…（款）…（项）：指……。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23.金融（类）…（款）…（项）：指……。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24.</w:t>
      </w:r>
      <w:r>
        <w:rPr>
          <w:rFonts w:ascii="仿宋_GB2312" w:hAnsi="仿宋_GB2312" w:eastAsia="仿宋_GB2312"/>
          <w:color w:val="000000"/>
          <w:sz w:val="32"/>
          <w:szCs w:val="32"/>
          <w:lang w:eastAsia="zh-CN"/>
        </w:rPr>
        <w:t>自然资源</w:t>
      </w:r>
      <w:r>
        <w:rPr>
          <w:rFonts w:ascii="仿宋_GB2312" w:hAnsi="仿宋_GB2312" w:eastAsia="仿宋_GB2312"/>
          <w:color w:val="000000"/>
          <w:sz w:val="32"/>
          <w:szCs w:val="32"/>
        </w:rPr>
        <w:t>海洋气象等（类）…（款）…（项）：指……。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25.住房保障（类）…（款）…（项）：指……。</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26.粮油物资储备（类）…（款）…（项）：指……。</w:t>
      </w:r>
    </w:p>
    <w:p>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（解释本部门决算报表中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2024</w:t>
      </w:r>
      <w:r>
        <w:rPr>
          <w:rFonts w:ascii="仿宋" w:hAnsi="仿宋" w:eastAsia="仿宋" w:cs="仿宋"/>
          <w:b/>
          <w:color w:val="000000"/>
          <w:sz w:val="32"/>
          <w:szCs w:val="32"/>
        </w:rPr>
        <w:t>年政府收支分类科目》增减内容。）</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27.基本支出：指为保障机构正常运转、完成日常工作任务而发生的人员支出和公用支出。</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28.项目支出：指在基本支出之外为完成特定行政任务和事业发展目标所发生的支出。 </w:t>
      </w:r>
    </w:p>
    <w:p>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29.经营支出：指事业单位在专业业务活动及其辅助活动之外开展非独立核算经营活动发生的支出。</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3"/>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32.……。</w:t>
      </w:r>
    </w:p>
    <w:p>
      <w:pPr>
        <w:pStyle w:val="33"/>
        <w:bidi w:val="0"/>
        <w:spacing w:line="560" w:lineRule="exact"/>
        <w:ind w:firstLine="640"/>
        <w:jc w:val="left"/>
        <w:rPr>
          <w:rFonts w:ascii="仿宋_GB2312" w:hAnsi="仿宋_GB2312" w:eastAsia="仿宋_GB2312" w:cs="黑体"/>
          <w:color w:val="000000"/>
          <w:sz w:val="32"/>
          <w:szCs w:val="32"/>
          <w:highlight w:val="none"/>
        </w:rPr>
      </w:pPr>
    </w:p>
    <w:p>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（名词解释部分请根据各部门实际列支情况罗列，并根据本部门职责职能增减名词解释内容。）</w:t>
      </w:r>
      <w:r>
        <w:br w:type="page"/>
      </w:r>
    </w:p>
    <w:p>
      <w:pPr>
        <w:numPr>
          <w:ilvl w:val="0"/>
          <w:numId w:val="0"/>
        </w:numPr>
        <w:spacing w:line="600" w:lineRule="exact"/>
        <w:jc w:val="center"/>
        <w:outlineLvl w:val="0"/>
        <w:rPr>
          <w:rStyle w:val="27"/>
          <w:rFonts w:ascii="黑体" w:hAnsi="黑体" w:eastAsia="黑体" w:cs="黑体"/>
          <w:b w:val="0"/>
          <w:color w:val="000000"/>
          <w:highlight w:val="none"/>
          <w:lang w:eastAsia="zh-CN"/>
        </w:rPr>
      </w:pPr>
      <w:r>
        <w:rPr>
          <w:rFonts w:ascii="黑体" w:hAnsi="黑体" w:eastAsia="黑体" w:cs="黑体"/>
          <w:color w:val="000000"/>
          <w:sz w:val="44"/>
          <w:szCs w:val="44"/>
        </w:rPr>
        <w:t>第</w:t>
      </w:r>
      <w:r>
        <w:rPr>
          <w:rStyle w:val="27"/>
          <w:rFonts w:ascii="黑体" w:hAnsi="黑体" w:eastAsia="黑体" w:cs="黑体"/>
          <w:b w:val="0"/>
          <w:color w:val="000000"/>
        </w:rPr>
        <w:t>四部分 附件</w:t>
      </w:r>
    </w:p>
    <w:p>
      <w:pPr>
        <w:keepNext w:val="0"/>
        <w:keepLines w:val="0"/>
        <w:pageBreakBefore w:val="0"/>
        <w:numPr>
          <w:ilvl w:val="0"/>
          <w:numId w:val="0"/>
        </w:numPr>
        <w:kinsoku/>
        <w:overflowPunct/>
        <w:autoSpaceDE/>
        <w:bidi w:val="0"/>
        <w:spacing w:line="572" w:lineRule="exact"/>
        <w:jc w:val="left"/>
        <w:textAlignment w:val="auto"/>
        <w:outlineLvl w:val="0"/>
        <w:rPr>
          <w:rStyle w:val="27"/>
          <w:rFonts w:ascii="黑体" w:hAnsi="黑体" w:eastAsia="黑体" w:cs="黑体"/>
          <w:b w:val="0"/>
          <w:color w:val="FF0000"/>
          <w:sz w:val="32"/>
          <w:szCs w:val="32"/>
          <w:highlight w:val="none"/>
          <w:lang w:eastAsia="zh-CN"/>
        </w:rPr>
      </w:pPr>
    </w:p>
    <w:p>
      <w:pPr>
        <w:keepNext w:val="0"/>
        <w:keepLines w:val="0"/>
        <w:pageBreakBefore w:val="0"/>
        <w:numPr>
          <w:ilvl w:val="0"/>
          <w:numId w:val="0"/>
        </w:numPr>
        <w:kinsoku/>
        <w:overflowPunct/>
        <w:autoSpaceDE/>
        <w:bidi w:val="0"/>
        <w:spacing w:line="572" w:lineRule="exact"/>
        <w:jc w:val="left"/>
        <w:textAlignment w:val="auto"/>
        <w:outlineLvl w:val="0"/>
        <w:rPr>
          <w:rFonts w:ascii="方正小标宋简体" w:hAnsi="方正小标宋简体" w:eastAsia="黑体" w:cs="方正小标宋简体"/>
          <w:color w:val="000000"/>
          <w:sz w:val="44"/>
          <w:szCs w:val="44"/>
          <w:highlight w:val="none"/>
          <w:lang w:val="en-US" w:eastAsia="zh-CN"/>
        </w:rPr>
      </w:pPr>
      <w:r>
        <w:rPr>
          <w:rFonts w:ascii="黑体" w:hAnsi="黑体" w:eastAsia="黑体" w:cs="黑体"/>
          <w:color w:val="000000"/>
          <w:sz w:val="32"/>
          <w:szCs w:val="32"/>
        </w:rPr>
        <w:t>附件</w:t>
      </w:r>
      <w:r>
        <w:rPr>
          <w:rFonts w:ascii="黑体" w:hAnsi="黑体" w:eastAsia="黑体" w:cs="黑体"/>
          <w:color w:val="000000"/>
          <w:sz w:val="32"/>
          <w:szCs w:val="32"/>
          <w:lang w:val="en-US" w:eastAsia="zh-CN"/>
        </w:rPr>
        <w:t>1</w:t>
      </w:r>
    </w:p>
    <w:p>
      <w:pPr>
        <w:widowControl/>
        <w:spacing w:line="580" w:lineRule="exact"/>
        <w:contextualSpacing/>
        <w:jc w:val="center"/>
        <w:rPr>
          <w:rFonts w:hint="eastAsia" w:ascii="宋体" w:hAnsi="宋体" w:eastAsia="宋体"/>
          <w:b/>
          <w:sz w:val="44"/>
          <w:szCs w:val="44"/>
          <w:shd w:val="clear" w:color="auto" w:fill="FFFFFF"/>
          <w:lang w:val="en-US" w:eastAsia="zh-CN"/>
        </w:rPr>
      </w:pPr>
      <w:r>
        <w:rPr>
          <w:rFonts w:hint="eastAsia" w:ascii="宋体" w:hAnsi="宋体" w:eastAsia="宋体"/>
          <w:b/>
          <w:sz w:val="44"/>
          <w:szCs w:val="44"/>
          <w:shd w:val="clear" w:color="auto" w:fill="FFFFFF"/>
          <w:lang w:val="en-US" w:eastAsia="zh-CN"/>
        </w:rPr>
        <w:t>小金县人民代表大会常务委员会办公室</w:t>
      </w:r>
    </w:p>
    <w:p>
      <w:pPr>
        <w:widowControl/>
        <w:spacing w:line="580" w:lineRule="exact"/>
        <w:contextualSpacing/>
        <w:jc w:val="center"/>
        <w:rPr>
          <w:rFonts w:hint="default" w:ascii="Times New Roman" w:hAnsi="Times New Roman" w:eastAsia="方正小标宋简体" w:cs="Times New Roman"/>
          <w:b w:val="0"/>
          <w:bCs/>
          <w:sz w:val="44"/>
          <w:szCs w:val="44"/>
          <w:highlight w:val="none"/>
          <w:shd w:val="clear" w:color="auto" w:fill="FFFFFF"/>
        </w:rPr>
      </w:pPr>
      <w:r>
        <w:rPr>
          <w:rFonts w:hint="eastAsia" w:ascii="宋体" w:hAnsi="宋体" w:eastAsia="宋体"/>
          <w:b/>
          <w:sz w:val="44"/>
          <w:szCs w:val="44"/>
          <w:shd w:val="clear" w:color="auto" w:fill="FFFFFF"/>
          <w:lang w:val="en-US" w:eastAsia="zh-CN"/>
        </w:rPr>
        <w:t>2025年整体支出绩效评价报告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cs="Times New Roman"/>
          <w:szCs w:val="32"/>
          <w:highlight w:val="none"/>
          <w:shd w:val="clear" w:color="auto" w:fill="FFFFFF"/>
        </w:rPr>
        <w:t>（报告范围包括机关和下属单位）</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部门（单位）基本情况</w:t>
      </w:r>
    </w:p>
    <w:p>
      <w:pPr>
        <w:spacing w:line="600" w:lineRule="exact"/>
        <w:ind w:firstLine="640"/>
        <w:rPr>
          <w:rFonts w:hint="default" w:ascii="仿宋_GB2312" w:hAnsi="仿宋_GB2312" w:eastAsia="仿宋_GB2312"/>
          <w:color w:val="000000"/>
          <w:sz w:val="32"/>
          <w:szCs w:val="32"/>
          <w:lang w:eastAsia="zh-CN"/>
        </w:rPr>
      </w:pPr>
      <w:r>
        <w:rPr>
          <w:rFonts w:hint="eastAsia" w:ascii="仿宋_GB2312" w:hAnsi="仿宋_GB2312" w:eastAsia="仿宋_GB2312"/>
          <w:color w:val="000000"/>
          <w:sz w:val="32"/>
          <w:szCs w:val="32"/>
          <w:lang w:val="zh-CN" w:eastAsia="zh-CN"/>
        </w:rPr>
        <w:t>为认真落实省委、省政府、州委、州政府关于全面实施绩效管理的文件精神，根据小金县财政局《关于开展202</w:t>
      </w: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lang w:val="zh-CN" w:eastAsia="zh-CN"/>
        </w:rPr>
        <w:t>年</w:t>
      </w:r>
      <w:r>
        <w:rPr>
          <w:rFonts w:hint="eastAsia" w:ascii="仿宋_GB2312" w:hAnsi="仿宋_GB2312" w:eastAsia="仿宋_GB2312"/>
          <w:color w:val="000000"/>
          <w:sz w:val="32"/>
          <w:szCs w:val="32"/>
          <w:lang w:val="en-US" w:eastAsia="zh-CN"/>
        </w:rPr>
        <w:t>县级部门</w:t>
      </w:r>
      <w:r>
        <w:rPr>
          <w:rFonts w:hint="eastAsia" w:ascii="仿宋_GB2312" w:hAnsi="仿宋_GB2312" w:eastAsia="仿宋_GB2312"/>
          <w:color w:val="000000"/>
          <w:sz w:val="32"/>
          <w:szCs w:val="32"/>
          <w:lang w:val="zh-CN" w:eastAsia="zh-CN"/>
        </w:rPr>
        <w:t>绩效</w:t>
      </w:r>
      <w:r>
        <w:rPr>
          <w:rFonts w:hint="eastAsia" w:ascii="仿宋_GB2312" w:hAnsi="仿宋_GB2312" w:eastAsia="仿宋_GB2312"/>
          <w:color w:val="000000"/>
          <w:sz w:val="32"/>
          <w:szCs w:val="32"/>
          <w:lang w:val="en-US" w:eastAsia="zh-CN"/>
        </w:rPr>
        <w:t>自评</w:t>
      </w:r>
      <w:r>
        <w:rPr>
          <w:rFonts w:hint="eastAsia" w:ascii="仿宋_GB2312" w:hAnsi="仿宋_GB2312" w:eastAsia="仿宋_GB2312"/>
          <w:color w:val="000000"/>
          <w:sz w:val="32"/>
          <w:szCs w:val="32"/>
          <w:lang w:val="zh-CN" w:eastAsia="zh-CN"/>
        </w:rPr>
        <w:t>工作的通知》（小财监绩[202</w:t>
      </w: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6</w:t>
      </w:r>
      <w:r>
        <w:rPr>
          <w:rFonts w:hint="eastAsia" w:ascii="仿宋_GB2312" w:hAnsi="仿宋_GB2312" w:eastAsia="仿宋_GB2312"/>
          <w:color w:val="000000"/>
          <w:sz w:val="32"/>
          <w:szCs w:val="32"/>
          <w:lang w:val="zh-CN" w:eastAsia="zh-CN"/>
        </w:rPr>
        <w:t>号）要求，我办认真开展了202</w:t>
      </w:r>
      <w:r>
        <w:rPr>
          <w:rFonts w:hint="eastAsia" w:ascii="仿宋_GB2312" w:hAnsi="仿宋_GB2312" w:eastAsia="仿宋_GB2312"/>
          <w:color w:val="000000"/>
          <w:sz w:val="32"/>
          <w:szCs w:val="32"/>
          <w:lang w:val="en-US" w:eastAsia="zh-CN"/>
        </w:rPr>
        <w:t>4</w:t>
      </w:r>
      <w:r>
        <w:rPr>
          <w:rFonts w:hint="eastAsia" w:ascii="仿宋_GB2312" w:hAnsi="仿宋_GB2312" w:eastAsia="仿宋_GB2312"/>
          <w:color w:val="000000"/>
          <w:sz w:val="32"/>
          <w:szCs w:val="32"/>
          <w:lang w:val="zh-CN" w:eastAsia="zh-CN"/>
        </w:rPr>
        <w:t>年度部门整体支出绩效自评工作，现将有关情况报告如下：</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（一）</w:t>
      </w:r>
      <w:r>
        <w:rPr>
          <w:rFonts w:hint="default" w:ascii="仿宋_GB2312" w:hAnsi="仿宋_GB2312" w:eastAsia="仿宋_GB2312"/>
          <w:color w:val="000000"/>
          <w:sz w:val="32"/>
          <w:szCs w:val="32"/>
          <w:lang w:val="zh-CN" w:eastAsia="zh-CN"/>
        </w:rPr>
        <w:t>机构组成。</w:t>
      </w:r>
      <w:r>
        <w:rPr>
          <w:rFonts w:hint="eastAsia" w:ascii="仿宋_GB2312" w:hAnsi="仿宋_GB2312" w:eastAsia="仿宋_GB2312"/>
          <w:color w:val="000000"/>
          <w:sz w:val="32"/>
          <w:szCs w:val="32"/>
          <w:lang w:val="zh-CN" w:eastAsia="zh-CN"/>
        </w:rPr>
        <w:t>小金人大机关内设“三委两室”（即：法制工作委员会、教科文卫工作委员会、财政经济工作委员会、办公室、代表联络人事任免工作室。）</w:t>
      </w:r>
      <w:r>
        <w:rPr>
          <w:rFonts w:hint="eastAsia" w:ascii="仿宋_GB2312" w:hAnsi="仿宋_GB2312" w:eastAsia="仿宋_GB2312"/>
          <w:color w:val="000000"/>
          <w:sz w:val="32"/>
          <w:szCs w:val="32"/>
          <w:lang w:val="en-US" w:eastAsia="zh-CN"/>
        </w:rPr>
        <w:t>及下属单位事业单位（小金县人大常委会办公室信息中心）组成。</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（二）机构职能</w:t>
      </w:r>
      <w:r>
        <w:rPr>
          <w:rFonts w:hint="eastAsia" w:ascii="仿宋_GB2312" w:hAnsi="仿宋_GB2312" w:eastAsia="仿宋_GB2312"/>
          <w:color w:val="000000"/>
          <w:sz w:val="32"/>
          <w:szCs w:val="32"/>
          <w:lang w:val="zh-CN" w:eastAsia="zh-CN"/>
        </w:rPr>
        <w:t>。小金县人大机关主要负责做好本级人民代表大会、常委会会议、主任会议、党组会议以及其他有关会议各种文件的起草、会议记录和会务工作，对会议决定的事项负责办理落实，并及时报告反馈。负责对乡（镇）人大主席团工作指导并考核其工作。负责开展驻县省、州代表活动及县代表培训，视察活动，建立代表联络站。完成精准扶贫帮扶工作及县委交办的其他工作，积极做好机关内部各项建设。</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zh-CN" w:eastAsia="zh-CN"/>
        </w:rPr>
        <w:t>三</w:t>
      </w:r>
      <w:r>
        <w:rPr>
          <w:rFonts w:hint="default" w:ascii="仿宋_GB2312" w:hAnsi="仿宋_GB2312" w:eastAsia="仿宋_GB2312"/>
          <w:color w:val="000000"/>
          <w:sz w:val="32"/>
          <w:szCs w:val="32"/>
          <w:lang w:val="zh-CN" w:eastAsia="zh-CN"/>
        </w:rPr>
        <w:t>）人员概况</w:t>
      </w:r>
      <w:r>
        <w:rPr>
          <w:rFonts w:hint="eastAsia" w:ascii="仿宋_GB2312" w:hAnsi="仿宋_GB2312" w:eastAsia="仿宋_GB2312"/>
          <w:color w:val="000000"/>
          <w:sz w:val="32"/>
          <w:szCs w:val="32"/>
          <w:lang w:val="zh-CN" w:eastAsia="zh-CN"/>
        </w:rPr>
        <w:t>。机关现有行政编制19人，其中公务员编制16人，行政工勤编制3人，现实有公务员</w:t>
      </w:r>
      <w:r>
        <w:rPr>
          <w:rFonts w:hint="eastAsia" w:ascii="仿宋_GB2312" w:hAnsi="仿宋_GB2312" w:eastAsia="仿宋_GB2312"/>
          <w:color w:val="000000"/>
          <w:sz w:val="32"/>
          <w:szCs w:val="32"/>
          <w:lang w:val="en-US" w:eastAsia="zh-CN"/>
        </w:rPr>
        <w:t>23</w:t>
      </w:r>
      <w:r>
        <w:rPr>
          <w:rFonts w:hint="eastAsia" w:ascii="仿宋_GB2312" w:hAnsi="仿宋_GB2312" w:eastAsia="仿宋_GB2312"/>
          <w:color w:val="000000"/>
          <w:sz w:val="32"/>
          <w:szCs w:val="32"/>
          <w:lang w:val="zh-CN" w:eastAsia="zh-CN"/>
        </w:rPr>
        <w:t>人（县处级实职干部</w:t>
      </w:r>
      <w:r>
        <w:rPr>
          <w:rFonts w:hint="eastAsia" w:ascii="仿宋_GB2312" w:hAnsi="仿宋_GB2312" w:eastAsia="仿宋_GB2312"/>
          <w:color w:val="000000"/>
          <w:sz w:val="32"/>
          <w:szCs w:val="32"/>
          <w:lang w:val="en-US" w:eastAsia="zh-CN"/>
        </w:rPr>
        <w:t>5</w:t>
      </w:r>
      <w:r>
        <w:rPr>
          <w:rFonts w:hint="eastAsia" w:ascii="仿宋_GB2312" w:hAnsi="仿宋_GB2312" w:eastAsia="仿宋_GB2312"/>
          <w:color w:val="000000"/>
          <w:sz w:val="32"/>
          <w:szCs w:val="32"/>
          <w:lang w:val="zh-CN" w:eastAsia="zh-CN"/>
        </w:rPr>
        <w:t>人、三级调研员</w:t>
      </w:r>
      <w:r>
        <w:rPr>
          <w:rFonts w:hint="eastAsia" w:ascii="仿宋_GB2312" w:hAnsi="仿宋_GB2312" w:eastAsia="仿宋_GB2312"/>
          <w:color w:val="000000"/>
          <w:sz w:val="32"/>
          <w:szCs w:val="32"/>
          <w:lang w:val="en-US" w:eastAsia="zh-CN"/>
        </w:rPr>
        <w:t>6</w:t>
      </w:r>
      <w:r>
        <w:rPr>
          <w:rFonts w:hint="eastAsia" w:ascii="仿宋_GB2312" w:hAnsi="仿宋_GB2312" w:eastAsia="仿宋_GB2312"/>
          <w:color w:val="000000"/>
          <w:sz w:val="32"/>
          <w:szCs w:val="32"/>
          <w:lang w:val="zh-CN" w:eastAsia="zh-CN"/>
        </w:rPr>
        <w:t>人，四级调研员</w:t>
      </w:r>
      <w:r>
        <w:rPr>
          <w:rFonts w:hint="eastAsia" w:ascii="仿宋_GB2312" w:hAnsi="仿宋_GB2312" w:eastAsia="仿宋_GB2312"/>
          <w:color w:val="000000"/>
          <w:sz w:val="32"/>
          <w:szCs w:val="32"/>
          <w:lang w:val="en-US" w:eastAsia="zh-CN"/>
        </w:rPr>
        <w:t>1</w:t>
      </w:r>
      <w:r>
        <w:rPr>
          <w:rFonts w:hint="eastAsia" w:ascii="仿宋_GB2312" w:hAnsi="仿宋_GB2312" w:eastAsia="仿宋_GB2312"/>
          <w:color w:val="000000"/>
          <w:sz w:val="32"/>
          <w:szCs w:val="32"/>
          <w:lang w:val="zh-CN" w:eastAsia="zh-CN"/>
        </w:rPr>
        <w:t>人、一级主任科员</w:t>
      </w:r>
      <w:r>
        <w:rPr>
          <w:rFonts w:hint="eastAsia" w:ascii="仿宋_GB2312" w:hAnsi="仿宋_GB2312" w:eastAsia="仿宋_GB2312"/>
          <w:color w:val="000000"/>
          <w:sz w:val="32"/>
          <w:szCs w:val="32"/>
          <w:lang w:val="en-US" w:eastAsia="zh-CN"/>
        </w:rPr>
        <w:t>8</w:t>
      </w:r>
      <w:r>
        <w:rPr>
          <w:rFonts w:hint="eastAsia" w:ascii="仿宋_GB2312" w:hAnsi="仿宋_GB2312" w:eastAsia="仿宋_GB2312"/>
          <w:color w:val="000000"/>
          <w:sz w:val="32"/>
          <w:szCs w:val="32"/>
          <w:lang w:val="zh-CN" w:eastAsia="zh-CN"/>
        </w:rPr>
        <w:t>人、</w:t>
      </w:r>
      <w:r>
        <w:rPr>
          <w:rFonts w:hint="eastAsia" w:ascii="仿宋_GB2312" w:hAnsi="仿宋_GB2312" w:eastAsia="仿宋_GB2312"/>
          <w:color w:val="000000"/>
          <w:sz w:val="32"/>
          <w:szCs w:val="32"/>
          <w:lang w:val="en-US" w:eastAsia="zh-CN"/>
        </w:rPr>
        <w:t>乡科级正职领导1人，</w:t>
      </w:r>
      <w:r>
        <w:rPr>
          <w:rFonts w:hint="eastAsia" w:ascii="仿宋_GB2312" w:hAnsi="仿宋_GB2312" w:eastAsia="仿宋_GB2312"/>
          <w:color w:val="000000"/>
          <w:sz w:val="32"/>
          <w:szCs w:val="32"/>
          <w:lang w:val="zh-CN" w:eastAsia="zh-CN"/>
        </w:rPr>
        <w:t>乡科级副职领导1人、</w:t>
      </w:r>
      <w:r>
        <w:rPr>
          <w:rFonts w:hint="eastAsia" w:ascii="仿宋_GB2312" w:hAnsi="仿宋_GB2312" w:eastAsia="仿宋_GB2312"/>
          <w:color w:val="000000"/>
          <w:sz w:val="32"/>
          <w:szCs w:val="32"/>
          <w:lang w:val="en-US" w:eastAsia="zh-CN"/>
        </w:rPr>
        <w:t>三级主任科员1人</w:t>
      </w:r>
      <w:r>
        <w:rPr>
          <w:rFonts w:hint="eastAsia" w:ascii="仿宋_GB2312" w:hAnsi="仿宋_GB2312" w:eastAsia="仿宋_GB2312"/>
          <w:color w:val="000000"/>
          <w:sz w:val="32"/>
          <w:szCs w:val="32"/>
          <w:lang w:val="zh-CN" w:eastAsia="zh-CN"/>
        </w:rPr>
        <w:t>），行政工勤</w:t>
      </w:r>
      <w:r>
        <w:rPr>
          <w:rFonts w:hint="eastAsia" w:ascii="仿宋_GB2312" w:hAnsi="仿宋_GB2312" w:eastAsia="仿宋_GB2312"/>
          <w:color w:val="000000"/>
          <w:sz w:val="32"/>
          <w:szCs w:val="32"/>
          <w:lang w:val="en-US" w:eastAsia="zh-CN"/>
        </w:rPr>
        <w:t>4</w:t>
      </w:r>
      <w:r>
        <w:rPr>
          <w:rFonts w:hint="eastAsia" w:ascii="仿宋_GB2312" w:hAnsi="仿宋_GB2312" w:eastAsia="仿宋_GB2312"/>
          <w:color w:val="000000"/>
          <w:sz w:val="32"/>
          <w:szCs w:val="32"/>
          <w:lang w:val="zh-CN" w:eastAsia="zh-CN"/>
        </w:rPr>
        <w:t>人（技师3人、</w:t>
      </w:r>
      <w:r>
        <w:rPr>
          <w:rFonts w:hint="eastAsia" w:ascii="仿宋_GB2312" w:hAnsi="仿宋_GB2312" w:eastAsia="仿宋_GB2312"/>
          <w:color w:val="000000"/>
          <w:sz w:val="32"/>
          <w:szCs w:val="32"/>
          <w:lang w:val="en-US" w:eastAsia="zh-CN"/>
        </w:rPr>
        <w:t>高级工1人</w:t>
      </w:r>
      <w:r>
        <w:rPr>
          <w:rFonts w:hint="eastAsia" w:ascii="仿宋_GB2312" w:hAnsi="仿宋_GB2312" w:eastAsia="仿宋_GB2312"/>
          <w:color w:val="000000"/>
          <w:sz w:val="32"/>
          <w:szCs w:val="32"/>
          <w:lang w:val="zh-CN" w:eastAsia="zh-CN"/>
        </w:rPr>
        <w:t>）。事业编制3人，实有</w:t>
      </w:r>
      <w:r>
        <w:rPr>
          <w:rFonts w:hint="eastAsia" w:ascii="仿宋_GB2312" w:hAnsi="仿宋_GB2312" w:eastAsia="仿宋_GB2312"/>
          <w:color w:val="000000"/>
          <w:sz w:val="32"/>
          <w:szCs w:val="32"/>
          <w:lang w:val="en-US" w:eastAsia="zh-CN"/>
        </w:rPr>
        <w:t>4</w:t>
      </w:r>
      <w:r>
        <w:rPr>
          <w:rFonts w:hint="eastAsia" w:ascii="仿宋_GB2312" w:hAnsi="仿宋_GB2312" w:eastAsia="仿宋_GB2312"/>
          <w:color w:val="000000"/>
          <w:sz w:val="32"/>
          <w:szCs w:val="32"/>
          <w:lang w:val="zh-CN" w:eastAsia="zh-CN"/>
        </w:rPr>
        <w:t>人（专级十</w:t>
      </w:r>
      <w:r>
        <w:rPr>
          <w:rFonts w:hint="eastAsia" w:ascii="仿宋_GB2312" w:hAnsi="仿宋_GB2312" w:eastAsia="仿宋_GB2312"/>
          <w:color w:val="000000"/>
          <w:sz w:val="32"/>
          <w:szCs w:val="32"/>
          <w:lang w:val="en-US" w:eastAsia="zh-CN"/>
        </w:rPr>
        <w:t>一</w:t>
      </w:r>
      <w:r>
        <w:rPr>
          <w:rFonts w:hint="eastAsia" w:ascii="仿宋_GB2312" w:hAnsi="仿宋_GB2312" w:eastAsia="仿宋_GB2312"/>
          <w:color w:val="000000"/>
          <w:sz w:val="32"/>
          <w:szCs w:val="32"/>
          <w:lang w:val="zh-CN" w:eastAsia="zh-CN"/>
        </w:rPr>
        <w:t>级1人，</w:t>
      </w:r>
      <w:r>
        <w:rPr>
          <w:rFonts w:hint="eastAsia" w:ascii="仿宋_GB2312" w:hAnsi="仿宋_GB2312" w:eastAsia="仿宋_GB2312"/>
          <w:color w:val="000000"/>
          <w:sz w:val="32"/>
          <w:szCs w:val="32"/>
          <w:lang w:val="en-US" w:eastAsia="zh-CN"/>
        </w:rPr>
        <w:t>八级职员2人，</w:t>
      </w:r>
      <w:r>
        <w:rPr>
          <w:rFonts w:hint="eastAsia" w:ascii="仿宋_GB2312" w:hAnsi="仿宋_GB2312" w:eastAsia="仿宋_GB2312"/>
          <w:color w:val="000000"/>
          <w:sz w:val="32"/>
          <w:szCs w:val="32"/>
          <w:lang w:val="zh-CN" w:eastAsia="zh-CN"/>
        </w:rPr>
        <w:t>九级管理岗位</w:t>
      </w:r>
      <w:r>
        <w:rPr>
          <w:rFonts w:hint="eastAsia" w:ascii="仿宋_GB2312" w:hAnsi="仿宋_GB2312" w:eastAsia="仿宋_GB2312"/>
          <w:color w:val="000000"/>
          <w:sz w:val="32"/>
          <w:szCs w:val="32"/>
          <w:lang w:val="en-US" w:eastAsia="zh-CN"/>
        </w:rPr>
        <w:t>1</w:t>
      </w:r>
      <w:r>
        <w:rPr>
          <w:rFonts w:hint="eastAsia" w:ascii="仿宋_GB2312" w:hAnsi="仿宋_GB2312" w:eastAsia="仿宋_GB2312"/>
          <w:color w:val="000000"/>
          <w:sz w:val="32"/>
          <w:szCs w:val="32"/>
          <w:lang w:val="zh-CN" w:eastAsia="zh-CN"/>
        </w:rPr>
        <w:t>人）。</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二、部门资金收支情况</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（一）收入情况。</w:t>
      </w:r>
      <w:r>
        <w:rPr>
          <w:rFonts w:hint="eastAsia" w:ascii="仿宋_GB2312" w:hAnsi="仿宋_GB2312" w:eastAsia="仿宋_GB2312"/>
          <w:color w:val="000000"/>
          <w:sz w:val="32"/>
          <w:szCs w:val="32"/>
          <w:lang w:val="en-US" w:eastAsia="zh-CN"/>
        </w:rPr>
        <w:t>2024年小金县人民代表大会常务委员会办公室年初收入预算总额为816.65万元，其中一般公共预算财政拨款收入预算总额为816.65万元,占比100%。决算收入预算总额为1007.44万元，其中一般公共预算财政拨款收入决算总额为1007.44万元,占比100%，</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zh-CN" w:eastAsia="zh-CN"/>
        </w:rPr>
        <w:t>二</w:t>
      </w:r>
      <w:r>
        <w:rPr>
          <w:rFonts w:hint="default"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zh-CN" w:eastAsia="zh-CN"/>
        </w:rPr>
        <w:t>支出情况</w:t>
      </w:r>
      <w:r>
        <w:rPr>
          <w:rFonts w:hint="default"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2024年小金县人民代表大会常务委员会办公室年初支出预算总额为816.65万元，其中一般公共预算财政拨款支出预算总额为816.65万元,占比100%。决算支出总额为1007.44万元，其中一般公共预算财政拨款支出决算总额1007.44万元,占比100%，其中基本支出876.57万元，占比87.00%，项目支出130.87万元，占比13.00%。</w:t>
      </w:r>
    </w:p>
    <w:p>
      <w:pPr>
        <w:spacing w:line="600" w:lineRule="exact"/>
        <w:ind w:firstLine="640"/>
        <w:rPr>
          <w:rFonts w:hint="default" w:ascii="仿宋_GB2312" w:hAnsi="仿宋_GB2312" w:eastAsia="仿宋_GB2312"/>
          <w:color w:val="000000"/>
          <w:sz w:val="32"/>
          <w:szCs w:val="32"/>
          <w:lang w:val="zh-CN" w:eastAsia="zh-CN"/>
        </w:rPr>
      </w:pP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结余分配和结转结余情况。</w:t>
      </w:r>
    </w:p>
    <w:p>
      <w:pPr>
        <w:spacing w:line="600" w:lineRule="exact"/>
        <w:ind w:firstLine="640"/>
        <w:rPr>
          <w:rFonts w:hint="default"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我单位2024年决算报表无</w:t>
      </w:r>
      <w:r>
        <w:rPr>
          <w:rFonts w:hint="default" w:ascii="仿宋_GB2312" w:hAnsi="仿宋_GB2312" w:eastAsia="仿宋_GB2312"/>
          <w:color w:val="000000"/>
          <w:sz w:val="32"/>
          <w:szCs w:val="32"/>
          <w:lang w:val="en-US" w:eastAsia="zh-CN"/>
        </w:rPr>
        <w:t>结转结余</w:t>
      </w:r>
      <w:r>
        <w:rPr>
          <w:rFonts w:hint="eastAsia" w:ascii="仿宋_GB2312" w:hAnsi="仿宋_GB2312" w:eastAsia="仿宋_GB2312"/>
          <w:color w:val="000000"/>
          <w:sz w:val="32"/>
          <w:szCs w:val="32"/>
          <w:lang w:val="en-US" w:eastAsia="zh-CN"/>
        </w:rPr>
        <w:t>情况</w:t>
      </w:r>
      <w:r>
        <w:rPr>
          <w:rFonts w:hint="default" w:ascii="仿宋_GB2312" w:hAnsi="仿宋_GB2312" w:eastAsia="仿宋_GB2312"/>
          <w:color w:val="000000"/>
          <w:sz w:val="32"/>
          <w:szCs w:val="32"/>
          <w:lang w:val="en-US" w:eastAsia="zh-CN"/>
        </w:rPr>
        <w:t>。</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三、部门预算绩效分析</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（一）</w:t>
      </w:r>
      <w:r>
        <w:rPr>
          <w:rFonts w:hint="eastAsia" w:ascii="仿宋_GB2312" w:hAnsi="仿宋_GB2312" w:eastAsia="仿宋_GB2312"/>
          <w:color w:val="000000"/>
          <w:sz w:val="32"/>
          <w:szCs w:val="32"/>
          <w:lang w:val="zh-CN" w:eastAsia="zh-CN"/>
        </w:rPr>
        <w:t>部门预算</w:t>
      </w:r>
      <w:r>
        <w:rPr>
          <w:rFonts w:hint="default" w:ascii="仿宋_GB2312" w:hAnsi="仿宋_GB2312" w:eastAsia="仿宋_GB2312"/>
          <w:color w:val="000000"/>
          <w:sz w:val="32"/>
          <w:szCs w:val="32"/>
          <w:lang w:val="zh-CN" w:eastAsia="zh-CN"/>
        </w:rPr>
        <w:t>总体绩效分析。</w:t>
      </w:r>
      <w:r>
        <w:rPr>
          <w:rFonts w:hint="eastAsia" w:ascii="仿宋_GB2312" w:hAnsi="仿宋_GB2312" w:eastAsia="仿宋_GB2312"/>
          <w:color w:val="000000"/>
          <w:sz w:val="32"/>
          <w:szCs w:val="32"/>
          <w:lang w:val="en-US" w:eastAsia="zh-CN"/>
        </w:rPr>
        <w:t>我单位部门预算主要涉及人大会议、人大监督、人大代表履职能力提升、代表工作及其他人大事务等方面。</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1.</w:t>
      </w:r>
      <w:r>
        <w:rPr>
          <w:rFonts w:hint="eastAsia" w:ascii="仿宋_GB2312" w:hAnsi="仿宋_GB2312" w:eastAsia="仿宋_GB2312"/>
          <w:color w:val="000000"/>
          <w:sz w:val="32"/>
          <w:szCs w:val="32"/>
          <w:lang w:val="zh-CN" w:eastAsia="zh-CN"/>
        </w:rPr>
        <w:t>履职效能。</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我单位选取人大会议、人大监督、人大代表履职能力提升、代表工作及其他人大事务5个方面进行只能目标完成效果情况绩效分析</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2024年度我单位按照年初制定的目标完成了以下工作：组织召开人代会1次、主任会议13次，常委会会议10次，听取审议专项报告21项、人大评议意见整改情况报告10项，开展执法检查2项，专题视察16次，作出决议决定15项，提出审议意见17份、62条，任免国家机关工作人员39人次.</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我单位此项工作按照年初目标完成相关工作，此项无扣分，得分15分</w:t>
      </w:r>
    </w:p>
    <w:p>
      <w:pPr>
        <w:spacing w:line="600" w:lineRule="exact"/>
        <w:ind w:firstLine="640"/>
        <w:rPr>
          <w:rFonts w:hint="eastAsia"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预算管理</w:t>
      </w:r>
      <w:r>
        <w:rPr>
          <w:rFonts w:hint="eastAsia" w:ascii="仿宋_GB2312" w:hAnsi="仿宋_GB2312" w:eastAsia="仿宋_GB2312"/>
          <w:color w:val="000000"/>
          <w:sz w:val="32"/>
          <w:szCs w:val="32"/>
          <w:lang w:val="zh-CN" w:eastAsia="zh-CN"/>
        </w:rPr>
        <w:t>。</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预算编制质量</w:t>
      </w:r>
      <w:r>
        <w:rPr>
          <w:rFonts w:hint="eastAsia" w:ascii="仿宋_GB2312" w:hAnsi="仿宋_GB2312" w:eastAsia="仿宋_GB2312"/>
          <w:color w:val="000000"/>
          <w:sz w:val="32"/>
          <w:szCs w:val="32"/>
          <w:lang w:val="en-US" w:eastAsia="zh-CN"/>
        </w:rPr>
        <w:t>:我单位严格按照预算相关要求编制年初部门预算，确保年初预算编制的科学性和准确性。</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我单位此项工作无扣分，得分8分。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单位收入统筹：</w:t>
      </w:r>
      <w:r>
        <w:rPr>
          <w:rFonts w:hint="eastAsia" w:ascii="仿宋_GB2312" w:hAnsi="仿宋_GB2312" w:eastAsia="仿宋_GB2312"/>
          <w:color w:val="000000"/>
          <w:sz w:val="32"/>
          <w:szCs w:val="32"/>
          <w:lang w:val="en-US" w:eastAsia="zh-CN"/>
        </w:rPr>
        <w:t>我单位全年收入均为一般公共预算财政拨款收入，无其他收入。</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我单位此项工作无扣分，得分4分.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支出执行进度：</w:t>
      </w:r>
      <w:r>
        <w:rPr>
          <w:rFonts w:hint="eastAsia" w:ascii="仿宋_GB2312" w:hAnsi="仿宋_GB2312" w:eastAsia="仿宋_GB2312"/>
          <w:color w:val="000000"/>
          <w:sz w:val="32"/>
          <w:szCs w:val="32"/>
          <w:lang w:val="en-US" w:eastAsia="zh-CN"/>
        </w:rPr>
        <w:t>我单位2024年1-6月及1-10月支出执行进度如下：</w:t>
      </w:r>
    </w:p>
    <w:p>
      <w:pPr>
        <w:pStyle w:val="2"/>
        <w:rPr>
          <w:rFonts w:hint="default"/>
          <w:lang w:val="en-US" w:eastAsia="zh-CN"/>
        </w:rPr>
      </w:pPr>
      <w:r>
        <w:rPr>
          <w:rFonts w:hint="eastAsia" w:eastAsia="楷体_GB2312" w:cs="Times New Roman"/>
          <w:color w:val="000000"/>
          <w:kern w:val="0"/>
          <w:szCs w:val="32"/>
          <w:highlight w:val="none"/>
          <w:shd w:val="clear" w:color="auto" w:fill="FFFFFF"/>
          <w:lang w:val="en-US" w:eastAsia="zh-CN"/>
        </w:rPr>
        <w:t xml:space="preserve">2024年1-6月 </w:t>
      </w:r>
    </w:p>
    <w:tbl>
      <w:tblPr>
        <w:tblStyle w:val="17"/>
        <w:tblW w:w="8875" w:type="dxa"/>
        <w:tblInd w:w="0" w:type="dxa"/>
        <w:shd w:val="clear" w:color="auto" w:fill="auto"/>
        <w:tblLayout w:type="fixed"/>
        <w:tblCellMar>
          <w:top w:w="0" w:type="dxa"/>
          <w:left w:w="0" w:type="dxa"/>
          <w:bottom w:w="0" w:type="dxa"/>
          <w:right w:w="0" w:type="dxa"/>
        </w:tblCellMar>
      </w:tblPr>
      <w:tblGrid>
        <w:gridCol w:w="216"/>
        <w:gridCol w:w="2241"/>
        <w:gridCol w:w="774"/>
        <w:gridCol w:w="716"/>
        <w:gridCol w:w="259"/>
        <w:gridCol w:w="716"/>
        <w:gridCol w:w="113"/>
        <w:gridCol w:w="362"/>
        <w:gridCol w:w="155"/>
        <w:gridCol w:w="113"/>
        <w:gridCol w:w="113"/>
        <w:gridCol w:w="362"/>
        <w:gridCol w:w="155"/>
        <w:gridCol w:w="113"/>
        <w:gridCol w:w="774"/>
        <w:gridCol w:w="716"/>
        <w:gridCol w:w="259"/>
        <w:gridCol w:w="718"/>
      </w:tblGrid>
      <w:tr>
        <w:tblPrEx>
          <w:shd w:val="clear" w:color="auto" w:fill="auto"/>
          <w:tblLayout w:type="fixed"/>
          <w:tblCellMar>
            <w:top w:w="0" w:type="dxa"/>
            <w:left w:w="0" w:type="dxa"/>
            <w:bottom w:w="0" w:type="dxa"/>
            <w:right w:w="0" w:type="dxa"/>
          </w:tblCellMar>
        </w:tblPrEx>
        <w:trPr>
          <w:trHeight w:val="427" w:hRule="atLeast"/>
        </w:trPr>
        <w:tc>
          <w:tcPr>
            <w:tcW w:w="216" w:type="dxa"/>
            <w:vMerge w:val="restart"/>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支出进度排名（倒序）</w:t>
            </w:r>
          </w:p>
        </w:tc>
        <w:tc>
          <w:tcPr>
            <w:tcW w:w="2241" w:type="dxa"/>
            <w:vMerge w:val="restart"/>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单位信息</w:t>
            </w:r>
          </w:p>
        </w:tc>
        <w:tc>
          <w:tcPr>
            <w:tcW w:w="2465"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当年一般公共可执行指标支出情况</w:t>
            </w:r>
          </w:p>
        </w:tc>
        <w:tc>
          <w:tcPr>
            <w:tcW w:w="743"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当年政府性基金可执行指标支出情况</w:t>
            </w:r>
          </w:p>
        </w:tc>
        <w:tc>
          <w:tcPr>
            <w:tcW w:w="743"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历年结余可执行指标支出情况</w:t>
            </w:r>
          </w:p>
        </w:tc>
        <w:tc>
          <w:tcPr>
            <w:tcW w:w="2467"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汇总可执行指标支出情况</w:t>
            </w:r>
          </w:p>
        </w:tc>
      </w:tr>
      <w:tr>
        <w:tblPrEx>
          <w:tblLayout w:type="fixed"/>
          <w:tblCellMar>
            <w:top w:w="0" w:type="dxa"/>
            <w:left w:w="0" w:type="dxa"/>
            <w:bottom w:w="0" w:type="dxa"/>
            <w:right w:w="0" w:type="dxa"/>
          </w:tblCellMar>
        </w:tblPrEx>
        <w:trPr>
          <w:trHeight w:val="427" w:hRule="atLeast"/>
        </w:trPr>
        <w:tc>
          <w:tcPr>
            <w:tcW w:w="216" w:type="dxa"/>
            <w:vMerge w:val="continue"/>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2241" w:type="dxa"/>
            <w:vMerge w:val="continue"/>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jc w:val="center"/>
              <w:rPr>
                <w:rFonts w:hint="eastAsia" w:ascii="宋体" w:hAnsi="宋体" w:eastAsia="宋体" w:cs="宋体"/>
                <w:b/>
                <w:i w:val="0"/>
                <w:color w:val="000000"/>
                <w:sz w:val="16"/>
                <w:szCs w:val="16"/>
                <w:u w:val="none"/>
              </w:rPr>
            </w:pPr>
          </w:p>
        </w:tc>
        <w:tc>
          <w:tcPr>
            <w:tcW w:w="774"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一般公共预算数</w:t>
            </w:r>
          </w:p>
        </w:tc>
        <w:tc>
          <w:tcPr>
            <w:tcW w:w="716"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已支出数</w:t>
            </w:r>
          </w:p>
        </w:tc>
        <w:tc>
          <w:tcPr>
            <w:tcW w:w="259"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进度%</w:t>
            </w:r>
          </w:p>
        </w:tc>
        <w:tc>
          <w:tcPr>
            <w:tcW w:w="716"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未支出数</w:t>
            </w:r>
          </w:p>
        </w:tc>
        <w:tc>
          <w:tcPr>
            <w:tcW w:w="11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政府性基金数</w:t>
            </w:r>
          </w:p>
        </w:tc>
        <w:tc>
          <w:tcPr>
            <w:tcW w:w="362"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已支出数</w:t>
            </w:r>
          </w:p>
        </w:tc>
        <w:tc>
          <w:tcPr>
            <w:tcW w:w="155"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进度%</w:t>
            </w:r>
          </w:p>
        </w:tc>
        <w:tc>
          <w:tcPr>
            <w:tcW w:w="11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未支出数</w:t>
            </w:r>
          </w:p>
        </w:tc>
        <w:tc>
          <w:tcPr>
            <w:tcW w:w="11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历年结余指标数</w:t>
            </w:r>
          </w:p>
        </w:tc>
        <w:tc>
          <w:tcPr>
            <w:tcW w:w="362"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已支出数</w:t>
            </w:r>
          </w:p>
        </w:tc>
        <w:tc>
          <w:tcPr>
            <w:tcW w:w="155"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完成%</w:t>
            </w:r>
          </w:p>
        </w:tc>
        <w:tc>
          <w:tcPr>
            <w:tcW w:w="11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未支出数</w:t>
            </w:r>
          </w:p>
        </w:tc>
        <w:tc>
          <w:tcPr>
            <w:tcW w:w="774"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汇总预算数</w:t>
            </w:r>
          </w:p>
        </w:tc>
        <w:tc>
          <w:tcPr>
            <w:tcW w:w="716"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已支出数</w:t>
            </w:r>
          </w:p>
        </w:tc>
        <w:tc>
          <w:tcPr>
            <w:tcW w:w="259"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进度%</w:t>
            </w:r>
          </w:p>
        </w:tc>
        <w:tc>
          <w:tcPr>
            <w:tcW w:w="718"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6"/>
                <w:szCs w:val="16"/>
                <w:u w:val="none"/>
              </w:rPr>
            </w:pPr>
            <w:r>
              <w:rPr>
                <w:rFonts w:hint="eastAsia" w:ascii="宋体" w:hAnsi="宋体" w:eastAsia="宋体" w:cs="宋体"/>
                <w:b/>
                <w:i w:val="0"/>
                <w:color w:val="000000"/>
                <w:kern w:val="0"/>
                <w:sz w:val="16"/>
                <w:szCs w:val="16"/>
                <w:u w:val="none"/>
                <w:lang w:val="en-US" w:eastAsia="zh-CN" w:bidi="ar"/>
              </w:rPr>
              <w:t>未支出数</w:t>
            </w:r>
          </w:p>
        </w:tc>
      </w:tr>
      <w:tr>
        <w:tblPrEx>
          <w:tblLayout w:type="fixed"/>
          <w:tblCellMar>
            <w:top w:w="0" w:type="dxa"/>
            <w:left w:w="0" w:type="dxa"/>
            <w:bottom w:w="0" w:type="dxa"/>
            <w:right w:w="0" w:type="dxa"/>
          </w:tblCellMar>
        </w:tblPrEx>
        <w:trPr>
          <w:trHeight w:val="398" w:hRule="atLeast"/>
        </w:trPr>
        <w:tc>
          <w:tcPr>
            <w:tcW w:w="216"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2241"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  计</w:t>
            </w:r>
          </w:p>
        </w:tc>
        <w:tc>
          <w:tcPr>
            <w:tcW w:w="77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10,074,491.19</w:t>
            </w:r>
          </w:p>
        </w:tc>
        <w:tc>
          <w:tcPr>
            <w:tcW w:w="716"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5,220,902.50</w:t>
            </w:r>
          </w:p>
        </w:tc>
        <w:tc>
          <w:tcPr>
            <w:tcW w:w="259"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51.8</w:t>
            </w:r>
          </w:p>
        </w:tc>
        <w:tc>
          <w:tcPr>
            <w:tcW w:w="716"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4,853,588.69</w:t>
            </w:r>
          </w:p>
        </w:tc>
        <w:tc>
          <w:tcPr>
            <w:tcW w:w="11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7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10,074,491.19</w:t>
            </w:r>
          </w:p>
        </w:tc>
        <w:tc>
          <w:tcPr>
            <w:tcW w:w="716"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5,220,902.50</w:t>
            </w:r>
          </w:p>
        </w:tc>
        <w:tc>
          <w:tcPr>
            <w:tcW w:w="259"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51.8</w:t>
            </w:r>
          </w:p>
        </w:tc>
        <w:tc>
          <w:tcPr>
            <w:tcW w:w="718"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4,853,588.69</w:t>
            </w:r>
          </w:p>
        </w:tc>
      </w:tr>
      <w:tr>
        <w:tblPrEx>
          <w:tblLayout w:type="fixed"/>
          <w:tblCellMar>
            <w:top w:w="0" w:type="dxa"/>
            <w:left w:w="0" w:type="dxa"/>
            <w:bottom w:w="0" w:type="dxa"/>
            <w:right w:w="0" w:type="dxa"/>
          </w:tblCellMar>
        </w:tblPrEx>
        <w:trPr>
          <w:trHeight w:val="398" w:hRule="atLeast"/>
        </w:trPr>
        <w:tc>
          <w:tcPr>
            <w:tcW w:w="216"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2241" w:type="dxa"/>
            <w:tcBorders>
              <w:top w:val="single" w:color="C0C0C0" w:sz="4" w:space="0"/>
              <w:left w:val="single" w:color="C0C0C0" w:sz="4" w:space="0"/>
              <w:bottom w:val="single" w:color="C0C0C0" w:sz="4" w:space="0"/>
              <w:right w:val="single" w:color="C0C0C0" w:sz="4" w:space="0"/>
            </w:tcBorders>
            <w:shd w:val="clear" w:color="FCE8D4" w:fill="FCE8D4"/>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Style w:val="35"/>
                <w:lang w:val="en-US" w:eastAsia="zh-CN" w:bidi="ar"/>
              </w:rPr>
              <w:t>102-小金县人民代表大会常务委员会</w:t>
            </w:r>
          </w:p>
        </w:tc>
        <w:tc>
          <w:tcPr>
            <w:tcW w:w="77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10,074,491.19</w:t>
            </w:r>
          </w:p>
        </w:tc>
        <w:tc>
          <w:tcPr>
            <w:tcW w:w="716"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5,220,902.50</w:t>
            </w:r>
          </w:p>
        </w:tc>
        <w:tc>
          <w:tcPr>
            <w:tcW w:w="259"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51.8</w:t>
            </w:r>
          </w:p>
        </w:tc>
        <w:tc>
          <w:tcPr>
            <w:tcW w:w="716"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4,853,588.69</w:t>
            </w:r>
          </w:p>
        </w:tc>
        <w:tc>
          <w:tcPr>
            <w:tcW w:w="11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7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10,074,491.19</w:t>
            </w:r>
          </w:p>
        </w:tc>
        <w:tc>
          <w:tcPr>
            <w:tcW w:w="716"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5,220,902.50</w:t>
            </w:r>
          </w:p>
        </w:tc>
        <w:tc>
          <w:tcPr>
            <w:tcW w:w="259"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51.8</w:t>
            </w:r>
          </w:p>
        </w:tc>
        <w:tc>
          <w:tcPr>
            <w:tcW w:w="718"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4,853,588.69</w:t>
            </w:r>
          </w:p>
        </w:tc>
      </w:tr>
      <w:tr>
        <w:tblPrEx>
          <w:tblLayout w:type="fixed"/>
          <w:tblCellMar>
            <w:top w:w="0" w:type="dxa"/>
            <w:left w:w="0" w:type="dxa"/>
            <w:bottom w:w="0" w:type="dxa"/>
            <w:right w:w="0" w:type="dxa"/>
          </w:tblCellMar>
        </w:tblPrEx>
        <w:trPr>
          <w:trHeight w:val="398" w:hRule="atLeast"/>
        </w:trPr>
        <w:tc>
          <w:tcPr>
            <w:tcW w:w="2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41" w:type="dxa"/>
            <w:tcBorders>
              <w:top w:val="single" w:color="C0C0C0" w:sz="4" w:space="0"/>
              <w:left w:val="single" w:color="C0C0C0" w:sz="4" w:space="0"/>
              <w:bottom w:val="single" w:color="C0C0C0" w:sz="4" w:space="0"/>
              <w:right w:val="single" w:color="C0C0C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Dialog . plain" w:hAnsi="Dialog . plain" w:eastAsia="Dialog . plain" w:cs="Dialog . plain"/>
                <w:i w:val="0"/>
                <w:color w:val="000000"/>
                <w:kern w:val="0"/>
                <w:sz w:val="22"/>
                <w:szCs w:val="22"/>
                <w:u w:val="none"/>
                <w:lang w:val="en-US" w:eastAsia="zh-CN" w:bidi="ar"/>
              </w:rPr>
              <w:t>102001-小金县人民代表大会常务委员会办公室</w:t>
            </w:r>
          </w:p>
        </w:tc>
        <w:tc>
          <w:tcPr>
            <w:tcW w:w="77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9,359,765.61</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4,880,059.80</w:t>
            </w:r>
          </w:p>
        </w:tc>
        <w:tc>
          <w:tcPr>
            <w:tcW w:w="259"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52.1</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4,479,705.81</w:t>
            </w: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7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9,359,765.61</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4,880,059.80</w:t>
            </w:r>
          </w:p>
        </w:tc>
        <w:tc>
          <w:tcPr>
            <w:tcW w:w="259"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52.1</w:t>
            </w:r>
          </w:p>
        </w:tc>
        <w:tc>
          <w:tcPr>
            <w:tcW w:w="718"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4,479,705.81</w:t>
            </w:r>
          </w:p>
        </w:tc>
      </w:tr>
      <w:tr>
        <w:tblPrEx>
          <w:tblLayout w:type="fixed"/>
          <w:tblCellMar>
            <w:top w:w="0" w:type="dxa"/>
            <w:left w:w="0" w:type="dxa"/>
            <w:bottom w:w="0" w:type="dxa"/>
            <w:right w:w="0" w:type="dxa"/>
          </w:tblCellMar>
        </w:tblPrEx>
        <w:trPr>
          <w:trHeight w:val="398" w:hRule="atLeast"/>
        </w:trPr>
        <w:tc>
          <w:tcPr>
            <w:tcW w:w="2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241" w:type="dxa"/>
            <w:tcBorders>
              <w:top w:val="single" w:color="C0C0C0" w:sz="4" w:space="0"/>
              <w:left w:val="single" w:color="C0C0C0" w:sz="4" w:space="0"/>
              <w:bottom w:val="single" w:color="C0C0C0" w:sz="4" w:space="0"/>
              <w:right w:val="single" w:color="C0C0C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Dialog . plain" w:hAnsi="Dialog . plain" w:eastAsia="Dialog . plain" w:cs="Dialog . plain"/>
                <w:i w:val="0"/>
                <w:color w:val="000000"/>
                <w:kern w:val="0"/>
                <w:sz w:val="22"/>
                <w:szCs w:val="22"/>
                <w:u w:val="none"/>
                <w:lang w:val="en-US" w:eastAsia="zh-CN" w:bidi="ar"/>
              </w:rPr>
              <w:t>102002-小金县人大常委会办公室信息中心</w:t>
            </w:r>
          </w:p>
        </w:tc>
        <w:tc>
          <w:tcPr>
            <w:tcW w:w="77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714,725.58</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340,842.70</w:t>
            </w:r>
          </w:p>
        </w:tc>
        <w:tc>
          <w:tcPr>
            <w:tcW w:w="259"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47.7</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373,882.88</w:t>
            </w: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62"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1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7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714,725.58</w:t>
            </w:r>
          </w:p>
        </w:tc>
        <w:tc>
          <w:tcPr>
            <w:tcW w:w="716"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340,842.70</w:t>
            </w:r>
          </w:p>
        </w:tc>
        <w:tc>
          <w:tcPr>
            <w:tcW w:w="259"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47.7</w:t>
            </w:r>
          </w:p>
        </w:tc>
        <w:tc>
          <w:tcPr>
            <w:tcW w:w="718"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373,882.88</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eastAsia="楷体_GB2312" w:cs="Times New Roman"/>
          <w:color w:val="000000"/>
          <w:kern w:val="0"/>
          <w:szCs w:val="32"/>
          <w:highlight w:val="none"/>
          <w:shd w:val="clear" w:color="auto" w:fill="FFFFFF"/>
          <w:lang w:val="en-US" w:eastAsia="zh-CN"/>
        </w:rPr>
      </w:pPr>
      <w:r>
        <w:rPr>
          <w:rFonts w:hint="eastAsia" w:eastAsia="楷体_GB2312" w:cs="Times New Roman"/>
          <w:color w:val="000000"/>
          <w:kern w:val="0"/>
          <w:szCs w:val="32"/>
          <w:highlight w:val="none"/>
          <w:shd w:val="clear" w:color="auto" w:fill="FFFFFF"/>
          <w:lang w:val="en-US" w:eastAsia="zh-CN"/>
        </w:rPr>
        <w:t>2024年1-10月</w:t>
      </w:r>
    </w:p>
    <w:tbl>
      <w:tblPr>
        <w:tblStyle w:val="17"/>
        <w:tblW w:w="21600" w:type="dxa"/>
        <w:tblInd w:w="0" w:type="dxa"/>
        <w:shd w:val="clear" w:color="auto" w:fill="auto"/>
        <w:tblLayout w:type="fixed"/>
        <w:tblCellMar>
          <w:top w:w="0" w:type="dxa"/>
          <w:left w:w="0" w:type="dxa"/>
          <w:bottom w:w="0" w:type="dxa"/>
          <w:right w:w="0" w:type="dxa"/>
        </w:tblCellMar>
      </w:tblPr>
      <w:tblGrid>
        <w:gridCol w:w="820"/>
        <w:gridCol w:w="5232"/>
        <w:gridCol w:w="1371"/>
        <w:gridCol w:w="914"/>
        <w:gridCol w:w="791"/>
        <w:gridCol w:w="1223"/>
        <w:gridCol w:w="923"/>
        <w:gridCol w:w="914"/>
        <w:gridCol w:w="715"/>
        <w:gridCol w:w="923"/>
        <w:gridCol w:w="923"/>
        <w:gridCol w:w="914"/>
        <w:gridCol w:w="715"/>
        <w:gridCol w:w="923"/>
        <w:gridCol w:w="1371"/>
        <w:gridCol w:w="914"/>
        <w:gridCol w:w="791"/>
        <w:gridCol w:w="1223"/>
      </w:tblGrid>
      <w:tr>
        <w:tblPrEx>
          <w:shd w:val="clear" w:color="auto" w:fill="auto"/>
          <w:tblLayout w:type="fixed"/>
          <w:tblCellMar>
            <w:top w:w="0" w:type="dxa"/>
            <w:left w:w="0" w:type="dxa"/>
            <w:bottom w:w="0" w:type="dxa"/>
            <w:right w:w="0" w:type="dxa"/>
          </w:tblCellMar>
        </w:tblPrEx>
        <w:trPr>
          <w:trHeight w:val="427" w:hRule="atLeast"/>
        </w:trPr>
        <w:tc>
          <w:tcPr>
            <w:tcW w:w="820" w:type="dxa"/>
            <w:vMerge w:val="restart"/>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支出进度排名（倒序）</w:t>
            </w:r>
          </w:p>
        </w:tc>
        <w:tc>
          <w:tcPr>
            <w:tcW w:w="5232" w:type="dxa"/>
            <w:vMerge w:val="restart"/>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单位信息</w:t>
            </w:r>
          </w:p>
        </w:tc>
        <w:tc>
          <w:tcPr>
            <w:tcW w:w="4299"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当年一般公共可执行指标支出情况</w:t>
            </w:r>
          </w:p>
        </w:tc>
        <w:tc>
          <w:tcPr>
            <w:tcW w:w="3475"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当年政府性基金可执行指标支出情况</w:t>
            </w:r>
          </w:p>
        </w:tc>
        <w:tc>
          <w:tcPr>
            <w:tcW w:w="3475"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历年结余可执行指标支出情况</w:t>
            </w:r>
          </w:p>
        </w:tc>
        <w:tc>
          <w:tcPr>
            <w:tcW w:w="4299" w:type="dxa"/>
            <w:gridSpan w:val="4"/>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汇总可执行指标支出情况</w:t>
            </w:r>
          </w:p>
        </w:tc>
      </w:tr>
      <w:tr>
        <w:tblPrEx>
          <w:tblLayout w:type="fixed"/>
          <w:tblCellMar>
            <w:top w:w="0" w:type="dxa"/>
            <w:left w:w="0" w:type="dxa"/>
            <w:bottom w:w="0" w:type="dxa"/>
            <w:right w:w="0" w:type="dxa"/>
          </w:tblCellMar>
        </w:tblPrEx>
        <w:trPr>
          <w:trHeight w:val="427" w:hRule="atLeast"/>
        </w:trPr>
        <w:tc>
          <w:tcPr>
            <w:tcW w:w="820" w:type="dxa"/>
            <w:vMerge w:val="continue"/>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232" w:type="dxa"/>
            <w:vMerge w:val="continue"/>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1371"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一般公共预算数</w:t>
            </w:r>
          </w:p>
        </w:tc>
        <w:tc>
          <w:tcPr>
            <w:tcW w:w="914"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已支出数</w:t>
            </w:r>
          </w:p>
        </w:tc>
        <w:tc>
          <w:tcPr>
            <w:tcW w:w="791"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进度%</w:t>
            </w:r>
          </w:p>
        </w:tc>
        <w:tc>
          <w:tcPr>
            <w:tcW w:w="12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未支出数</w:t>
            </w:r>
          </w:p>
        </w:tc>
        <w:tc>
          <w:tcPr>
            <w:tcW w:w="9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政府性基金数</w:t>
            </w:r>
          </w:p>
        </w:tc>
        <w:tc>
          <w:tcPr>
            <w:tcW w:w="914"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已支出数</w:t>
            </w:r>
          </w:p>
        </w:tc>
        <w:tc>
          <w:tcPr>
            <w:tcW w:w="715"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进度%</w:t>
            </w:r>
          </w:p>
        </w:tc>
        <w:tc>
          <w:tcPr>
            <w:tcW w:w="9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未支出数</w:t>
            </w:r>
          </w:p>
        </w:tc>
        <w:tc>
          <w:tcPr>
            <w:tcW w:w="9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历年结余指标数</w:t>
            </w:r>
          </w:p>
        </w:tc>
        <w:tc>
          <w:tcPr>
            <w:tcW w:w="914"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已支出数</w:t>
            </w:r>
          </w:p>
        </w:tc>
        <w:tc>
          <w:tcPr>
            <w:tcW w:w="715"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完成%</w:t>
            </w:r>
          </w:p>
        </w:tc>
        <w:tc>
          <w:tcPr>
            <w:tcW w:w="9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未支出数</w:t>
            </w:r>
          </w:p>
        </w:tc>
        <w:tc>
          <w:tcPr>
            <w:tcW w:w="1371"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汇总预算数</w:t>
            </w:r>
          </w:p>
        </w:tc>
        <w:tc>
          <w:tcPr>
            <w:tcW w:w="914" w:type="dxa"/>
            <w:tcBorders>
              <w:top w:val="single" w:color="C0C0C0" w:sz="4" w:space="0"/>
              <w:left w:val="single" w:color="C0C0C0" w:sz="4" w:space="0"/>
              <w:bottom w:val="single" w:color="C0C0C0" w:sz="4" w:space="0"/>
              <w:right w:val="single" w:color="C0C0C0" w:sz="4" w:space="0"/>
            </w:tcBorders>
            <w:shd w:val="clear" w:color="EFF2F7" w:fill="EFF2F7"/>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已支出数</w:t>
            </w:r>
          </w:p>
        </w:tc>
        <w:tc>
          <w:tcPr>
            <w:tcW w:w="791"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进度%</w:t>
            </w:r>
          </w:p>
        </w:tc>
        <w:tc>
          <w:tcPr>
            <w:tcW w:w="1223" w:type="dxa"/>
            <w:tcBorders>
              <w:top w:val="single" w:color="C0C0C0" w:sz="4" w:space="0"/>
              <w:left w:val="single" w:color="C0C0C0" w:sz="4" w:space="0"/>
              <w:bottom w:val="single" w:color="C0C0C0" w:sz="4" w:space="0"/>
              <w:right w:val="single" w:color="C0C0C0" w:sz="4" w:space="0"/>
            </w:tcBorders>
            <w:shd w:val="clear" w:color="EFF2F7" w:fill="EFF2F7"/>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未支出数</w:t>
            </w:r>
          </w:p>
        </w:tc>
      </w:tr>
      <w:tr>
        <w:tblPrEx>
          <w:tblLayout w:type="fixed"/>
          <w:tblCellMar>
            <w:top w:w="0" w:type="dxa"/>
            <w:left w:w="0" w:type="dxa"/>
            <w:bottom w:w="0" w:type="dxa"/>
            <w:right w:w="0" w:type="dxa"/>
          </w:tblCellMar>
        </w:tblPrEx>
        <w:trPr>
          <w:trHeight w:val="398" w:hRule="atLeast"/>
        </w:trPr>
        <w:tc>
          <w:tcPr>
            <w:tcW w:w="820"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2"/>
                <w:szCs w:val="22"/>
                <w:u w:val="none"/>
              </w:rPr>
            </w:pPr>
          </w:p>
        </w:tc>
        <w:tc>
          <w:tcPr>
            <w:tcW w:w="5232"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  计</w:t>
            </w:r>
          </w:p>
        </w:tc>
        <w:tc>
          <w:tcPr>
            <w:tcW w:w="1371"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1,007.45</w:t>
            </w:r>
          </w:p>
        </w:tc>
        <w:tc>
          <w:tcPr>
            <w:tcW w:w="91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883.32</w:t>
            </w:r>
          </w:p>
        </w:tc>
        <w:tc>
          <w:tcPr>
            <w:tcW w:w="791"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87.7</w:t>
            </w:r>
          </w:p>
        </w:tc>
        <w:tc>
          <w:tcPr>
            <w:tcW w:w="12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124.13</w:t>
            </w:r>
          </w:p>
        </w:tc>
        <w:tc>
          <w:tcPr>
            <w:tcW w:w="9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371"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1,007.45</w:t>
            </w:r>
          </w:p>
        </w:tc>
        <w:tc>
          <w:tcPr>
            <w:tcW w:w="914"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883.32</w:t>
            </w:r>
          </w:p>
        </w:tc>
        <w:tc>
          <w:tcPr>
            <w:tcW w:w="791"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87.7</w:t>
            </w:r>
          </w:p>
        </w:tc>
        <w:tc>
          <w:tcPr>
            <w:tcW w:w="1223" w:type="dxa"/>
            <w:tcBorders>
              <w:top w:val="single" w:color="C0C0C0" w:sz="4" w:space="0"/>
              <w:left w:val="single" w:color="C0C0C0" w:sz="4" w:space="0"/>
              <w:bottom w:val="single" w:color="C0C0C0" w:sz="4" w:space="0"/>
              <w:right w:val="single" w:color="C0C0C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124.13</w:t>
            </w:r>
          </w:p>
        </w:tc>
      </w:tr>
      <w:tr>
        <w:tblPrEx>
          <w:tblLayout w:type="fixed"/>
          <w:tblCellMar>
            <w:top w:w="0" w:type="dxa"/>
            <w:left w:w="0" w:type="dxa"/>
            <w:bottom w:w="0" w:type="dxa"/>
            <w:right w:w="0" w:type="dxa"/>
          </w:tblCellMar>
        </w:tblPrEx>
        <w:trPr>
          <w:trHeight w:val="398" w:hRule="atLeast"/>
        </w:trPr>
        <w:tc>
          <w:tcPr>
            <w:tcW w:w="820"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5232" w:type="dxa"/>
            <w:tcBorders>
              <w:top w:val="single" w:color="C0C0C0" w:sz="4" w:space="0"/>
              <w:left w:val="single" w:color="C0C0C0" w:sz="4" w:space="0"/>
              <w:bottom w:val="single" w:color="C0C0C0" w:sz="4" w:space="0"/>
              <w:right w:val="single" w:color="C0C0C0" w:sz="4" w:space="0"/>
            </w:tcBorders>
            <w:shd w:val="clear" w:color="FCE8D4" w:fill="FCE8D4"/>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ascii="Dialog . bold" w:hAnsi="Dialog . bold" w:eastAsia="Dialog . bold" w:cs="Dialog . bold"/>
                <w:i w:val="0"/>
                <w:color w:val="000000"/>
                <w:kern w:val="0"/>
                <w:sz w:val="22"/>
                <w:szCs w:val="22"/>
                <w:u w:val="none"/>
                <w:lang w:val="en-US" w:eastAsia="zh-CN" w:bidi="ar"/>
              </w:rPr>
              <w:t>102-小金县人民代表大会常务委员会</w:t>
            </w:r>
          </w:p>
        </w:tc>
        <w:tc>
          <w:tcPr>
            <w:tcW w:w="1371"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1,007.45</w:t>
            </w:r>
          </w:p>
        </w:tc>
        <w:tc>
          <w:tcPr>
            <w:tcW w:w="91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883.32</w:t>
            </w:r>
          </w:p>
        </w:tc>
        <w:tc>
          <w:tcPr>
            <w:tcW w:w="791"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87.7</w:t>
            </w:r>
          </w:p>
        </w:tc>
        <w:tc>
          <w:tcPr>
            <w:tcW w:w="12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124.13</w:t>
            </w:r>
          </w:p>
        </w:tc>
        <w:tc>
          <w:tcPr>
            <w:tcW w:w="9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371"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1,007.45</w:t>
            </w:r>
          </w:p>
        </w:tc>
        <w:tc>
          <w:tcPr>
            <w:tcW w:w="914"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883.32</w:t>
            </w:r>
          </w:p>
        </w:tc>
        <w:tc>
          <w:tcPr>
            <w:tcW w:w="791"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87.7</w:t>
            </w:r>
          </w:p>
        </w:tc>
        <w:tc>
          <w:tcPr>
            <w:tcW w:w="1223" w:type="dxa"/>
            <w:tcBorders>
              <w:top w:val="single" w:color="C0C0C0" w:sz="4" w:space="0"/>
              <w:left w:val="single" w:color="C0C0C0" w:sz="4" w:space="0"/>
              <w:bottom w:val="single" w:color="C0C0C0" w:sz="4" w:space="0"/>
              <w:right w:val="single" w:color="C0C0C0" w:sz="4" w:space="0"/>
            </w:tcBorders>
            <w:shd w:val="clear" w:color="FCE8D4" w:fill="FCE8D4"/>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124.13</w:t>
            </w:r>
          </w:p>
        </w:tc>
      </w:tr>
      <w:tr>
        <w:tblPrEx>
          <w:tblLayout w:type="fixed"/>
          <w:tblCellMar>
            <w:top w:w="0" w:type="dxa"/>
            <w:left w:w="0" w:type="dxa"/>
            <w:bottom w:w="0" w:type="dxa"/>
            <w:right w:w="0" w:type="dxa"/>
          </w:tblCellMar>
        </w:tblPrEx>
        <w:trPr>
          <w:trHeight w:val="398" w:hRule="atLeast"/>
        </w:trPr>
        <w:tc>
          <w:tcPr>
            <w:tcW w:w="820"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232" w:type="dxa"/>
            <w:tcBorders>
              <w:top w:val="single" w:color="C0C0C0" w:sz="4" w:space="0"/>
              <w:left w:val="single" w:color="C0C0C0" w:sz="4" w:space="0"/>
              <w:bottom w:val="single" w:color="C0C0C0" w:sz="4" w:space="0"/>
              <w:right w:val="single" w:color="C0C0C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Dialog . plain" w:hAnsi="Dialog . plain" w:eastAsia="Dialog . plain" w:cs="Dialog . plain"/>
                <w:i w:val="0"/>
                <w:color w:val="000000"/>
                <w:kern w:val="0"/>
                <w:sz w:val="22"/>
                <w:szCs w:val="22"/>
                <w:u w:val="none"/>
                <w:lang w:val="en-US" w:eastAsia="zh-CN" w:bidi="ar"/>
              </w:rPr>
              <w:t>102001-小金县人民代表大会常务委员会办公室</w:t>
            </w:r>
          </w:p>
        </w:tc>
        <w:tc>
          <w:tcPr>
            <w:tcW w:w="137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935.98</w:t>
            </w: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825.39</w:t>
            </w:r>
          </w:p>
        </w:tc>
        <w:tc>
          <w:tcPr>
            <w:tcW w:w="79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88.2</w:t>
            </w:r>
          </w:p>
        </w:tc>
        <w:tc>
          <w:tcPr>
            <w:tcW w:w="12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110.59</w:t>
            </w: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7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935.98</w:t>
            </w: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825.39</w:t>
            </w:r>
          </w:p>
        </w:tc>
        <w:tc>
          <w:tcPr>
            <w:tcW w:w="79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88.2</w:t>
            </w:r>
          </w:p>
        </w:tc>
        <w:tc>
          <w:tcPr>
            <w:tcW w:w="12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110.59</w:t>
            </w:r>
          </w:p>
        </w:tc>
      </w:tr>
      <w:tr>
        <w:tblPrEx>
          <w:tblLayout w:type="fixed"/>
          <w:tblCellMar>
            <w:top w:w="0" w:type="dxa"/>
            <w:left w:w="0" w:type="dxa"/>
            <w:bottom w:w="0" w:type="dxa"/>
            <w:right w:w="0" w:type="dxa"/>
          </w:tblCellMar>
        </w:tblPrEx>
        <w:trPr>
          <w:trHeight w:val="398" w:hRule="atLeast"/>
        </w:trPr>
        <w:tc>
          <w:tcPr>
            <w:tcW w:w="820"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232" w:type="dxa"/>
            <w:tcBorders>
              <w:top w:val="single" w:color="C0C0C0" w:sz="4" w:space="0"/>
              <w:left w:val="single" w:color="C0C0C0" w:sz="4" w:space="0"/>
              <w:bottom w:val="single" w:color="C0C0C0" w:sz="4" w:space="0"/>
              <w:right w:val="single" w:color="C0C0C0" w:sz="4" w:space="0"/>
            </w:tcBorders>
            <w:shd w:val="clear" w:color="FFFFFF" w:fill="FFFFFF"/>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ascii="Dialog . plain" w:hAnsi="Dialog . plain" w:eastAsia="Dialog . plain" w:cs="Dialog . plain"/>
                <w:i w:val="0"/>
                <w:color w:val="000000"/>
                <w:kern w:val="0"/>
                <w:sz w:val="22"/>
                <w:szCs w:val="22"/>
                <w:u w:val="none"/>
                <w:lang w:val="en-US" w:eastAsia="zh-CN" w:bidi="ar"/>
              </w:rPr>
              <w:t>102002-小金县人大常委会办公室信息中心</w:t>
            </w:r>
          </w:p>
        </w:tc>
        <w:tc>
          <w:tcPr>
            <w:tcW w:w="137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71.47</w:t>
            </w: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57.93</w:t>
            </w:r>
          </w:p>
        </w:tc>
        <w:tc>
          <w:tcPr>
            <w:tcW w:w="79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81.1</w:t>
            </w:r>
          </w:p>
        </w:tc>
        <w:tc>
          <w:tcPr>
            <w:tcW w:w="12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13.54</w:t>
            </w: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715"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37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71.47</w:t>
            </w:r>
          </w:p>
        </w:tc>
        <w:tc>
          <w:tcPr>
            <w:tcW w:w="914"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57.93</w:t>
            </w:r>
          </w:p>
        </w:tc>
        <w:tc>
          <w:tcPr>
            <w:tcW w:w="791"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81.1</w:t>
            </w:r>
          </w:p>
        </w:tc>
        <w:tc>
          <w:tcPr>
            <w:tcW w:w="1223" w:type="dxa"/>
            <w:tcBorders>
              <w:top w:val="single" w:color="C0C0C0" w:sz="4" w:space="0"/>
              <w:left w:val="single" w:color="C0C0C0" w:sz="4" w:space="0"/>
              <w:bottom w:val="single" w:color="C0C0C0" w:sz="4" w:space="0"/>
              <w:right w:val="single" w:color="C0C0C0" w:sz="4" w:space="0"/>
            </w:tcBorders>
            <w:shd w:val="clear" w:color="FFFFFF" w:fill="FFFFFF"/>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13.54</w:t>
            </w:r>
          </w:p>
        </w:tc>
      </w:tr>
    </w:tbl>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我单位1-6月、1-10月支出执行进度良好。人大常委会信息中心支出执行精度稍落后。</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我单位此项工作信息中心支出执行进度稍慢，扣1分，得分5分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预算年终结余：</w:t>
      </w:r>
      <w:r>
        <w:rPr>
          <w:rFonts w:hint="eastAsia" w:ascii="仿宋_GB2312" w:hAnsi="仿宋_GB2312" w:eastAsia="仿宋_GB2312"/>
          <w:color w:val="000000"/>
          <w:sz w:val="32"/>
          <w:szCs w:val="32"/>
          <w:lang w:val="en-US" w:eastAsia="zh-CN"/>
        </w:rPr>
        <w:t>我单位2024年无年终结余结转。</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我单位此项工作无扣分，得分2分.</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严控一般性支出</w:t>
      </w:r>
      <w:r>
        <w:rPr>
          <w:rFonts w:hint="default" w:ascii="仿宋_GB2312" w:hAnsi="仿宋_GB2312" w:eastAsia="仿宋_GB2312"/>
          <w:color w:val="000000"/>
          <w:sz w:val="32"/>
          <w:szCs w:val="32"/>
          <w:lang w:val="zh-CN" w:eastAsia="zh-CN"/>
        </w:rPr>
        <w:t>进行绩效分析</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我单位2022年和2023年三公经费、会议费、培训费等支出情况如下表（单位：万元）</w:t>
      </w:r>
    </w:p>
    <w:tbl>
      <w:tblPr>
        <w:tblStyle w:val="17"/>
        <w:tblW w:w="7404" w:type="dxa"/>
        <w:tblInd w:w="0" w:type="dxa"/>
        <w:shd w:val="clear" w:color="auto" w:fill="auto"/>
        <w:tblLayout w:type="fixed"/>
        <w:tblCellMar>
          <w:top w:w="0" w:type="dxa"/>
          <w:left w:w="0" w:type="dxa"/>
          <w:bottom w:w="0" w:type="dxa"/>
          <w:right w:w="0" w:type="dxa"/>
        </w:tblCellMar>
      </w:tblPr>
      <w:tblGrid>
        <w:gridCol w:w="2235"/>
        <w:gridCol w:w="2064"/>
        <w:gridCol w:w="1991"/>
        <w:gridCol w:w="1114"/>
      </w:tblGrid>
      <w:tr>
        <w:tblPrEx>
          <w:shd w:val="clear" w:color="auto" w:fill="auto"/>
          <w:tblLayout w:type="fixed"/>
          <w:tblCellMar>
            <w:top w:w="0" w:type="dxa"/>
            <w:left w:w="0" w:type="dxa"/>
            <w:bottom w:w="0" w:type="dxa"/>
            <w:right w:w="0" w:type="dxa"/>
          </w:tblCellMar>
        </w:tblPrEx>
        <w:trPr>
          <w:trHeight w:val="270" w:hRule="atLeast"/>
        </w:trPr>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项目名称</w:t>
            </w:r>
          </w:p>
        </w:tc>
        <w:tc>
          <w:tcPr>
            <w:tcW w:w="516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预算支出</w:t>
            </w:r>
          </w:p>
        </w:tc>
      </w:tr>
      <w:tr>
        <w:tblPrEx>
          <w:tblLayout w:type="fixed"/>
          <w:tblCellMar>
            <w:top w:w="0" w:type="dxa"/>
            <w:left w:w="0" w:type="dxa"/>
            <w:bottom w:w="0" w:type="dxa"/>
            <w:right w:w="0" w:type="dxa"/>
          </w:tblCellMar>
        </w:tblPrEx>
        <w:trPr>
          <w:trHeight w:val="270" w:hRule="atLeast"/>
        </w:trPr>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2023年</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2024年</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增减</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会议费</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25.55</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25.04</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-0.51</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培训费</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17.54</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20.60</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+3.06</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差旅费</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42.91</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38.03</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-4.88</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办公设备购置</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3.92</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2.72</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公务用车运行维护费</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11.99</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10.85</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-1.14</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56.58</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-56.58</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Layout w:type="fixed"/>
          <w:tblCellMar>
            <w:top w:w="0" w:type="dxa"/>
            <w:left w:w="0" w:type="dxa"/>
            <w:bottom w:w="0" w:type="dxa"/>
            <w:right w:w="0" w:type="dxa"/>
          </w:tblCellMar>
        </w:tblPrEx>
        <w:trPr>
          <w:trHeight w:val="27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0.68</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0.59</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-0.09</w:t>
            </w:r>
          </w:p>
        </w:tc>
      </w:tr>
    </w:tbl>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我单位2024年一般性支出较2023年比较增加项1项，减少项6项，1项无变化。</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我单位该项自评扣分3分，得分2分。</w:t>
      </w:r>
    </w:p>
    <w:p>
      <w:pPr>
        <w:spacing w:line="600" w:lineRule="exact"/>
        <w:ind w:firstLine="640"/>
        <w:rPr>
          <w:rFonts w:hint="eastAsia"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财务管理</w:t>
      </w:r>
      <w:r>
        <w:rPr>
          <w:rFonts w:hint="eastAsia" w:ascii="仿宋_GB2312" w:hAnsi="仿宋_GB2312" w:eastAsia="仿宋_GB2312"/>
          <w:color w:val="000000"/>
          <w:sz w:val="32"/>
          <w:szCs w:val="32"/>
          <w:lang w:val="zh-CN" w:eastAsia="zh-CN"/>
        </w:rPr>
        <w:t>。</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财务管理制度：</w:t>
      </w:r>
      <w:r>
        <w:rPr>
          <w:rFonts w:hint="eastAsia" w:ascii="仿宋_GB2312" w:hAnsi="仿宋_GB2312" w:eastAsia="仿宋_GB2312"/>
          <w:color w:val="000000"/>
          <w:sz w:val="32"/>
          <w:szCs w:val="32"/>
          <w:lang w:val="en-US" w:eastAsia="zh-CN"/>
        </w:rPr>
        <w:t>我单位已制定</w:t>
      </w:r>
      <w:r>
        <w:rPr>
          <w:rFonts w:hint="eastAsia" w:ascii="仿宋_GB2312" w:hAnsi="仿宋_GB2312" w:eastAsia="仿宋_GB2312"/>
          <w:color w:val="000000"/>
          <w:sz w:val="32"/>
          <w:szCs w:val="32"/>
          <w:lang w:val="zh-CN" w:eastAsia="zh-CN"/>
        </w:rPr>
        <w:t>财务管理制度、</w:t>
      </w:r>
      <w:r>
        <w:rPr>
          <w:rFonts w:hint="eastAsia" w:ascii="仿宋_GB2312" w:hAnsi="仿宋_GB2312" w:eastAsia="仿宋_GB2312"/>
          <w:color w:val="000000"/>
          <w:sz w:val="32"/>
          <w:szCs w:val="32"/>
          <w:lang w:val="en-US" w:eastAsia="zh-CN"/>
        </w:rPr>
        <w:t>并按照财务管理制度落实各项工作。</w:t>
      </w:r>
      <w:r>
        <w:rPr>
          <w:rFonts w:hint="eastAsia" w:ascii="仿宋_GB2312" w:hAnsi="仿宋_GB2312" w:eastAsia="仿宋_GB2312"/>
          <w:color w:val="000000"/>
          <w:sz w:val="32"/>
          <w:szCs w:val="32"/>
          <w:lang w:val="zh-CN" w:eastAsia="zh-CN"/>
        </w:rPr>
        <w:t>严格按照《会计法》及有关财务管理的法律法规，规范会计工作和财务行为。</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我单位该项无扣分，得分4分。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财务岗位设置、</w:t>
      </w:r>
      <w:r>
        <w:rPr>
          <w:rFonts w:hint="eastAsia" w:ascii="仿宋_GB2312" w:hAnsi="仿宋_GB2312" w:eastAsia="仿宋_GB2312"/>
          <w:color w:val="000000"/>
          <w:sz w:val="32"/>
          <w:szCs w:val="32"/>
          <w:lang w:val="en-US" w:eastAsia="zh-CN"/>
        </w:rPr>
        <w:t>我单位按照相关财务要求、设置会计和出纳各1名，并明确职责权限，严格实行不相容岗位分离。</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我单位该项无扣分，得分2分。</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资金使用规范</w:t>
      </w:r>
      <w:r>
        <w:rPr>
          <w:rFonts w:hint="default" w:ascii="仿宋_GB2312" w:hAnsi="仿宋_GB2312" w:eastAsia="仿宋_GB2312"/>
          <w:color w:val="000000"/>
          <w:sz w:val="32"/>
          <w:szCs w:val="32"/>
          <w:lang w:val="zh-CN" w:eastAsia="zh-CN"/>
        </w:rPr>
        <w:t>进行绩效分</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我单位部门资金严格按照相关财务管理制度执行，未发现部门资金使用不符合相关财务管理制度规定的</w:t>
      </w:r>
      <w:r>
        <w:rPr>
          <w:rFonts w:hint="eastAsia" w:ascii="仿宋_GB2312" w:hAnsi="仿宋_GB2312" w:eastAsia="仿宋_GB2312"/>
          <w:color w:val="000000"/>
          <w:sz w:val="32"/>
          <w:szCs w:val="32"/>
          <w:lang w:val="zh-CN" w:eastAsia="zh-CN"/>
        </w:rPr>
        <w:t>。</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我单位该项无扣分，得分4分。</w:t>
      </w:r>
    </w:p>
    <w:p>
      <w:pPr>
        <w:spacing w:line="600" w:lineRule="exact"/>
        <w:ind w:firstLine="640"/>
        <w:rPr>
          <w:rFonts w:hint="eastAsia"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资产管理</w:t>
      </w:r>
      <w:r>
        <w:rPr>
          <w:rFonts w:hint="eastAsia" w:ascii="仿宋_GB2312" w:hAnsi="仿宋_GB2312" w:eastAsia="仿宋_GB2312"/>
          <w:color w:val="000000"/>
          <w:sz w:val="32"/>
          <w:szCs w:val="32"/>
          <w:lang w:val="zh-CN" w:eastAsia="zh-CN"/>
        </w:rPr>
        <w:t>。</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2024年资产情况如下：截至2024年12月31日，我部门/单位自用固定资产285.82万元，占账面固定资产总额的100.00%，其中:在用285.82万元，占账面固定资产总额的100.00%；闲置0.00万元，占账面固定资产总额的0.00%；待处置（待报废、毁损等）0.00万元，占账面固定资产总额的0.00%。自用无形资产0.76万元，占账面无形资产总额的100.00%；其中在用0.76万元，占账面无形资产总额的100.00%；闲置0.00万元，占账面无形资产总额的0.00%；待处置（待报废、毁损等）0.00万元，占账面无形资产总额的0.00%。</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我单位2024年利用率、盘活率均达到相关要求，本项无扣分，得分9分。</w:t>
      </w:r>
    </w:p>
    <w:p>
      <w:pPr>
        <w:spacing w:line="600" w:lineRule="exact"/>
        <w:ind w:firstLine="640"/>
        <w:rPr>
          <w:rFonts w:hint="eastAsia"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采购管理</w:t>
      </w:r>
      <w:r>
        <w:rPr>
          <w:rFonts w:hint="eastAsia" w:ascii="仿宋_GB2312" w:hAnsi="仿宋_GB2312" w:eastAsia="仿宋_GB2312"/>
          <w:color w:val="000000"/>
          <w:sz w:val="32"/>
          <w:szCs w:val="32"/>
          <w:lang w:val="zh-CN" w:eastAsia="zh-CN"/>
        </w:rPr>
        <w:t>。</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我单位2023年涉及1个采购项目，采购资金2.71万元，办公设备购置2.71万元。1个采购项目均是</w:t>
      </w:r>
      <w:r>
        <w:rPr>
          <w:rFonts w:hint="eastAsia" w:ascii="仿宋_GB2312" w:hAnsi="仿宋_GB2312" w:eastAsia="仿宋_GB2312"/>
          <w:color w:val="000000"/>
          <w:sz w:val="32"/>
          <w:szCs w:val="32"/>
          <w:lang w:val="zh-CN" w:eastAsia="zh-CN"/>
        </w:rPr>
        <w:t>围绕支持中小企业发展</w:t>
      </w:r>
      <w:r>
        <w:rPr>
          <w:rFonts w:hint="eastAsia" w:ascii="仿宋_GB2312" w:hAnsi="仿宋_GB2312" w:eastAsia="仿宋_GB2312"/>
          <w:color w:val="000000"/>
          <w:sz w:val="32"/>
          <w:szCs w:val="32"/>
          <w:lang w:val="en-US" w:eastAsia="zh-CN"/>
        </w:rPr>
        <w:t>开展</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并于2024年全部完成采购。</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我单位本项无扣分，得分6分。</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（二）部门预算项目绩效分析。</w:t>
      </w:r>
    </w:p>
    <w:p>
      <w:pPr>
        <w:spacing w:line="600" w:lineRule="exact"/>
        <w:ind w:firstLine="640"/>
        <w:rPr>
          <w:rFonts w:hint="default"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我单位2024年</w:t>
      </w:r>
      <w:r>
        <w:rPr>
          <w:rFonts w:hint="default" w:ascii="仿宋_GB2312" w:hAnsi="仿宋_GB2312" w:eastAsia="仿宋_GB2312"/>
          <w:color w:val="000000"/>
          <w:sz w:val="32"/>
          <w:szCs w:val="32"/>
          <w:lang w:val="en-US" w:eastAsia="zh-CN"/>
        </w:rPr>
        <w:t>常年项目</w:t>
      </w:r>
      <w:r>
        <w:rPr>
          <w:rFonts w:hint="default" w:ascii="仿宋_GB2312" w:hAnsi="仿宋_GB2312" w:eastAsia="仿宋_GB2312"/>
          <w:color w:val="000000"/>
          <w:sz w:val="32"/>
          <w:szCs w:val="32"/>
          <w:lang w:val="zh-CN" w:eastAsia="zh-CN"/>
        </w:rPr>
        <w:t>总数</w:t>
      </w:r>
      <w:r>
        <w:rPr>
          <w:rFonts w:hint="default"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val="en-US" w:eastAsia="zh-CN"/>
        </w:rPr>
        <w:t>5</w:t>
      </w:r>
      <w:r>
        <w:rPr>
          <w:rFonts w:hint="default" w:ascii="仿宋_GB2312" w:hAnsi="仿宋_GB2312" w:eastAsia="仿宋_GB2312"/>
          <w:color w:val="000000"/>
          <w:sz w:val="32"/>
          <w:szCs w:val="32"/>
          <w:lang w:val="zh-CN" w:eastAsia="zh-CN"/>
        </w:rPr>
        <w:t>个，涉及预算总金额</w:t>
      </w:r>
      <w:r>
        <w:rPr>
          <w:rFonts w:hint="eastAsia" w:ascii="仿宋_GB2312" w:hAnsi="仿宋_GB2312" w:eastAsia="仿宋_GB2312"/>
          <w:color w:val="000000"/>
          <w:sz w:val="32"/>
          <w:szCs w:val="32"/>
          <w:lang w:val="en-US" w:eastAsia="zh-CN"/>
        </w:rPr>
        <w:t>153.20</w:t>
      </w:r>
      <w:r>
        <w:rPr>
          <w:rFonts w:hint="default" w:ascii="仿宋_GB2312" w:hAnsi="仿宋_GB2312" w:eastAsia="仿宋_GB2312"/>
          <w:color w:val="000000"/>
          <w:sz w:val="32"/>
          <w:szCs w:val="32"/>
          <w:lang w:val="zh-CN" w:eastAsia="zh-CN"/>
        </w:rPr>
        <w:t>万元，1</w:t>
      </w:r>
      <w:r>
        <w:rPr>
          <w:rFonts w:hint="eastAsia" w:ascii="仿宋_GB2312" w:hAnsi="仿宋_GB2312" w:eastAsia="仿宋_GB2312"/>
          <w:color w:val="000000"/>
          <w:sz w:val="32"/>
          <w:szCs w:val="32"/>
          <w:lang w:val="zh-CN" w:eastAsia="zh-CN"/>
        </w:rPr>
        <w:t>—</w:t>
      </w:r>
      <w:r>
        <w:rPr>
          <w:rFonts w:hint="default" w:ascii="仿宋_GB2312" w:hAnsi="仿宋_GB2312" w:eastAsia="仿宋_GB2312"/>
          <w:color w:val="000000"/>
          <w:sz w:val="32"/>
          <w:szCs w:val="32"/>
          <w:lang w:val="zh-CN" w:eastAsia="zh-CN"/>
        </w:rPr>
        <w:t>1</w:t>
      </w:r>
      <w:r>
        <w:rPr>
          <w:rFonts w:hint="default" w:ascii="仿宋_GB2312" w:hAnsi="仿宋_GB2312" w:eastAsia="仿宋_GB2312"/>
          <w:color w:val="000000"/>
          <w:sz w:val="32"/>
          <w:szCs w:val="32"/>
          <w:lang w:val="en-US" w:eastAsia="zh-CN"/>
        </w:rPr>
        <w:t>2</w:t>
      </w:r>
      <w:r>
        <w:rPr>
          <w:rFonts w:hint="default" w:ascii="仿宋_GB2312" w:hAnsi="仿宋_GB2312" w:eastAsia="仿宋_GB2312"/>
          <w:color w:val="000000"/>
          <w:sz w:val="32"/>
          <w:szCs w:val="32"/>
          <w:lang w:val="zh-CN" w:eastAsia="zh-CN"/>
        </w:rPr>
        <w:t>月预算执行总体进度为</w:t>
      </w:r>
      <w:r>
        <w:rPr>
          <w:rFonts w:hint="default"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val="en-US" w:eastAsia="zh-CN"/>
        </w:rPr>
        <w:t>100</w:t>
      </w:r>
      <w:r>
        <w:rPr>
          <w:rFonts w:hint="default" w:ascii="仿宋_GB2312" w:hAnsi="仿宋_GB2312" w:eastAsia="仿宋_GB2312"/>
          <w:color w:val="000000"/>
          <w:sz w:val="32"/>
          <w:szCs w:val="32"/>
          <w:lang w:val="en-US" w:eastAsia="zh-CN"/>
        </w:rPr>
        <w:t xml:space="preserve"> </w:t>
      </w:r>
      <w:r>
        <w:rPr>
          <w:rFonts w:hint="default" w:ascii="仿宋_GB2312" w:hAnsi="仿宋_GB2312" w:eastAsia="仿宋_GB2312"/>
          <w:color w:val="000000"/>
          <w:sz w:val="32"/>
          <w:szCs w:val="32"/>
          <w:lang w:val="zh-CN" w:eastAsia="zh-CN"/>
        </w:rPr>
        <w:t>%，其中：预算结余率大于</w:t>
      </w:r>
      <w:r>
        <w:rPr>
          <w:rFonts w:hint="default" w:ascii="仿宋_GB2312" w:hAnsi="仿宋_GB2312" w:eastAsia="仿宋_GB2312"/>
          <w:color w:val="000000"/>
          <w:sz w:val="32"/>
          <w:szCs w:val="32"/>
          <w:lang w:val="en-US" w:eastAsia="zh-CN"/>
        </w:rPr>
        <w:t>10%</w:t>
      </w:r>
      <w:r>
        <w:rPr>
          <w:rFonts w:hint="default" w:ascii="仿宋_GB2312" w:hAnsi="仿宋_GB2312" w:eastAsia="仿宋_GB2312"/>
          <w:color w:val="000000"/>
          <w:sz w:val="32"/>
          <w:szCs w:val="32"/>
          <w:lang w:val="zh-CN" w:eastAsia="zh-CN"/>
        </w:rPr>
        <w:t>的项目共计</w:t>
      </w:r>
      <w:r>
        <w:rPr>
          <w:rFonts w:hint="eastAsia" w:ascii="仿宋_GB2312" w:hAnsi="仿宋_GB2312" w:eastAsia="仿宋_GB2312"/>
          <w:color w:val="000000"/>
          <w:sz w:val="32"/>
          <w:szCs w:val="32"/>
          <w:lang w:val="en-US" w:eastAsia="zh-CN"/>
        </w:rPr>
        <w:t>0</w:t>
      </w:r>
      <w:r>
        <w:rPr>
          <w:rFonts w:hint="default" w:ascii="仿宋_GB2312" w:hAnsi="仿宋_GB2312" w:eastAsia="仿宋_GB2312"/>
          <w:color w:val="000000"/>
          <w:sz w:val="32"/>
          <w:szCs w:val="32"/>
          <w:lang w:val="en-US" w:eastAsia="zh-CN"/>
        </w:rPr>
        <w:t xml:space="preserve"> </w:t>
      </w:r>
      <w:r>
        <w:rPr>
          <w:rFonts w:hint="default" w:ascii="仿宋_GB2312" w:hAnsi="仿宋_GB2312" w:eastAsia="仿宋_GB2312"/>
          <w:color w:val="000000"/>
          <w:sz w:val="32"/>
          <w:szCs w:val="32"/>
          <w:lang w:val="zh-CN" w:eastAsia="zh-CN"/>
        </w:rPr>
        <w:t>个。</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en-US" w:eastAsia="zh-CN"/>
        </w:rPr>
        <w:t>阶段</w:t>
      </w:r>
      <w:r>
        <w:rPr>
          <w:rFonts w:hint="eastAsia" w:ascii="仿宋_GB2312" w:hAnsi="仿宋_GB2312" w:eastAsia="仿宋_GB2312"/>
          <w:color w:val="000000"/>
          <w:sz w:val="32"/>
          <w:szCs w:val="32"/>
          <w:lang w:val="en-US" w:eastAsia="zh-CN"/>
        </w:rPr>
        <w:t>（</w:t>
      </w:r>
      <w:r>
        <w:rPr>
          <w:rFonts w:hint="default" w:ascii="仿宋_GB2312" w:hAnsi="仿宋_GB2312" w:eastAsia="仿宋_GB2312"/>
          <w:color w:val="000000"/>
          <w:sz w:val="32"/>
          <w:szCs w:val="32"/>
          <w:lang w:val="en-US" w:eastAsia="zh-CN"/>
        </w:rPr>
        <w:t>一次性</w:t>
      </w:r>
      <w:r>
        <w:rPr>
          <w:rFonts w:hint="eastAsia" w:ascii="仿宋_GB2312" w:hAnsi="仿宋_GB2312" w:eastAsia="仿宋_GB2312"/>
          <w:color w:val="000000"/>
          <w:sz w:val="32"/>
          <w:szCs w:val="32"/>
          <w:lang w:val="en-US" w:eastAsia="zh-CN"/>
        </w:rPr>
        <w:t>）</w:t>
      </w:r>
      <w:r>
        <w:rPr>
          <w:rFonts w:hint="default" w:ascii="仿宋_GB2312" w:hAnsi="仿宋_GB2312" w:eastAsia="仿宋_GB2312"/>
          <w:color w:val="000000"/>
          <w:sz w:val="32"/>
          <w:szCs w:val="32"/>
          <w:lang w:val="en-US" w:eastAsia="zh-CN"/>
        </w:rPr>
        <w:t>项目</w:t>
      </w:r>
      <w:r>
        <w:rPr>
          <w:rFonts w:hint="default" w:ascii="仿宋_GB2312" w:hAnsi="仿宋_GB2312" w:eastAsia="仿宋_GB2312"/>
          <w:color w:val="000000"/>
          <w:sz w:val="32"/>
          <w:szCs w:val="32"/>
          <w:lang w:val="zh-CN" w:eastAsia="zh-CN"/>
        </w:rPr>
        <w:t>总数</w:t>
      </w:r>
      <w:r>
        <w:rPr>
          <w:rFonts w:hint="default"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val="en-US" w:eastAsia="zh-CN"/>
        </w:rPr>
        <w:t>4</w:t>
      </w:r>
      <w:r>
        <w:rPr>
          <w:rFonts w:hint="default" w:ascii="仿宋_GB2312" w:hAnsi="仿宋_GB2312" w:eastAsia="仿宋_GB2312"/>
          <w:color w:val="000000"/>
          <w:sz w:val="32"/>
          <w:szCs w:val="32"/>
          <w:lang w:val="en-US" w:eastAsia="zh-CN"/>
        </w:rPr>
        <w:t xml:space="preserve"> </w:t>
      </w:r>
      <w:r>
        <w:rPr>
          <w:rFonts w:hint="default" w:ascii="仿宋_GB2312" w:hAnsi="仿宋_GB2312" w:eastAsia="仿宋_GB2312"/>
          <w:color w:val="000000"/>
          <w:sz w:val="32"/>
          <w:szCs w:val="32"/>
          <w:lang w:val="zh-CN" w:eastAsia="zh-CN"/>
        </w:rPr>
        <w:t>个，涉及预算总金额</w:t>
      </w:r>
      <w:r>
        <w:rPr>
          <w:rFonts w:hint="eastAsia" w:ascii="仿宋_GB2312" w:hAnsi="仿宋_GB2312" w:eastAsia="仿宋_GB2312"/>
          <w:color w:val="000000"/>
          <w:sz w:val="32"/>
          <w:szCs w:val="32"/>
          <w:lang w:val="en-US" w:eastAsia="zh-CN"/>
        </w:rPr>
        <w:t>111.12</w:t>
      </w:r>
      <w:r>
        <w:rPr>
          <w:rFonts w:hint="default" w:ascii="仿宋_GB2312" w:hAnsi="仿宋_GB2312" w:eastAsia="仿宋_GB2312"/>
          <w:color w:val="000000"/>
          <w:sz w:val="32"/>
          <w:szCs w:val="32"/>
          <w:lang w:val="zh-CN" w:eastAsia="zh-CN"/>
        </w:rPr>
        <w:t>万元，1</w:t>
      </w:r>
      <w:r>
        <w:rPr>
          <w:rFonts w:hint="eastAsia" w:ascii="仿宋_GB2312" w:hAnsi="仿宋_GB2312" w:eastAsia="仿宋_GB2312"/>
          <w:color w:val="000000"/>
          <w:sz w:val="32"/>
          <w:szCs w:val="32"/>
          <w:lang w:val="zh-CN" w:eastAsia="zh-CN"/>
        </w:rPr>
        <w:t>—</w:t>
      </w:r>
      <w:r>
        <w:rPr>
          <w:rFonts w:hint="default" w:ascii="仿宋_GB2312" w:hAnsi="仿宋_GB2312" w:eastAsia="仿宋_GB2312"/>
          <w:color w:val="000000"/>
          <w:sz w:val="32"/>
          <w:szCs w:val="32"/>
          <w:lang w:val="zh-CN" w:eastAsia="zh-CN"/>
        </w:rPr>
        <w:t>1</w:t>
      </w:r>
      <w:r>
        <w:rPr>
          <w:rFonts w:hint="default" w:ascii="仿宋_GB2312" w:hAnsi="仿宋_GB2312" w:eastAsia="仿宋_GB2312"/>
          <w:color w:val="000000"/>
          <w:sz w:val="32"/>
          <w:szCs w:val="32"/>
          <w:lang w:val="en-US" w:eastAsia="zh-CN"/>
        </w:rPr>
        <w:t>2</w:t>
      </w:r>
      <w:r>
        <w:rPr>
          <w:rFonts w:hint="default" w:ascii="仿宋_GB2312" w:hAnsi="仿宋_GB2312" w:eastAsia="仿宋_GB2312"/>
          <w:color w:val="000000"/>
          <w:sz w:val="32"/>
          <w:szCs w:val="32"/>
          <w:lang w:val="zh-CN" w:eastAsia="zh-CN"/>
        </w:rPr>
        <w:t>月预算执行总体进度为</w:t>
      </w:r>
      <w:r>
        <w:rPr>
          <w:rFonts w:hint="eastAsia" w:ascii="仿宋_GB2312" w:hAnsi="仿宋_GB2312" w:eastAsia="仿宋_GB2312"/>
          <w:color w:val="000000"/>
          <w:sz w:val="32"/>
          <w:szCs w:val="32"/>
          <w:lang w:val="en-US" w:eastAsia="zh-CN"/>
        </w:rPr>
        <w:t>100</w:t>
      </w:r>
      <w:r>
        <w:rPr>
          <w:rFonts w:hint="default" w:ascii="仿宋_GB2312" w:hAnsi="仿宋_GB2312" w:eastAsia="仿宋_GB2312"/>
          <w:color w:val="000000"/>
          <w:sz w:val="32"/>
          <w:szCs w:val="32"/>
          <w:lang w:val="en-US" w:eastAsia="zh-CN"/>
        </w:rPr>
        <w:t xml:space="preserve"> </w:t>
      </w:r>
      <w:r>
        <w:rPr>
          <w:rFonts w:hint="default" w:ascii="仿宋_GB2312" w:hAnsi="仿宋_GB2312" w:eastAsia="仿宋_GB2312"/>
          <w:color w:val="000000"/>
          <w:sz w:val="32"/>
          <w:szCs w:val="32"/>
          <w:lang w:val="zh-CN" w:eastAsia="zh-CN"/>
        </w:rPr>
        <w:t>%，其中：预算结余率大于</w:t>
      </w:r>
      <w:r>
        <w:rPr>
          <w:rFonts w:hint="default" w:ascii="仿宋_GB2312" w:hAnsi="仿宋_GB2312" w:eastAsia="仿宋_GB2312"/>
          <w:color w:val="000000"/>
          <w:sz w:val="32"/>
          <w:szCs w:val="32"/>
          <w:lang w:val="en-US" w:eastAsia="zh-CN"/>
        </w:rPr>
        <w:t>10%</w:t>
      </w:r>
      <w:r>
        <w:rPr>
          <w:rFonts w:hint="default" w:ascii="仿宋_GB2312" w:hAnsi="仿宋_GB2312" w:eastAsia="仿宋_GB2312"/>
          <w:color w:val="000000"/>
          <w:sz w:val="32"/>
          <w:szCs w:val="32"/>
          <w:lang w:val="zh-CN" w:eastAsia="zh-CN"/>
        </w:rPr>
        <w:t>的项目共计</w:t>
      </w:r>
      <w:r>
        <w:rPr>
          <w:rFonts w:hint="default" w:ascii="仿宋_GB2312" w:hAnsi="仿宋_GB2312" w:eastAsia="仿宋_GB2312"/>
          <w:color w:val="000000"/>
          <w:sz w:val="32"/>
          <w:szCs w:val="32"/>
          <w:lang w:val="en-US" w:eastAsia="zh-CN"/>
        </w:rPr>
        <w:t xml:space="preserve"> </w:t>
      </w:r>
      <w:r>
        <w:rPr>
          <w:rFonts w:hint="eastAsia" w:ascii="仿宋_GB2312" w:hAnsi="仿宋_GB2312" w:eastAsia="仿宋_GB2312"/>
          <w:color w:val="000000"/>
          <w:sz w:val="32"/>
          <w:szCs w:val="32"/>
          <w:lang w:val="en-US" w:eastAsia="zh-CN"/>
        </w:rPr>
        <w:t>0</w:t>
      </w:r>
      <w:r>
        <w:rPr>
          <w:rFonts w:hint="default" w:ascii="仿宋_GB2312" w:hAnsi="仿宋_GB2312" w:eastAsia="仿宋_GB2312"/>
          <w:color w:val="000000"/>
          <w:sz w:val="32"/>
          <w:szCs w:val="32"/>
          <w:lang w:val="en-US" w:eastAsia="zh-CN"/>
        </w:rPr>
        <w:t xml:space="preserve"> </w:t>
      </w:r>
      <w:r>
        <w:rPr>
          <w:rFonts w:hint="default" w:ascii="仿宋_GB2312" w:hAnsi="仿宋_GB2312" w:eastAsia="仿宋_GB2312"/>
          <w:color w:val="000000"/>
          <w:sz w:val="32"/>
          <w:szCs w:val="32"/>
          <w:lang w:val="zh-CN" w:eastAsia="zh-CN"/>
        </w:rPr>
        <w:t>个。</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项目决策。</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决策程序、</w:t>
      </w:r>
      <w:r>
        <w:rPr>
          <w:rFonts w:hint="eastAsia" w:ascii="仿宋_GB2312" w:hAnsi="仿宋_GB2312" w:eastAsia="仿宋_GB2312"/>
          <w:color w:val="000000"/>
          <w:sz w:val="32"/>
          <w:szCs w:val="32"/>
          <w:lang w:val="en-US" w:eastAsia="zh-CN"/>
        </w:rPr>
        <w:t>我单位本年</w:t>
      </w:r>
      <w:r>
        <w:rPr>
          <w:rFonts w:hint="default" w:ascii="仿宋_GB2312" w:hAnsi="仿宋_GB2312" w:eastAsia="仿宋_GB2312"/>
          <w:color w:val="000000"/>
          <w:sz w:val="32"/>
          <w:szCs w:val="32"/>
          <w:lang w:val="en-US" w:eastAsia="zh-CN"/>
        </w:rPr>
        <w:t>常年项目</w:t>
      </w:r>
      <w:r>
        <w:rPr>
          <w:rFonts w:hint="eastAsia" w:ascii="仿宋_GB2312" w:hAnsi="仿宋_GB2312" w:eastAsia="仿宋_GB2312"/>
          <w:color w:val="000000"/>
          <w:sz w:val="32"/>
          <w:szCs w:val="32"/>
          <w:lang w:val="en-US" w:eastAsia="zh-CN"/>
        </w:rPr>
        <w:t>和</w:t>
      </w:r>
      <w:r>
        <w:rPr>
          <w:rFonts w:hint="default" w:ascii="仿宋_GB2312" w:hAnsi="仿宋_GB2312" w:eastAsia="仿宋_GB2312"/>
          <w:color w:val="000000"/>
          <w:sz w:val="32"/>
          <w:szCs w:val="32"/>
          <w:lang w:val="en-US" w:eastAsia="zh-CN"/>
        </w:rPr>
        <w:t>阶段</w:t>
      </w:r>
      <w:r>
        <w:rPr>
          <w:rFonts w:hint="eastAsia" w:ascii="仿宋_GB2312" w:hAnsi="仿宋_GB2312" w:eastAsia="仿宋_GB2312"/>
          <w:color w:val="000000"/>
          <w:sz w:val="32"/>
          <w:szCs w:val="32"/>
          <w:lang w:val="en-US" w:eastAsia="zh-CN"/>
        </w:rPr>
        <w:t>（</w:t>
      </w:r>
      <w:r>
        <w:rPr>
          <w:rFonts w:hint="default" w:ascii="仿宋_GB2312" w:hAnsi="仿宋_GB2312" w:eastAsia="仿宋_GB2312"/>
          <w:color w:val="000000"/>
          <w:sz w:val="32"/>
          <w:szCs w:val="32"/>
          <w:lang w:val="en-US" w:eastAsia="zh-CN"/>
        </w:rPr>
        <w:t>一次性</w:t>
      </w:r>
      <w:r>
        <w:rPr>
          <w:rFonts w:hint="eastAsia" w:ascii="仿宋_GB2312" w:hAnsi="仿宋_GB2312" w:eastAsia="仿宋_GB2312"/>
          <w:color w:val="000000"/>
          <w:sz w:val="32"/>
          <w:szCs w:val="32"/>
          <w:lang w:val="en-US" w:eastAsia="zh-CN"/>
        </w:rPr>
        <w:t>）</w:t>
      </w:r>
      <w:r>
        <w:rPr>
          <w:rFonts w:hint="default" w:ascii="仿宋_GB2312" w:hAnsi="仿宋_GB2312" w:eastAsia="仿宋_GB2312"/>
          <w:color w:val="000000"/>
          <w:sz w:val="32"/>
          <w:szCs w:val="32"/>
          <w:lang w:val="en-US" w:eastAsia="zh-CN"/>
        </w:rPr>
        <w:t>项目</w:t>
      </w:r>
      <w:r>
        <w:rPr>
          <w:rFonts w:hint="eastAsia" w:ascii="仿宋_GB2312" w:hAnsi="仿宋_GB2312" w:eastAsia="仿宋_GB2312"/>
          <w:color w:val="000000"/>
          <w:sz w:val="32"/>
          <w:szCs w:val="32"/>
          <w:lang w:val="en-US" w:eastAsia="zh-CN"/>
        </w:rPr>
        <w:t>一共9个，每个项目均按照相关要求召开党组会议研究决定，然后按照相关程序执行。</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我单位此项无扣分，得4分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目标设置：</w:t>
      </w:r>
      <w:r>
        <w:rPr>
          <w:rFonts w:hint="eastAsia" w:ascii="仿宋_GB2312" w:hAnsi="仿宋_GB2312" w:eastAsia="仿宋_GB2312"/>
          <w:color w:val="000000"/>
          <w:sz w:val="32"/>
          <w:szCs w:val="32"/>
          <w:lang w:val="en-US" w:eastAsia="zh-CN"/>
        </w:rPr>
        <w:t>我单位部门预算项目绩效目标与计划期内的任务量、预算安排的资金匹配，绩效目标设置科学合理、规范完整、与预算匹配，但在量化细化方面还需加强。</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我单位本项扣1分，得3分</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zh-CN" w:eastAsia="zh-CN"/>
        </w:rPr>
        <w:t>项目入库：</w:t>
      </w:r>
      <w:r>
        <w:rPr>
          <w:rFonts w:hint="eastAsia" w:ascii="仿宋_GB2312" w:hAnsi="仿宋_GB2312" w:eastAsia="仿宋_GB2312"/>
          <w:color w:val="000000"/>
          <w:sz w:val="32"/>
          <w:szCs w:val="32"/>
          <w:lang w:val="en-US" w:eastAsia="zh-CN"/>
        </w:rPr>
        <w:t>我单位所有项目均是按照规定时间完成项目入库。</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我单位本项无扣分，得4分</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项目执行</w:t>
      </w:r>
      <w:r>
        <w:rPr>
          <w:rFonts w:hint="eastAsia" w:ascii="仿宋_GB2312" w:hAnsi="仿宋_GB2312" w:eastAsia="仿宋_GB2312"/>
          <w:color w:val="000000"/>
          <w:sz w:val="32"/>
          <w:szCs w:val="32"/>
          <w:lang w:val="zh-CN" w:eastAsia="zh-CN"/>
        </w:rPr>
        <w:t>。</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en-US" w:eastAsia="zh-CN"/>
        </w:rPr>
        <w:t>我单位</w:t>
      </w:r>
      <w:r>
        <w:rPr>
          <w:rFonts w:hint="eastAsia" w:ascii="仿宋_GB2312" w:hAnsi="仿宋_GB2312" w:eastAsia="仿宋_GB2312"/>
          <w:color w:val="000000"/>
          <w:sz w:val="32"/>
          <w:szCs w:val="32"/>
          <w:lang w:val="zh-CN" w:eastAsia="zh-CN"/>
        </w:rPr>
        <w:t>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提高预算的合理性和准确性。</w:t>
      </w:r>
      <w:r>
        <w:rPr>
          <w:rFonts w:hint="eastAsia" w:ascii="仿宋_GB2312" w:hAnsi="仿宋_GB2312" w:eastAsia="仿宋_GB2312"/>
          <w:color w:val="000000"/>
          <w:sz w:val="32"/>
          <w:szCs w:val="32"/>
          <w:lang w:val="en-US" w:eastAsia="zh-CN"/>
        </w:rPr>
        <w:t>部门预算项目实际列支内容与绩效目标设置方向相符</w:t>
      </w:r>
      <w:r>
        <w:rPr>
          <w:rFonts w:hint="eastAsia"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en-US" w:eastAsia="zh-CN"/>
        </w:rPr>
        <w:t>按照相关规定及要求，采取了相应的调整措施，部门预算项目执行良好</w:t>
      </w:r>
      <w:r>
        <w:rPr>
          <w:rFonts w:hint="eastAsia" w:ascii="仿宋_GB2312" w:hAnsi="仿宋_GB2312" w:eastAsia="仿宋_GB2312"/>
          <w:color w:val="000000"/>
          <w:sz w:val="32"/>
          <w:szCs w:val="32"/>
          <w:lang w:val="zh-CN" w:eastAsia="zh-CN"/>
        </w:rPr>
        <w:t>。</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我单位本项无扣分，得12分</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目标实现。</w:t>
      </w:r>
    </w:p>
    <w:p>
      <w:pPr>
        <w:spacing w:line="600" w:lineRule="exact"/>
        <w:ind w:firstLine="640"/>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 xml:space="preserve">   我单位</w:t>
      </w:r>
      <w:r>
        <w:rPr>
          <w:rFonts w:hint="eastAsia" w:ascii="仿宋_GB2312" w:hAnsi="仿宋_GB2312" w:eastAsia="仿宋_GB2312"/>
          <w:color w:val="000000"/>
          <w:sz w:val="32"/>
          <w:szCs w:val="32"/>
          <w:lang w:val="zh-CN" w:eastAsia="zh-CN"/>
        </w:rPr>
        <w:t>建立了专项资金管理办法，严格遵循专款专用、独立核算的管理原则。专项项目的申报严格按照省财政资金管理的要求进行，专项资金财政拨款到位后及时进行了项目开展和资金投入。我机关目前对专项资金的管理按照项目支出涉及的经济科目规定，根据财务管理办法的相关制度执行。</w:t>
      </w:r>
      <w:r>
        <w:rPr>
          <w:rFonts w:hint="eastAsia" w:ascii="仿宋_GB2312" w:hAnsi="仿宋_GB2312" w:eastAsia="仿宋_GB2312"/>
          <w:color w:val="000000"/>
          <w:sz w:val="32"/>
          <w:szCs w:val="32"/>
          <w:lang w:val="en-US" w:eastAsia="zh-CN"/>
        </w:rPr>
        <w:t>2024年度我单位按照年初制定的目标完成了以下工作：组织召开人代会1次、主任会议13次，常委会会议10次，听取审议专项报告21项、人大评议意见整改情况报告10项，开展执法检查2项，专题视察16次，作出决议决定15项，提出审议意见17份、62条，任免国家机关工作人员39人次.</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我单位本项无扣分，得11分</w:t>
      </w:r>
    </w:p>
    <w:p>
      <w:pPr>
        <w:spacing w:line="600" w:lineRule="exact"/>
        <w:ind w:firstLine="64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我单位2024年度不</w:t>
      </w:r>
      <w:r>
        <w:rPr>
          <w:rFonts w:hint="default" w:ascii="仿宋_GB2312" w:hAnsi="仿宋_GB2312" w:eastAsia="仿宋_GB2312"/>
          <w:color w:val="000000"/>
          <w:sz w:val="32"/>
          <w:szCs w:val="32"/>
          <w:lang w:val="en-US" w:eastAsia="zh-CN"/>
        </w:rPr>
        <w:t>涉及国有资本经营预算、社会保险基金预算。</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w:t>
      </w:r>
      <w:r>
        <w:rPr>
          <w:rFonts w:hint="eastAsia" w:ascii="仿宋_GB2312" w:hAnsi="仿宋_GB2312" w:eastAsia="仿宋_GB2312"/>
          <w:color w:val="000000"/>
          <w:sz w:val="32"/>
          <w:szCs w:val="32"/>
          <w:lang w:val="zh-CN" w:eastAsia="zh-CN"/>
        </w:rPr>
        <w:t>三</w:t>
      </w:r>
      <w:r>
        <w:rPr>
          <w:rFonts w:hint="default" w:ascii="仿宋_GB2312" w:hAnsi="仿宋_GB2312" w:eastAsia="仿宋_GB2312"/>
          <w:color w:val="000000"/>
          <w:sz w:val="32"/>
          <w:szCs w:val="32"/>
          <w:lang w:val="zh-CN" w:eastAsia="zh-CN"/>
        </w:rPr>
        <w:t>）重点领域绩效分析。</w:t>
      </w:r>
      <w:r>
        <w:rPr>
          <w:rFonts w:hint="eastAsia" w:ascii="仿宋_GB2312" w:hAnsi="仿宋_GB2312" w:eastAsia="仿宋_GB2312"/>
          <w:color w:val="000000"/>
          <w:sz w:val="32"/>
          <w:szCs w:val="32"/>
          <w:lang w:val="en-US" w:eastAsia="zh-CN"/>
        </w:rPr>
        <w:t>我单位2024年度不</w:t>
      </w:r>
      <w:r>
        <w:rPr>
          <w:rFonts w:hint="default" w:ascii="仿宋_GB2312" w:hAnsi="仿宋_GB2312" w:eastAsia="仿宋_GB2312"/>
          <w:color w:val="000000"/>
          <w:sz w:val="32"/>
          <w:szCs w:val="32"/>
          <w:lang w:val="en-US" w:eastAsia="zh-CN"/>
        </w:rPr>
        <w:t>涉及国有资本、行政事业性国有资产、债券资金、政府采购和政府购买服务等重点领域的</w:t>
      </w:r>
      <w:r>
        <w:rPr>
          <w:rFonts w:hint="eastAsia" w:ascii="仿宋_GB2312" w:hAnsi="仿宋_GB2312" w:eastAsia="仿宋_GB2312"/>
          <w:color w:val="000000"/>
          <w:sz w:val="32"/>
          <w:szCs w:val="32"/>
          <w:lang w:val="en-US" w:eastAsia="zh-CN"/>
        </w:rPr>
        <w:t>。</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（四）绩效结果应用情况</w:t>
      </w:r>
      <w:r>
        <w:rPr>
          <w:rFonts w:hint="eastAsia" w:ascii="仿宋_GB2312" w:hAnsi="仿宋_GB2312" w:eastAsia="仿宋_GB2312"/>
          <w:color w:val="000000"/>
          <w:sz w:val="32"/>
          <w:szCs w:val="32"/>
          <w:lang w:val="zh-CN" w:eastAsia="zh-CN"/>
        </w:rPr>
        <w:t>。单位将存在问题认真分析并及时整改。今后将严格按照相关文件和要求，认真开展我单位工作。</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en-US" w:eastAsia="zh-CN"/>
        </w:rPr>
        <w:t>四、评价结论及建议</w:t>
      </w:r>
    </w:p>
    <w:p>
      <w:pPr>
        <w:spacing w:line="600" w:lineRule="exact"/>
        <w:ind w:firstLine="640"/>
        <w:rPr>
          <w:rFonts w:hint="default"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（一）评价结论。</w:t>
      </w:r>
      <w:r>
        <w:rPr>
          <w:rFonts w:hint="eastAsia" w:ascii="仿宋_GB2312" w:hAnsi="仿宋_GB2312" w:eastAsia="仿宋_GB2312"/>
          <w:color w:val="000000"/>
          <w:sz w:val="32"/>
          <w:szCs w:val="32"/>
          <w:lang w:val="zh-CN" w:eastAsia="zh-CN"/>
        </w:rPr>
        <w:t>小金县人大机关部门预算执行情况良好，无不良记录及违规违纪行为，预算支出和决算支出情况相符。根据绩效评价工作要求，我们对自评工作实施方案进行了认真的研究和部以顺利开展，并取得了较好的效果，自评得分</w:t>
      </w:r>
      <w:r>
        <w:rPr>
          <w:rFonts w:hint="eastAsia" w:ascii="仿宋_GB2312" w:hAnsi="仿宋_GB2312" w:eastAsia="仿宋_GB2312"/>
          <w:color w:val="000000"/>
          <w:sz w:val="32"/>
          <w:szCs w:val="32"/>
          <w:lang w:val="en-US" w:eastAsia="zh-CN"/>
        </w:rPr>
        <w:t>95</w:t>
      </w:r>
      <w:r>
        <w:rPr>
          <w:rFonts w:hint="eastAsia" w:ascii="仿宋_GB2312" w:hAnsi="仿宋_GB2312" w:eastAsia="仿宋_GB2312"/>
          <w:color w:val="000000"/>
          <w:sz w:val="32"/>
          <w:szCs w:val="32"/>
          <w:lang w:val="zh-CN" w:eastAsia="zh-CN"/>
        </w:rPr>
        <w:t>分。</w:t>
      </w:r>
    </w:p>
    <w:p>
      <w:pPr>
        <w:spacing w:line="600" w:lineRule="exact"/>
        <w:ind w:firstLine="640"/>
        <w:rPr>
          <w:rFonts w:hint="default"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zh-CN" w:eastAsia="zh-CN"/>
        </w:rPr>
        <w:t>（二）存在问题。</w:t>
      </w:r>
      <w:r>
        <w:rPr>
          <w:rFonts w:hint="eastAsia" w:ascii="仿宋_GB2312" w:hAnsi="仿宋_GB2312" w:eastAsia="仿宋_GB2312"/>
          <w:color w:val="000000"/>
          <w:sz w:val="32"/>
          <w:szCs w:val="32"/>
          <w:lang w:val="zh-CN" w:eastAsia="zh-CN"/>
        </w:rPr>
        <w:t>这次绩效评价工作也存在着一些问题，主要是预算编制的合理性有待提高，对署，是自评工作得定性指标的评议上，评价内容较宏观，所以部分参与评价的人员不能客观地对本部门的支出绩效进行评价。</w:t>
      </w:r>
      <w:r>
        <w:rPr>
          <w:rFonts w:hint="eastAsia" w:ascii="仿宋_GB2312" w:hAnsi="仿宋_GB2312" w:eastAsia="仿宋_GB2312"/>
          <w:color w:val="000000"/>
          <w:sz w:val="32"/>
          <w:szCs w:val="32"/>
          <w:lang w:val="en-US" w:eastAsia="zh-CN"/>
        </w:rPr>
        <w:t>一般性支出压减还需继续加强，严控三公经费、培训费、差旅费等相关支出。</w:t>
      </w:r>
    </w:p>
    <w:p>
      <w:pPr>
        <w:spacing w:line="600" w:lineRule="exact"/>
        <w:ind w:firstLine="640"/>
        <w:rPr>
          <w:rFonts w:hint="eastAsia" w:ascii="仿宋_GB2312" w:hAnsi="仿宋_GB2312" w:eastAsia="仿宋_GB2312"/>
          <w:color w:val="000000"/>
          <w:sz w:val="32"/>
          <w:szCs w:val="32"/>
          <w:lang w:val="zh-CN" w:eastAsia="zh-CN"/>
        </w:rPr>
      </w:pPr>
      <w:r>
        <w:rPr>
          <w:rFonts w:hint="default" w:ascii="仿宋_GB2312" w:hAnsi="仿宋_GB2312" w:eastAsia="仿宋_GB2312"/>
          <w:color w:val="000000"/>
          <w:sz w:val="32"/>
          <w:szCs w:val="32"/>
          <w:lang w:val="zh-CN" w:eastAsia="zh-CN"/>
        </w:rPr>
        <w:t>（三）改进建议。</w:t>
      </w:r>
      <w:r>
        <w:rPr>
          <w:rFonts w:hint="eastAsia" w:ascii="仿宋_GB2312" w:hAnsi="仿宋_GB2312" w:eastAsia="仿宋_GB2312"/>
          <w:color w:val="000000"/>
          <w:sz w:val="32"/>
          <w:szCs w:val="32"/>
          <w:lang w:val="zh-CN" w:eastAsia="zh-CN"/>
        </w:rPr>
        <w:t>针对上述存在的问题及我机关整体支出管理工作的需要，拟实施的改进措施如下：</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1. 细化预算编制工作，认真做好预算的编制。进一步加强人大内部机构各处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提高预算的合理性和准确性。</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2. 加强财务管理，严格财务审核。在费用报账支付时，按照预算规定的费用项目和用途进行资金使用审核、列报支付、财务核算，杜绝超支现象的发生。</w:t>
      </w:r>
    </w:p>
    <w:p>
      <w:pPr>
        <w:spacing w:line="600" w:lineRule="exact"/>
        <w:ind w:firstLine="640"/>
        <w:rPr>
          <w:rFonts w:hint="eastAsia" w:ascii="仿宋_GB2312" w:hAnsi="仿宋_GB2312" w:eastAsia="仿宋_GB2312"/>
          <w:color w:val="000000"/>
          <w:sz w:val="32"/>
          <w:szCs w:val="32"/>
          <w:lang w:val="zh-CN" w:eastAsia="zh-CN"/>
        </w:rPr>
      </w:pPr>
      <w:r>
        <w:rPr>
          <w:rFonts w:hint="eastAsia" w:ascii="仿宋_GB2312" w:hAnsi="仿宋_GB2312" w:eastAsia="仿宋_GB2312"/>
          <w:color w:val="000000"/>
          <w:sz w:val="32"/>
          <w:szCs w:val="32"/>
          <w:lang w:val="zh-CN" w:eastAsia="zh-CN"/>
        </w:rPr>
        <w:t>3．持续抓好“三公”经费控制管理。严格控制“三公”经费的规模和比例，把关“三公”经费支出的审核、审批，杜绝挪用和挤占其他预算资金行为；进一步细化“三公”经费的管理，合理压缩“三公”经费支出。</w:t>
      </w:r>
    </w:p>
    <w:p>
      <w:pPr>
        <w:spacing w:line="600" w:lineRule="exact"/>
        <w:ind w:firstLine="640"/>
        <w:rPr>
          <w:rFonts w:hint="default" w:ascii="仿宋_GB2312" w:hAnsi="仿宋_GB2312" w:eastAsia="仿宋_GB2312"/>
          <w:color w:val="000000"/>
          <w:sz w:val="32"/>
          <w:szCs w:val="32"/>
          <w:lang w:val="en-US" w:eastAsia="zh-CN"/>
        </w:rPr>
      </w:pPr>
    </w:p>
    <w:p>
      <w:pPr>
        <w:spacing w:line="600" w:lineRule="exact"/>
        <w:ind w:firstLine="640"/>
        <w:rPr>
          <w:rFonts w:hint="eastAsia" w:ascii="仿宋_GB2312" w:hAnsi="仿宋_GB2312" w:eastAsia="仿宋_GB2312"/>
          <w:color w:val="000000"/>
          <w:sz w:val="32"/>
          <w:szCs w:val="32"/>
          <w:lang w:val="en-US" w:eastAsia="zh-CN"/>
        </w:rPr>
      </w:pPr>
      <w:r>
        <w:rPr>
          <w:rFonts w:hint="default" w:ascii="仿宋_GB2312" w:hAnsi="仿宋_GB2312" w:eastAsia="仿宋_GB2312"/>
          <w:color w:val="000000"/>
          <w:sz w:val="32"/>
          <w:szCs w:val="32"/>
          <w:lang w:val="en-US" w:eastAsia="zh-CN"/>
        </w:rPr>
        <w:t>附表：</w:t>
      </w:r>
      <w:r>
        <w:rPr>
          <w:rFonts w:hint="eastAsia" w:ascii="仿宋_GB2312" w:hAnsi="仿宋_GB2312" w:eastAsia="仿宋_GB2312"/>
          <w:color w:val="000000"/>
          <w:sz w:val="32"/>
          <w:szCs w:val="32"/>
          <w:lang w:val="en-US" w:eastAsia="zh-CN"/>
        </w:rPr>
        <w:t>1.部门预算绩效自评打分表</w:t>
      </w:r>
    </w:p>
    <w:p>
      <w:pPr>
        <w:spacing w:line="600" w:lineRule="exact"/>
        <w:ind w:firstLine="1600" w:firstLineChars="500"/>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2.</w:t>
      </w:r>
      <w:r>
        <w:rPr>
          <w:rFonts w:hint="default" w:ascii="仿宋_GB2312" w:hAnsi="仿宋_GB2312" w:eastAsia="仿宋_GB2312"/>
          <w:color w:val="000000"/>
          <w:sz w:val="32"/>
          <w:szCs w:val="32"/>
          <w:lang w:val="en-US" w:eastAsia="zh-CN"/>
        </w:rPr>
        <w:t>部门整体绩效目标完成情况自评表</w:t>
      </w:r>
    </w:p>
    <w:p>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strike w:val="0"/>
          <w:sz w:val="32"/>
          <w:szCs w:val="32"/>
          <w:u w:val="none"/>
          <w:lang w:eastAsia="zh-CN" w:bidi="ar"/>
        </w:rPr>
      </w:pPr>
      <w:r>
        <w:rPr>
          <w:rFonts w:hint="eastAsia" w:ascii="仿宋_GB2312" w:hAnsi="仿宋_GB2312" w:eastAsia="仿宋_GB2312"/>
          <w:color w:val="000000"/>
          <w:sz w:val="32"/>
          <w:szCs w:val="32"/>
          <w:lang w:val="en-US" w:eastAsia="zh-CN"/>
        </w:rPr>
        <w:t>3.</w:t>
      </w:r>
      <w:r>
        <w:rPr>
          <w:rFonts w:hint="default" w:ascii="Times New Roman" w:hAnsi="Times New Roman" w:eastAsia="仿宋_GB2312" w:cs="Times New Roman"/>
          <w:strike w:val="0"/>
          <w:sz w:val="32"/>
          <w:szCs w:val="32"/>
          <w:u w:val="none"/>
          <w:lang w:bidi="ar"/>
        </w:rPr>
        <w:t>部门预算项目支出绩效</w:t>
      </w:r>
      <w:r>
        <w:rPr>
          <w:rFonts w:hint="default" w:ascii="Times New Roman" w:hAnsi="Times New Roman" w:eastAsia="仿宋_GB2312" w:cs="Times New Roman"/>
          <w:strike w:val="0"/>
          <w:sz w:val="32"/>
          <w:szCs w:val="32"/>
          <w:u w:val="none"/>
          <w:lang w:eastAsia="zh-CN" w:bidi="ar"/>
        </w:rPr>
        <w:t>评价</w:t>
      </w:r>
      <w:r>
        <w:rPr>
          <w:rFonts w:hint="default" w:ascii="Times New Roman" w:hAnsi="Times New Roman" w:eastAsia="仿宋_GB2312" w:cs="Times New Roman"/>
          <w:strike w:val="0"/>
          <w:sz w:val="32"/>
          <w:szCs w:val="32"/>
          <w:u w:val="none"/>
          <w:lang w:bidi="ar"/>
        </w:rPr>
        <w:t>表</w:t>
      </w:r>
      <w:r>
        <w:rPr>
          <w:rFonts w:hint="default" w:ascii="Times New Roman" w:hAnsi="Times New Roman" w:eastAsia="仿宋_GB2312" w:cs="Times New Roman"/>
          <w:strike w:val="0"/>
          <w:sz w:val="32"/>
          <w:szCs w:val="32"/>
          <w:u w:val="none"/>
          <w:lang w:eastAsia="zh-CN" w:bidi="ar"/>
        </w:rPr>
        <w:t>（202</w:t>
      </w:r>
      <w:r>
        <w:rPr>
          <w:rFonts w:hint="default" w:ascii="Times New Roman" w:hAnsi="Times New Roman" w:eastAsia="仿宋_GB2312" w:cs="Times New Roman"/>
          <w:strike w:val="0"/>
          <w:sz w:val="32"/>
          <w:szCs w:val="32"/>
          <w:u w:val="none"/>
          <w:lang w:val="en-US" w:eastAsia="zh-CN" w:bidi="ar"/>
        </w:rPr>
        <w:t>4</w:t>
      </w:r>
      <w:r>
        <w:rPr>
          <w:rFonts w:hint="default" w:ascii="Times New Roman" w:hAnsi="Times New Roman" w:eastAsia="仿宋_GB2312" w:cs="Times New Roman"/>
          <w:strike w:val="0"/>
          <w:sz w:val="32"/>
          <w:szCs w:val="32"/>
          <w:u w:val="none"/>
          <w:lang w:eastAsia="zh-CN" w:bidi="ar"/>
        </w:rPr>
        <w:t>年度）</w:t>
      </w:r>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7"/>
        <w:tblW w:w="1081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tbl>
      <w:tblPr>
        <w:tblStyle w:val="17"/>
        <w:tblpPr w:leftFromText="180" w:rightFromText="180" w:vertAnchor="text" w:horzAnchor="page" w:tblpX="11" w:tblpY="673"/>
        <w:tblOverlap w:val="never"/>
        <w:tblW w:w="22440" w:type="dxa"/>
        <w:tblInd w:w="0" w:type="dxa"/>
        <w:shd w:val="clear" w:color="auto" w:fill="auto"/>
        <w:tblLayout w:type="fixed"/>
        <w:tblCellMar>
          <w:top w:w="0" w:type="dxa"/>
          <w:left w:w="0" w:type="dxa"/>
          <w:bottom w:w="0" w:type="dxa"/>
          <w:right w:w="0" w:type="dxa"/>
        </w:tblCellMar>
      </w:tblPr>
      <w:tblGrid>
        <w:gridCol w:w="1110"/>
        <w:gridCol w:w="1635"/>
        <w:gridCol w:w="1365"/>
        <w:gridCol w:w="1384"/>
        <w:gridCol w:w="1020"/>
        <w:gridCol w:w="1320"/>
        <w:gridCol w:w="885"/>
        <w:gridCol w:w="2501"/>
        <w:gridCol w:w="11220"/>
      </w:tblGrid>
      <w:tr>
        <w:tblPrEx>
          <w:shd w:val="clear" w:color="auto" w:fill="auto"/>
          <w:tblLayout w:type="fixed"/>
          <w:tblCellMar>
            <w:top w:w="0" w:type="dxa"/>
            <w:left w:w="0" w:type="dxa"/>
            <w:bottom w:w="0" w:type="dxa"/>
            <w:right w:w="0" w:type="dxa"/>
          </w:tblCellMar>
        </w:tblPrEx>
        <w:trPr>
          <w:trHeight w:val="904" w:hRule="atLeast"/>
        </w:trPr>
        <w:tc>
          <w:tcPr>
            <w:tcW w:w="11220"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ascii="黑体" w:hAnsi="宋体" w:eastAsia="黑体" w:cs="黑体"/>
                <w:i w:val="0"/>
                <w:color w:val="000000"/>
                <w:sz w:val="18"/>
                <w:szCs w:val="18"/>
                <w:u w:val="none"/>
              </w:rPr>
            </w:pPr>
            <w:r>
              <w:rPr>
                <w:rFonts w:hint="eastAsia" w:ascii="黑体" w:hAnsi="宋体" w:eastAsia="黑体" w:cs="黑体"/>
                <w:i w:val="0"/>
                <w:color w:val="000000"/>
                <w:kern w:val="0"/>
                <w:sz w:val="18"/>
                <w:szCs w:val="18"/>
                <w:u w:val="none"/>
                <w:lang w:val="en-US" w:eastAsia="zh-CN" w:bidi="ar"/>
              </w:rPr>
              <w:t>部门整体支出绩效目标表</w:t>
            </w:r>
          </w:p>
        </w:tc>
        <w:tc>
          <w:tcPr>
            <w:tcW w:w="1122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黑体" w:hAnsi="宋体" w:eastAsia="黑体" w:cs="黑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286" w:hRule="atLeast"/>
        </w:trPr>
        <w:tc>
          <w:tcPr>
            <w:tcW w:w="11220"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（2024年度）</w:t>
            </w:r>
          </w:p>
        </w:tc>
        <w:tc>
          <w:tcPr>
            <w:tcW w:w="11220"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286" w:hRule="atLeast"/>
        </w:trPr>
        <w:tc>
          <w:tcPr>
            <w:tcW w:w="11220" w:type="dxa"/>
            <w:gridSpan w:val="8"/>
            <w:tcBorders>
              <w:top w:val="nil"/>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金额单位：万元</w:t>
            </w:r>
          </w:p>
        </w:tc>
        <w:tc>
          <w:tcPr>
            <w:tcW w:w="11220" w:type="dxa"/>
            <w:tcBorders>
              <w:top w:val="nil"/>
              <w:left w:val="nil"/>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41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部门名称</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小金县人民代表大会常务委员会</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398"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年度部门整体支出预算</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资金总额</w:t>
            </w:r>
          </w:p>
        </w:tc>
        <w:tc>
          <w:tcPr>
            <w:tcW w:w="24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财政拨款</w:t>
            </w:r>
          </w:p>
        </w:tc>
        <w:tc>
          <w:tcPr>
            <w:tcW w:w="4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816.15</w:t>
            </w:r>
          </w:p>
        </w:tc>
        <w:tc>
          <w:tcPr>
            <w:tcW w:w="24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816.15</w:t>
            </w:r>
          </w:p>
        </w:tc>
        <w:tc>
          <w:tcPr>
            <w:tcW w:w="47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1145" w:hRule="atLeast"/>
        </w:trPr>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年度总体目标</w:t>
            </w:r>
          </w:p>
        </w:tc>
        <w:tc>
          <w:tcPr>
            <w:tcW w:w="1011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完成人人代表履职能力提升、代表工作、人大会议、人大监督等相关工作。切实做好人大工作及代表履职、视察等工作。        </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年度主要任务</w:t>
            </w: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任务名称</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主要内容</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人大会议</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完成每年一次人民代表大会大会及6次常委会会议工作。</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人大监督</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完成人大监督相关工作</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代表履职能力提升</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完成代表履职能力提升工作</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代表工作</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完成代表视察、调研等工作</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0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其他人大事务</w:t>
            </w:r>
          </w:p>
        </w:tc>
        <w:tc>
          <w:tcPr>
            <w:tcW w:w="71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完成上述任务外的其他人大事务</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年度绩效指标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绩效指标性质</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绩效指标值</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绩效度量单位</w:t>
            </w:r>
          </w:p>
        </w:tc>
        <w:tc>
          <w:tcPr>
            <w:tcW w:w="2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r>
        <w:tblPrEx>
          <w:tblLayout w:type="fixed"/>
          <w:tblCellMar>
            <w:top w:w="0" w:type="dxa"/>
            <w:left w:w="0" w:type="dxa"/>
            <w:bottom w:w="0" w:type="dxa"/>
            <w:right w:w="0" w:type="dxa"/>
          </w:tblCellMar>
        </w:tblPrEx>
        <w:trPr>
          <w:trHeight w:val="569"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12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kern w:val="0"/>
                <w:sz w:val="18"/>
                <w:szCs w:val="18"/>
                <w:u w:val="none"/>
                <w:lang w:val="en-US" w:eastAsia="zh-CN" w:bidi="ar"/>
              </w:rPr>
            </w:pPr>
          </w:p>
        </w:tc>
      </w:tr>
    </w:tbl>
    <w:p>
      <w:pPr>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黑体" w:cs="Times New Roman"/>
          <w:kern w:val="2"/>
          <w:sz w:val="32"/>
          <w:szCs w:val="24"/>
          <w:highlight w:val="none"/>
          <w:lang w:val="en-US" w:eastAsia="zh-CN" w:bidi="ar-SA"/>
        </w:rPr>
        <w:t>附表2</w:t>
      </w:r>
      <w:r>
        <w:rPr>
          <w:rFonts w:hint="default" w:ascii="Times New Roman" w:hAnsi="Times New Roman" w:eastAsia="黑体" w:cs="Times New Roman"/>
          <w:kern w:val="2"/>
          <w:sz w:val="32"/>
          <w:szCs w:val="24"/>
          <w:highlight w:val="none"/>
          <w:lang w:val="en-US" w:eastAsia="zh-CN" w:bidi="ar-SA"/>
        </w:rPr>
        <w:br w:type="page"/>
      </w:r>
    </w:p>
    <w:p>
      <w:pPr>
        <w:pStyle w:val="16"/>
        <w:pageBreakBefore w:val="0"/>
        <w:kinsoku/>
        <w:wordWrap/>
        <w:overflowPunct/>
        <w:topLinePunct w:val="0"/>
        <w:autoSpaceDE/>
        <w:autoSpaceDN/>
        <w:bidi w:val="0"/>
        <w:adjustRightInd/>
        <w:snapToGrid/>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16"/>
        <w:pageBreakBefore w:val="0"/>
        <w:kinsoku/>
        <w:wordWrap/>
        <w:overflowPunct/>
        <w:topLinePunct w:val="0"/>
        <w:autoSpaceDE/>
        <w:autoSpaceDN/>
        <w:bidi w:val="0"/>
        <w:adjustRightInd/>
        <w:snapToGrid/>
        <w:spacing w:after="0" w:line="578" w:lineRule="exact"/>
        <w:ind w:left="0" w:leftChars="0" w:firstLine="0" w:firstLineChars="0"/>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p>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i w:val="0"/>
          <w:color w:val="000000"/>
          <w:kern w:val="0"/>
          <w:sz w:val="44"/>
          <w:szCs w:val="44"/>
          <w:u w:val="none"/>
          <w:lang w:val="en-US" w:eastAsia="zh-CN" w:bidi="ar"/>
        </w:rPr>
      </w:pPr>
      <w:r>
        <w:rPr>
          <w:rFonts w:hint="default" w:ascii="Times New Roman" w:hAnsi="Times New Roman" w:eastAsia="方正小标宋简体" w:cs="Times New Roman"/>
          <w:i w:val="0"/>
          <w:color w:val="000000"/>
          <w:kern w:val="0"/>
          <w:sz w:val="44"/>
          <w:szCs w:val="44"/>
          <w:u w:val="none"/>
          <w:lang w:val="en-US" w:eastAsia="zh-CN" w:bidi="ar"/>
        </w:rPr>
        <w:t>部门预算项目支出绩效评价表</w:t>
      </w:r>
    </w:p>
    <w:p>
      <w:pPr>
        <w:keepNext w:val="0"/>
        <w:keepLines w:val="0"/>
        <w:pageBreakBefore w:val="0"/>
        <w:widowControl/>
        <w:suppressLineNumbers w:val="0"/>
        <w:kinsoku/>
        <w:wordWrap/>
        <w:overflowPunct/>
        <w:topLinePunct w:val="0"/>
        <w:autoSpaceDE/>
        <w:autoSpaceDN/>
        <w:bidi w:val="0"/>
        <w:adjustRightInd/>
        <w:snapToGrid/>
        <w:spacing w:line="578" w:lineRule="exact"/>
        <w:jc w:val="center"/>
        <w:textAlignment w:val="center"/>
        <w:outlineLvl w:val="9"/>
        <w:rPr>
          <w:rFonts w:hint="default" w:ascii="Times New Roman" w:hAnsi="Times New Roman" w:eastAsia="方正小标宋简体" w:cs="Times New Roman"/>
          <w:i w:val="0"/>
          <w:color w:val="000000"/>
          <w:kern w:val="0"/>
          <w:sz w:val="32"/>
          <w:szCs w:val="32"/>
          <w:u w:val="none"/>
          <w:lang w:val="en-US" w:eastAsia="zh-CN" w:bidi="ar"/>
        </w:rPr>
      </w:pPr>
      <w:r>
        <w:rPr>
          <w:rFonts w:hint="default" w:ascii="Times New Roman" w:hAnsi="Times New Roman" w:eastAsia="方正小标宋简体" w:cs="Times New Roman"/>
          <w:i w:val="0"/>
          <w:color w:val="000000"/>
          <w:kern w:val="0"/>
          <w:sz w:val="32"/>
          <w:szCs w:val="32"/>
          <w:u w:val="none"/>
          <w:lang w:val="en-US" w:eastAsia="zh-CN" w:bidi="ar"/>
        </w:rPr>
        <w:t>（2024年度）</w:t>
      </w:r>
    </w:p>
    <w:p>
      <w:pPr>
        <w:pStyle w:val="2"/>
        <w:pageBreakBefore w:val="0"/>
        <w:kinsoku/>
        <w:wordWrap/>
        <w:overflowPunct/>
        <w:topLinePunct w:val="0"/>
        <w:autoSpaceDE/>
        <w:autoSpaceDN/>
        <w:bidi w:val="0"/>
        <w:adjustRightInd/>
        <w:snapToGrid/>
        <w:spacing w:before="0" w:after="0" w:line="578" w:lineRule="exact"/>
        <w:ind w:firstLine="640" w:firstLineChars="200"/>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pPr>
    </w:p>
    <w:p>
      <w:pPr>
        <w:pStyle w:val="2"/>
        <w:pageBreakBefore w:val="0"/>
        <w:kinsoku/>
        <w:wordWrap/>
        <w:overflowPunct/>
        <w:topLinePunct w:val="0"/>
        <w:autoSpaceDE/>
        <w:autoSpaceDN/>
        <w:bidi w:val="0"/>
        <w:adjustRightInd/>
        <w:snapToGrid/>
        <w:spacing w:before="0" w:after="0" w:line="578" w:lineRule="exact"/>
        <w:ind w:firstLine="640" w:firstLineChars="200"/>
        <w:rPr>
          <w:rFonts w:hint="default"/>
          <w:lang w:val="en-US" w:eastAsia="zh-CN"/>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b w:val="0"/>
          <w:color w:val="000000"/>
          <w:kern w:val="0"/>
          <w:sz w:val="32"/>
          <w:szCs w:val="32"/>
          <w:highlight w:val="none"/>
          <w:shd w:val="clear" w:color="auto" w:fill="FFFFFF"/>
          <w:lang w:val="en-US" w:eastAsia="zh-CN" w:bidi="ar-SA"/>
        </w:rPr>
        <w:t>部门预算项目支出绩效评价表</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b w:val="0"/>
          <w:color w:val="000000"/>
          <w:kern w:val="0"/>
          <w:sz w:val="32"/>
          <w:szCs w:val="32"/>
          <w:highlight w:val="none"/>
          <w:shd w:val="clear" w:color="auto" w:fill="FFFFFF"/>
          <w:lang w:val="en-US" w:eastAsia="zh-CN" w:bidi="ar-SA"/>
        </w:rPr>
        <w:t>在预算管理一体化系统</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b w:val="0"/>
          <w:color w:val="000000"/>
          <w:kern w:val="0"/>
          <w:sz w:val="32"/>
          <w:szCs w:val="32"/>
          <w:highlight w:val="none"/>
          <w:shd w:val="clear" w:color="auto" w:fill="FFFFFF"/>
          <w:lang w:val="en-US" w:eastAsia="zh-CN" w:bidi="ar-SA"/>
        </w:rPr>
        <w:t>综合报表查询</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default" w:ascii="Times New Roman" w:hAnsi="Times New Roman" w:eastAsia="仿宋_GB2312" w:cs="Times New Roman"/>
          <w:b w:val="0"/>
          <w:color w:val="000000"/>
          <w:kern w:val="0"/>
          <w:sz w:val="32"/>
          <w:szCs w:val="32"/>
          <w:highlight w:val="none"/>
          <w:shd w:val="clear" w:color="auto" w:fill="FFFFFF"/>
          <w:lang w:val="en-US" w:eastAsia="zh-CN" w:bidi="ar-SA"/>
        </w:rPr>
        <w:t>预算绩效报表模块中</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进行</w:t>
      </w:r>
      <w:r>
        <w:rPr>
          <w:rFonts w:hint="default" w:ascii="Times New Roman" w:hAnsi="Times New Roman" w:eastAsia="仿宋_GB2312" w:cs="Times New Roman"/>
          <w:b w:val="0"/>
          <w:color w:val="000000"/>
          <w:kern w:val="0"/>
          <w:sz w:val="32"/>
          <w:szCs w:val="32"/>
          <w:highlight w:val="none"/>
          <w:shd w:val="clear" w:color="auto" w:fill="FFFFFF"/>
          <w:lang w:val="en-US" w:eastAsia="zh-CN" w:bidi="ar-SA"/>
        </w:rPr>
        <w:t>下载</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，完成相关内容填报后作为本处附表。</w:t>
      </w:r>
    </w:p>
    <w:p>
      <w:pPr>
        <w:rPr>
          <w:rFonts w:ascii="黑体" w:hAnsi="黑体" w:eastAsia="黑体" w:cs="黑体"/>
          <w:color w:val="000000"/>
          <w:kern w:val="0"/>
          <w:sz w:val="32"/>
          <w:szCs w:val="32"/>
          <w:highlight w:val="none"/>
          <w:shd w:val="clear" w:fill="FFFFFF"/>
          <w:lang w:val="zh-CN"/>
        </w:rPr>
      </w:pPr>
    </w:p>
    <w:p>
      <w:pPr>
        <w:pStyle w:val="6"/>
        <w:rPr>
          <w:rFonts w:ascii="黑体" w:hAnsi="黑体" w:eastAsia="黑体" w:cs="黑体"/>
          <w:color w:val="000000"/>
          <w:sz w:val="32"/>
          <w:szCs w:val="32"/>
          <w:highlight w:val="none"/>
          <w:lang w:val="en-US" w:eastAsia="zh-CN"/>
        </w:rPr>
      </w:pPr>
      <w:r>
        <w:rPr>
          <w:rFonts w:ascii="黑体" w:hAnsi="黑体" w:eastAsia="黑体" w:cs="黑体"/>
          <w:color w:val="000000"/>
          <w:kern w:val="0"/>
          <w:sz w:val="32"/>
          <w:szCs w:val="32"/>
          <w:shd w:val="clear" w:fill="FFFFFF"/>
          <w:lang w:val="zh-CN"/>
        </w:rPr>
        <w:t>附件</w:t>
      </w:r>
      <w:r>
        <w:rPr>
          <w:rFonts w:ascii="黑体" w:hAnsi="黑体" w:eastAsia="黑体" w:cs="黑体"/>
          <w:color w:val="000000"/>
          <w:kern w:val="0"/>
          <w:sz w:val="32"/>
          <w:szCs w:val="32"/>
          <w:shd w:val="clear" w:fill="FFFFFF"/>
          <w:lang w:val="en-US" w:eastAsia="zh-CN"/>
        </w:rPr>
        <w:t>2</w:t>
      </w:r>
    </w:p>
    <w:p>
      <w:pPr>
        <w:pStyle w:val="34"/>
        <w:keepNext w:val="0"/>
        <w:keepLines w:val="0"/>
        <w:pageBreakBefore w:val="0"/>
        <w:widowControl w:val="0"/>
        <w:kinsoku/>
        <w:overflowPunct/>
        <w:autoSpaceDE/>
        <w:bidi w:val="0"/>
        <w:spacing w:line="578" w:lineRule="exact"/>
        <w:ind w:left="0" w:firstLine="0"/>
        <w:jc w:val="center"/>
        <w:textAlignment w:val="auto"/>
        <w:rPr>
          <w:rFonts w:ascii="方正小标宋简体" w:hAnsi="方正小标宋简体" w:eastAsia="方正小标宋简体" w:cs="方正小标宋简体"/>
          <w:color w:val="000000"/>
          <w:kern w:val="2"/>
          <w:sz w:val="44"/>
          <w:szCs w:val="44"/>
          <w:highlight w:val="none"/>
          <w:lang w:val="en-US" w:eastAsia="zh-CN"/>
        </w:rPr>
      </w:pPr>
      <w:r>
        <w:rPr>
          <w:rFonts w:ascii="方正小标宋简体" w:hAnsi="方正小标宋简体" w:eastAsia="方正小标宋简体" w:cs="方正小标宋简体"/>
          <w:color w:val="000000"/>
          <w:kern w:val="2"/>
          <w:sz w:val="44"/>
          <w:szCs w:val="44"/>
          <w:lang w:val="en-US" w:eastAsia="zh-CN"/>
        </w:rPr>
        <w:t>专项预算项目绩效评价报告范本</w:t>
      </w:r>
    </w:p>
    <w:p>
      <w:pPr>
        <w:pStyle w:val="34"/>
        <w:keepNext w:val="0"/>
        <w:keepLines w:val="0"/>
        <w:pageBreakBefore w:val="0"/>
        <w:widowControl w:val="0"/>
        <w:kinsoku/>
        <w:overflowPunct/>
        <w:autoSpaceDE/>
        <w:bidi w:val="0"/>
        <w:spacing w:line="578" w:lineRule="exact"/>
        <w:ind w:left="0" w:firstLine="640"/>
        <w:jc w:val="center"/>
        <w:textAlignment w:val="auto"/>
        <w:rPr>
          <w:rFonts w:ascii="宋体" w:hAnsi="宋体" w:eastAsia="方正小标宋简体" w:cs="宋体"/>
          <w:color w:val="000000"/>
          <w:kern w:val="2"/>
          <w:sz w:val="32"/>
          <w:szCs w:val="32"/>
          <w:highlight w:val="none"/>
          <w:lang w:val="en-US" w:eastAsia="zh-CN"/>
        </w:rPr>
      </w:pPr>
    </w:p>
    <w:p>
      <w:pPr>
        <w:keepNext w:val="0"/>
        <w:keepLines w:val="0"/>
        <w:pageBreakBefore w:val="0"/>
        <w:widowControl w:val="0"/>
        <w:kinsoku/>
        <w:overflowPunct/>
        <w:autoSpaceDE/>
        <w:bidi w:val="0"/>
        <w:snapToGrid w:val="0"/>
        <w:spacing w:line="578" w:lineRule="exact"/>
        <w:ind w:firstLine="640"/>
        <w:textAlignment w:val="auto"/>
        <w:rPr>
          <w:rFonts w:ascii="黑体" w:hAnsi="黑体" w:eastAsia="黑体" w:cs="宋体"/>
          <w:sz w:val="32"/>
          <w:szCs w:val="32"/>
          <w:highlight w:val="none"/>
          <w:lang w:val="zh-CN"/>
        </w:rPr>
      </w:pPr>
      <w:r>
        <w:rPr>
          <w:rFonts w:ascii="黑体" w:hAnsi="黑体" w:eastAsia="黑体" w:cs="宋体"/>
          <w:sz w:val="32"/>
          <w:szCs w:val="32"/>
        </w:rPr>
        <w:t>一、</w:t>
      </w:r>
      <w:r>
        <w:rPr>
          <w:rFonts w:ascii="黑体" w:hAnsi="黑体" w:eastAsia="黑体" w:cs="宋体"/>
          <w:sz w:val="32"/>
          <w:szCs w:val="32"/>
          <w:lang w:val="zh-CN"/>
        </w:rPr>
        <w:t>项目概况</w:t>
      </w:r>
    </w:p>
    <w:p>
      <w:pPr>
        <w:keepNext w:val="0"/>
        <w:keepLines w:val="0"/>
        <w:pageBreakBefore w:val="0"/>
        <w:widowControl/>
        <w:numPr>
          <w:ilvl w:val="0"/>
          <w:numId w:val="0"/>
        </w:numPr>
        <w:kinsoku/>
        <w:overflowPunct/>
        <w:autoSpaceDE/>
        <w:bidi w:val="0"/>
        <w:snapToGrid w:val="0"/>
        <w:spacing w:before="0" w:after="0" w:line="578" w:lineRule="exact"/>
        <w:ind w:left="0" w:firstLine="643"/>
        <w:contextualSpacing/>
        <w:jc w:val="left"/>
        <w:textAlignment w:val="auto"/>
        <w:rPr>
          <w:rFonts w:ascii="仿宋_GB2312" w:hAnsi="仿宋_GB2312" w:eastAsia="仿宋_GB2312" w:cs="仿宋_GB2312"/>
          <w:color w:val="000000"/>
          <w:kern w:val="0"/>
          <w:sz w:val="32"/>
          <w:szCs w:val="32"/>
          <w:highlight w:val="none"/>
          <w:u w:val="none"/>
          <w:shd w:val="clear" w:fill="FFFFFF"/>
          <w:lang w:val="zh-CN"/>
        </w:rPr>
      </w:pPr>
      <w:r>
        <w:rPr>
          <w:rFonts w:ascii="楷体_GB2312;楷体" w:hAnsi="楷体_GB2312;楷体" w:eastAsia="楷体_GB2312;楷体" w:cs="宋体"/>
          <w:b/>
          <w:color w:val="000000"/>
          <w:sz w:val="32"/>
          <w:szCs w:val="32"/>
          <w:u w:val="none"/>
          <w:lang w:val="zh-CN"/>
        </w:rPr>
        <w:t>（一）设立背景及基本情况。</w:t>
      </w:r>
      <w:r>
        <w:rPr>
          <w:rFonts w:ascii="仿宋_GB2312" w:hAnsi="仿宋_GB2312" w:eastAsia="仿宋_GB2312" w:cs="仿宋_GB2312"/>
          <w:b w:val="0"/>
          <w:bCs w:val="0"/>
          <w:kern w:val="0"/>
          <w:position w:val="0"/>
          <w:sz w:val="32"/>
          <w:szCs w:val="32"/>
          <w:vertAlign w:val="baseline"/>
          <w:lang w:val="en-US" w:eastAsia="zh-CN" w:bidi="ar-SA"/>
        </w:rPr>
        <w:t>项目设立原因及背景，</w:t>
      </w:r>
      <w:r>
        <w:rPr>
          <w:rFonts w:ascii="仿宋_GB2312" w:hAnsi="仿宋_GB2312" w:eastAsia="仿宋_GB2312" w:cs="仿宋_GB2312"/>
          <w:b w:val="0"/>
          <w:bCs w:val="0"/>
          <w:kern w:val="0"/>
          <w:position w:val="0"/>
          <w:sz w:val="32"/>
          <w:szCs w:val="32"/>
          <w:vertAlign w:val="baseline"/>
          <w:lang w:val="zh-CN" w:eastAsia="zh-CN" w:bidi="ar-SA"/>
        </w:rPr>
        <w:t>项目立项、资金申报的依据，项目主要内容</w:t>
      </w:r>
      <w:r>
        <w:rPr>
          <w:rFonts w:ascii="仿宋_GB2312" w:hAnsi="仿宋_GB2312" w:eastAsia="仿宋_GB2312" w:cs="仿宋_GB2312"/>
          <w:b w:val="0"/>
          <w:bCs w:val="0"/>
          <w:kern w:val="0"/>
          <w:position w:val="0"/>
          <w:sz w:val="32"/>
          <w:szCs w:val="32"/>
          <w:vertAlign w:val="baseline"/>
          <w:lang w:val="en-US" w:eastAsia="zh-CN" w:bidi="ar-SA"/>
        </w:rPr>
        <w:t>。</w:t>
      </w:r>
      <w:r>
        <w:rPr>
          <w:rFonts w:ascii="仿宋_GB2312" w:hAnsi="仿宋_GB2312" w:eastAsia="仿宋_GB2312" w:cs="仿宋_GB2312"/>
          <w:b w:val="0"/>
          <w:bCs w:val="0"/>
          <w:kern w:val="0"/>
          <w:position w:val="0"/>
          <w:sz w:val="32"/>
          <w:szCs w:val="32"/>
          <w:vertAlign w:val="baseline"/>
          <w:lang w:val="zh-CN" w:eastAsia="zh-CN" w:bidi="ar-SA"/>
        </w:rPr>
        <w:t>主管部门职能</w:t>
      </w:r>
      <w:r>
        <w:rPr>
          <w:rFonts w:ascii="仿宋_GB2312" w:hAnsi="仿宋_GB2312" w:eastAsia="仿宋_GB2312" w:cs="仿宋_GB2312"/>
          <w:color w:val="000000"/>
          <w:kern w:val="0"/>
          <w:sz w:val="32"/>
          <w:szCs w:val="32"/>
          <w:u w:val="none"/>
          <w:shd w:val="clear" w:fill="FFFFFF"/>
          <w:lang w:val="zh-CN"/>
        </w:rPr>
        <w:t>。</w:t>
      </w:r>
    </w:p>
    <w:p>
      <w:pPr>
        <w:keepNext w:val="0"/>
        <w:keepLines w:val="0"/>
        <w:pageBreakBefore w:val="0"/>
        <w:kinsoku/>
        <w:overflowPunct/>
        <w:autoSpaceDE/>
        <w:bidi w:val="0"/>
        <w:snapToGrid w:val="0"/>
        <w:spacing w:line="578" w:lineRule="exact"/>
        <w:ind w:left="0" w:firstLine="643"/>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宋体"/>
          <w:b/>
          <w:color w:val="000000"/>
          <w:sz w:val="32"/>
          <w:szCs w:val="32"/>
          <w:u w:val="none"/>
          <w:lang w:val="zh-CN"/>
        </w:rPr>
        <w:t>（</w:t>
      </w:r>
      <w:r>
        <w:rPr>
          <w:rFonts w:ascii="楷体_GB2312;楷体" w:hAnsi="楷体_GB2312;楷体" w:eastAsia="楷体_GB2312;楷体" w:cs="Times New Roman"/>
          <w:b/>
          <w:color w:val="000000"/>
          <w:sz w:val="32"/>
          <w:szCs w:val="32"/>
          <w:u w:val="none"/>
          <w:lang w:val="zh-CN"/>
        </w:rPr>
        <w:t>二）</w:t>
      </w:r>
      <w:r>
        <w:rPr>
          <w:rFonts w:ascii="楷体_GB2312;楷体" w:hAnsi="楷体_GB2312;楷体" w:eastAsia="楷体_GB2312;楷体" w:cs="Times New Roman"/>
          <w:b/>
          <w:color w:val="000000"/>
          <w:sz w:val="32"/>
          <w:szCs w:val="32"/>
          <w:u w:val="none"/>
          <w:lang w:val="en-US" w:eastAsia="zh-CN"/>
        </w:rPr>
        <w:t>实施目的及支持方向。</w:t>
      </w:r>
      <w:r>
        <w:rPr>
          <w:rFonts w:ascii="仿宋_GB2312" w:hAnsi="仿宋_GB2312" w:eastAsia="仿宋_GB2312" w:cs="仿宋_GB2312"/>
          <w:b w:val="0"/>
          <w:bCs w:val="0"/>
          <w:kern w:val="0"/>
          <w:position w:val="0"/>
          <w:sz w:val="32"/>
          <w:szCs w:val="32"/>
          <w:vertAlign w:val="baseline"/>
          <w:lang w:val="en-US" w:eastAsia="zh-CN" w:bidi="ar-SA"/>
        </w:rPr>
        <w:t>项目资金</w:t>
      </w:r>
      <w:r>
        <w:rPr>
          <w:rFonts w:ascii="仿宋_GB2312" w:hAnsi="仿宋_GB2312" w:eastAsia="仿宋_GB2312" w:cs="仿宋_GB2312"/>
          <w:b w:val="0"/>
          <w:bCs w:val="0"/>
          <w:kern w:val="0"/>
          <w:position w:val="0"/>
          <w:sz w:val="32"/>
          <w:szCs w:val="32"/>
          <w:vertAlign w:val="baseline"/>
          <w:lang w:val="zh-CN" w:eastAsia="zh-CN" w:bidi="ar-SA"/>
        </w:rPr>
        <w:t>管理办法制定情况，项目实施目的和主要工作任务，项目支持方向。</w:t>
      </w:r>
    </w:p>
    <w:p>
      <w:pPr>
        <w:keepNext w:val="0"/>
        <w:keepLines w:val="0"/>
        <w:pageBreakBefore w:val="0"/>
        <w:widowControl/>
        <w:numPr>
          <w:ilvl w:val="0"/>
          <w:numId w:val="0"/>
        </w:numPr>
        <w:kinsoku/>
        <w:overflowPunct/>
        <w:autoSpaceDE/>
        <w:bidi w:val="0"/>
        <w:snapToGrid w:val="0"/>
        <w:spacing w:before="0" w:after="0" w:line="578" w:lineRule="exact"/>
        <w:ind w:left="0" w:firstLine="643"/>
        <w:contextualSpacing/>
        <w:jc w:val="left"/>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Times New Roman"/>
          <w:b/>
          <w:color w:val="000000"/>
          <w:sz w:val="32"/>
          <w:szCs w:val="32"/>
          <w:u w:val="none"/>
          <w:lang w:val="zh-CN" w:eastAsia="zh-CN"/>
        </w:rPr>
        <w:t>（三）</w:t>
      </w:r>
      <w:r>
        <w:rPr>
          <w:rFonts w:ascii="楷体_GB2312;楷体" w:hAnsi="楷体_GB2312;楷体" w:eastAsia="楷体_GB2312;楷体" w:cs="Times New Roman"/>
          <w:b/>
          <w:color w:val="000000"/>
          <w:sz w:val="32"/>
          <w:szCs w:val="32"/>
          <w:u w:val="none"/>
          <w:lang w:val="en-US" w:eastAsia="zh-CN"/>
        </w:rPr>
        <w:t>预算安排及分配管理</w:t>
      </w:r>
      <w:r>
        <w:rPr>
          <w:rFonts w:ascii="楷体_GB2312;楷体" w:hAnsi="楷体_GB2312;楷体" w:eastAsia="楷体_GB2312;楷体" w:cs="Times New Roman"/>
          <w:b/>
          <w:color w:val="000000"/>
          <w:sz w:val="32"/>
          <w:szCs w:val="32"/>
          <w:u w:val="none"/>
          <w:lang w:val="zh-CN" w:eastAsia="zh-CN"/>
        </w:rPr>
        <w:t>。</w:t>
      </w:r>
      <w:r>
        <w:rPr>
          <w:rFonts w:ascii="仿宋_GB2312" w:hAnsi="仿宋_GB2312" w:eastAsia="仿宋_GB2312" w:cs="仿宋_GB2312"/>
          <w:b w:val="0"/>
          <w:bCs w:val="0"/>
          <w:kern w:val="0"/>
          <w:position w:val="0"/>
          <w:sz w:val="32"/>
          <w:szCs w:val="32"/>
          <w:vertAlign w:val="baseline"/>
          <w:lang w:val="zh-CN" w:eastAsia="zh-CN" w:bidi="ar-SA"/>
        </w:rPr>
        <w:t>项目预算安排情况，项目资金分配原则及考虑因素，项目资金分配情况。</w:t>
      </w:r>
    </w:p>
    <w:p>
      <w:pPr>
        <w:keepNext w:val="0"/>
        <w:keepLines w:val="0"/>
        <w:pageBreakBefore w:val="0"/>
        <w:kinsoku/>
        <w:overflowPunct/>
        <w:autoSpaceDE/>
        <w:bidi w:val="0"/>
        <w:snapToGrid w:val="0"/>
        <w:spacing w:line="578" w:lineRule="exact"/>
        <w:ind w:left="0" w:firstLine="643"/>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Times New Roman"/>
          <w:b/>
          <w:color w:val="000000"/>
          <w:sz w:val="32"/>
          <w:szCs w:val="32"/>
          <w:u w:val="none"/>
          <w:lang w:val="zh-CN" w:eastAsia="zh-CN"/>
        </w:rPr>
        <w:t>（四）项目绩效目标设置。</w:t>
      </w:r>
      <w:r>
        <w:rPr>
          <w:rFonts w:ascii="仿宋_GB2312" w:hAnsi="仿宋_GB2312" w:eastAsia="仿宋_GB2312" w:cs="仿宋_GB2312"/>
          <w:b w:val="0"/>
          <w:bCs w:val="0"/>
          <w:kern w:val="0"/>
          <w:position w:val="0"/>
          <w:sz w:val="32"/>
          <w:szCs w:val="32"/>
          <w:vertAlign w:val="baseline"/>
          <w:lang w:val="zh-CN" w:eastAsia="zh-CN" w:bidi="ar-SA"/>
        </w:rPr>
        <w:t>项目整体、区域和具体绩效目标设置情况，项目自评工作开展情况。</w:t>
      </w:r>
    </w:p>
    <w:p>
      <w:pPr>
        <w:keepNext w:val="0"/>
        <w:keepLines w:val="0"/>
        <w:pageBreakBefore w:val="0"/>
        <w:widowControl w:val="0"/>
        <w:kinsoku/>
        <w:overflowPunct/>
        <w:autoSpaceDE/>
        <w:bidi w:val="0"/>
        <w:snapToGrid w:val="0"/>
        <w:spacing w:line="578" w:lineRule="exact"/>
        <w:ind w:firstLine="640"/>
        <w:textAlignment w:val="auto"/>
        <w:rPr>
          <w:rFonts w:ascii="黑体" w:hAnsi="黑体" w:eastAsia="黑体" w:cs="宋体"/>
          <w:sz w:val="32"/>
          <w:szCs w:val="32"/>
          <w:highlight w:val="none"/>
          <w:lang w:eastAsia="zh-CN"/>
        </w:rPr>
      </w:pPr>
      <w:r>
        <w:rPr>
          <w:rFonts w:ascii="黑体" w:hAnsi="黑体" w:eastAsia="黑体" w:cs="宋体"/>
          <w:sz w:val="32"/>
          <w:szCs w:val="32"/>
        </w:rPr>
        <w:t>二、</w:t>
      </w:r>
      <w:r>
        <w:rPr>
          <w:rFonts w:ascii="黑体" w:hAnsi="黑体" w:eastAsia="黑体" w:cs="宋体"/>
          <w:sz w:val="32"/>
          <w:szCs w:val="32"/>
          <w:lang w:eastAsia="zh-CN"/>
        </w:rPr>
        <w:t>评价实施</w:t>
      </w:r>
    </w:p>
    <w:p>
      <w:pPr>
        <w:keepNext w:val="0"/>
        <w:keepLines w:val="0"/>
        <w:pageBreakBefore w:val="0"/>
        <w:widowControl w:val="0"/>
        <w:kinsoku/>
        <w:overflowPunct/>
        <w:autoSpaceDE/>
        <w:bidi w:val="0"/>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宋体"/>
          <w:b/>
          <w:color w:val="000000"/>
          <w:sz w:val="32"/>
          <w:szCs w:val="32"/>
          <w:u w:val="none"/>
          <w:lang w:val="zh-CN"/>
        </w:rPr>
        <w:t>（一）评价目的。</w:t>
      </w:r>
      <w:r>
        <w:rPr>
          <w:rFonts w:ascii="仿宋_GB2312" w:hAnsi="仿宋_GB2312" w:eastAsia="仿宋_GB2312" w:cs="仿宋_GB2312"/>
          <w:b w:val="0"/>
          <w:bCs w:val="0"/>
          <w:kern w:val="0"/>
          <w:position w:val="0"/>
          <w:sz w:val="32"/>
          <w:szCs w:val="32"/>
          <w:vertAlign w:val="baseline"/>
          <w:lang w:val="zh-CN" w:eastAsia="zh-CN" w:bidi="ar-SA"/>
        </w:rPr>
        <w:t>通过项目绩效自评要实现的目的。</w:t>
      </w:r>
    </w:p>
    <w:p>
      <w:pPr>
        <w:keepNext w:val="0"/>
        <w:keepLines w:val="0"/>
        <w:pageBreakBefore w:val="0"/>
        <w:widowControl w:val="0"/>
        <w:kinsoku/>
        <w:overflowPunct/>
        <w:autoSpaceDE/>
        <w:bidi w:val="0"/>
        <w:snapToGrid w:val="0"/>
        <w:spacing w:line="578" w:lineRule="exact"/>
        <w:ind w:left="0" w:firstLine="643"/>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宋体"/>
          <w:b/>
          <w:color w:val="000000"/>
          <w:sz w:val="32"/>
          <w:szCs w:val="32"/>
          <w:u w:val="none"/>
          <w:lang w:val="zh-CN"/>
        </w:rPr>
        <w:t>（二）预设问题及评价重点。</w:t>
      </w:r>
      <w:r>
        <w:rPr>
          <w:rFonts w:ascii="仿宋_GB2312" w:hAnsi="仿宋_GB2312" w:eastAsia="仿宋_GB2312" w:cs="仿宋_GB2312"/>
          <w:b w:val="0"/>
          <w:bCs w:val="0"/>
          <w:kern w:val="0"/>
          <w:position w:val="0"/>
          <w:sz w:val="32"/>
          <w:szCs w:val="32"/>
          <w:vertAlign w:val="baseline"/>
          <w:lang w:val="zh-CN" w:eastAsia="zh-CN" w:bidi="ar-SA"/>
        </w:rPr>
        <w:t>按照绩效评价指标体系，对资金支出使用全过程及其实施效果进行综合评价和判断。</w:t>
      </w:r>
    </w:p>
    <w:p>
      <w:pPr>
        <w:keepNext w:val="0"/>
        <w:keepLines w:val="0"/>
        <w:pageBreakBefore w:val="0"/>
        <w:widowControl w:val="0"/>
        <w:kinsoku/>
        <w:overflowPunct/>
        <w:autoSpaceDE/>
        <w:bidi w:val="0"/>
        <w:snapToGrid w:val="0"/>
        <w:spacing w:line="578" w:lineRule="exact"/>
        <w:ind w:left="0" w:firstLine="643"/>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宋体"/>
          <w:b/>
          <w:color w:val="000000"/>
          <w:sz w:val="32"/>
          <w:szCs w:val="32"/>
          <w:u w:val="none"/>
          <w:lang w:val="zh-CN"/>
        </w:rPr>
        <w:t>（三）评价选点。</w:t>
      </w:r>
      <w:r>
        <w:rPr>
          <w:rFonts w:ascii="仿宋_GB2312" w:hAnsi="仿宋_GB2312" w:eastAsia="仿宋_GB2312" w:cs="仿宋_GB2312"/>
          <w:b w:val="0"/>
          <w:bCs w:val="0"/>
          <w:kern w:val="0"/>
          <w:position w:val="0"/>
          <w:sz w:val="32"/>
          <w:szCs w:val="32"/>
          <w:vertAlign w:val="baseline"/>
          <w:lang w:val="zh-CN" w:eastAsia="zh-CN" w:bidi="ar-SA"/>
        </w:rPr>
        <w:t>项目绩效自评所抽样点位情况。</w:t>
      </w:r>
    </w:p>
    <w:p>
      <w:pPr>
        <w:keepNext w:val="0"/>
        <w:keepLines w:val="0"/>
        <w:pageBreakBefore w:val="0"/>
        <w:widowControl w:val="0"/>
        <w:kinsoku/>
        <w:overflowPunct/>
        <w:autoSpaceDE/>
        <w:bidi w:val="0"/>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宋体"/>
          <w:b/>
          <w:color w:val="000000"/>
          <w:sz w:val="32"/>
          <w:szCs w:val="32"/>
          <w:u w:val="none"/>
          <w:lang w:val="zh-CN"/>
        </w:rPr>
        <w:t>（四）评价方法。</w:t>
      </w:r>
      <w:r>
        <w:rPr>
          <w:rFonts w:ascii="仿宋_GB2312" w:hAnsi="仿宋_GB2312" w:eastAsia="仿宋_GB2312" w:cs="仿宋_GB2312"/>
          <w:b w:val="0"/>
          <w:bCs w:val="0"/>
          <w:kern w:val="0"/>
          <w:position w:val="0"/>
          <w:sz w:val="32"/>
          <w:szCs w:val="32"/>
          <w:vertAlign w:val="baseli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overflowPunct/>
        <w:autoSpaceDE/>
        <w:bidi w:val="0"/>
        <w:spacing w:line="578" w:lineRule="exact"/>
        <w:ind w:firstLine="640"/>
        <w:textAlignment w:val="auto"/>
        <w:rPr>
          <w:rFonts w:eastAsia="仿宋_GB2312" w:cs="Times New Roman"/>
          <w:bCs/>
          <w:lang w:eastAsia="zh-CN"/>
        </w:rPr>
      </w:pPr>
      <w:r>
        <w:rPr>
          <w:rFonts w:ascii="楷体_GB2312;楷体" w:hAnsi="楷体_GB2312;楷体" w:eastAsia="楷体_GB2312;楷体" w:cs="宋体"/>
          <w:b/>
          <w:color w:val="000000"/>
          <w:sz w:val="32"/>
          <w:szCs w:val="32"/>
          <w:u w:val="none"/>
          <w:lang w:val="zh-CN"/>
        </w:rPr>
        <w:t>（五）评价组织。</w:t>
      </w:r>
      <w:r>
        <w:rPr>
          <w:rFonts w:ascii="仿宋_GB2312" w:hAnsi="仿宋_GB2312" w:eastAsia="仿宋_GB2312" w:cs="仿宋_GB2312"/>
          <w:b w:val="0"/>
          <w:bCs w:val="0"/>
          <w:kern w:val="0"/>
          <w:position w:val="0"/>
          <w:sz w:val="32"/>
          <w:szCs w:val="32"/>
          <w:vertAlign w:val="baseline"/>
          <w:lang w:val="zh-CN" w:eastAsia="zh-CN" w:bidi="ar-SA"/>
        </w:rPr>
        <w:t>评价组人员构成和职责分工。</w:t>
      </w:r>
    </w:p>
    <w:p>
      <w:pPr>
        <w:keepNext w:val="0"/>
        <w:keepLines w:val="0"/>
        <w:pageBreakBefore w:val="0"/>
        <w:kinsoku/>
        <w:overflowPunct/>
        <w:autoSpaceDE/>
        <w:bidi w:val="0"/>
        <w:snapToGrid w:val="0"/>
        <w:spacing w:line="578" w:lineRule="exact"/>
        <w:ind w:firstLine="640"/>
        <w:textAlignment w:val="auto"/>
        <w:rPr>
          <w:rFonts w:ascii="仿宋_GB2312" w:hAnsi="仿宋_GB2312" w:cs="宋体"/>
          <w:color w:val="000000"/>
          <w:sz w:val="32"/>
          <w:szCs w:val="32"/>
          <w:highlight w:val="none"/>
          <w:u w:val="none"/>
          <w:lang w:val="zh-CN"/>
        </w:rPr>
      </w:pPr>
      <w:r>
        <w:rPr>
          <w:rFonts w:ascii="黑体" w:hAnsi="黑体" w:eastAsia="黑体" w:cs="宋体"/>
          <w:color w:val="000000"/>
          <w:sz w:val="32"/>
          <w:szCs w:val="32"/>
          <w:u w:val="none"/>
        </w:rPr>
        <w:t>三、</w:t>
      </w:r>
      <w:r>
        <w:rPr>
          <w:rFonts w:ascii="黑体" w:hAnsi="黑体" w:eastAsia="黑体" w:cs="宋体"/>
          <w:color w:val="000000"/>
          <w:sz w:val="32"/>
          <w:szCs w:val="32"/>
          <w:u w:val="none"/>
          <w:lang w:eastAsia="zh-CN"/>
        </w:rPr>
        <w:t>绩效分析</w:t>
      </w:r>
      <w:r>
        <w:rPr>
          <w:rFonts w:ascii="仿宋_GB2312" w:hAnsi="仿宋_GB2312" w:cs="宋体"/>
          <w:color w:val="000000"/>
          <w:sz w:val="32"/>
          <w:szCs w:val="32"/>
          <w:u w:val="none"/>
          <w:lang w:val="zh-CN"/>
        </w:rPr>
        <w:tab/>
      </w:r>
    </w:p>
    <w:p>
      <w:pPr>
        <w:keepNext w:val="0"/>
        <w:keepLines w:val="0"/>
        <w:pageBreakBefore w:val="0"/>
        <w:widowControl w:val="0"/>
        <w:kinsoku/>
        <w:overflowPunct/>
        <w:autoSpaceDE/>
        <w:bidi w:val="0"/>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仿宋_GB2312" w:hAnsi="仿宋_GB2312" w:eastAsia="仿宋_GB2312" w:cs="仿宋_GB2312"/>
          <w:b w:val="0"/>
          <w:bCs w:val="0"/>
          <w:kern w:val="0"/>
          <w:position w:val="0"/>
          <w:sz w:val="32"/>
          <w:szCs w:val="32"/>
          <w:vertAlign w:val="baseline"/>
          <w:lang w:val="zh-CN" w:eastAsia="zh-CN" w:bidi="ar-SA"/>
        </w:rPr>
        <w:t>根据项目预算绩效评价指标体系“通用指标”“专用指标”“个性指标”涉及二、三级指标进行逐项绩效分析并评分</w:t>
      </w:r>
      <w:r>
        <w:rPr>
          <w:rFonts w:ascii="仿宋_GB2312" w:hAnsi="仿宋_GB2312" w:eastAsia="仿宋_GB2312" w:cs="仿宋_GB2312"/>
          <w:b w:val="0"/>
          <w:bCs w:val="0"/>
          <w:kern w:val="0"/>
          <w:position w:val="0"/>
          <w:sz w:val="32"/>
          <w:szCs w:val="32"/>
          <w:vertAlign w:val="baseline"/>
          <w:lang w:val="en-US" w:eastAsia="zh-CN" w:bidi="ar-SA"/>
        </w:rPr>
        <w:t>。</w:t>
      </w:r>
    </w:p>
    <w:p>
      <w:pPr>
        <w:keepNext w:val="0"/>
        <w:keepLines w:val="0"/>
        <w:pageBreakBefore w:val="0"/>
        <w:widowControl w:val="0"/>
        <w:kinsoku/>
        <w:overflowPunct/>
        <w:autoSpaceDE/>
        <w:bidi w:val="0"/>
        <w:snapToGrid/>
        <w:spacing w:line="578" w:lineRule="exact"/>
        <w:ind w:firstLine="640"/>
        <w:textAlignment w:val="auto"/>
        <w:rPr>
          <w:rFonts w:ascii="楷体_GB2312;楷体" w:hAnsi="楷体_GB2312;楷体" w:eastAsia="楷体_GB2312;楷体" w:cs="Times New Roman"/>
          <w:b/>
          <w:color w:val="000000"/>
          <w:sz w:val="32"/>
          <w:szCs w:val="32"/>
          <w:highlight w:val="none"/>
          <w:u w:val="none"/>
          <w:lang w:val="en-US" w:eastAsia="zh-CN"/>
        </w:rPr>
      </w:pPr>
      <w:r>
        <w:rPr>
          <w:rFonts w:ascii="楷体_GB2312;楷体" w:hAnsi="楷体_GB2312;楷体" w:eastAsia="楷体_GB2312;楷体" w:cs="Times New Roman"/>
          <w:b/>
          <w:color w:val="000000"/>
          <w:sz w:val="32"/>
          <w:szCs w:val="32"/>
          <w:u w:val="none"/>
          <w:lang w:val="zh-CN"/>
        </w:rPr>
        <w:t>（一）</w:t>
      </w:r>
      <w:r>
        <w:rPr>
          <w:rFonts w:ascii="楷体_GB2312;楷体" w:hAnsi="楷体_GB2312;楷体" w:eastAsia="楷体_GB2312;楷体" w:cs="Times New Roman"/>
          <w:b/>
          <w:color w:val="000000"/>
          <w:sz w:val="32"/>
          <w:szCs w:val="32"/>
          <w:u w:val="none"/>
          <w:lang w:val="en-US" w:eastAsia="zh-CN"/>
        </w:rPr>
        <w:t>通用指标</w:t>
      </w:r>
      <w:r>
        <w:rPr>
          <w:rFonts w:ascii="Times New Roman" w:hAnsi="Times New Roman" w:eastAsia="楷体_GB2312;楷体" w:cs="Times New Roman"/>
          <w:b/>
          <w:bCs/>
          <w:color w:val="000000"/>
          <w:kern w:val="0"/>
          <w:sz w:val="32"/>
          <w:szCs w:val="32"/>
          <w:shd w:val="clear" w:fill="FFFFFF"/>
          <w:lang w:val="zh-CN"/>
        </w:rPr>
        <w:t>绩效分析。</w:t>
      </w:r>
    </w:p>
    <w:p>
      <w:pPr>
        <w:keepNext w:val="0"/>
        <w:keepLines w:val="0"/>
        <w:pageBreakBefore w:val="0"/>
        <w:widowControl w:val="0"/>
        <w:kinsoku/>
        <w:overflowPunct/>
        <w:autoSpaceDE/>
        <w:bidi w:val="0"/>
        <w:snapToGrid/>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楷体_GB2312;楷体"/>
          <w:color w:val="000000"/>
          <w:sz w:val="32"/>
          <w:szCs w:val="32"/>
          <w:lang w:val="en-US" w:eastAsia="zh-CN"/>
        </w:rPr>
        <w:t>1.</w:t>
      </w:r>
      <w:r>
        <w:rPr>
          <w:rFonts w:ascii="楷体_GB2312;楷体" w:hAnsi="楷体_GB2312;楷体" w:eastAsia="楷体_GB2312;楷体" w:cs="楷体_GB2312;楷体"/>
          <w:color w:val="000000"/>
          <w:sz w:val="32"/>
          <w:szCs w:val="32"/>
          <w:lang w:eastAsia="zh-CN"/>
        </w:rPr>
        <w:t>项目决策。</w:t>
      </w:r>
      <w:r>
        <w:rPr>
          <w:rFonts w:ascii="仿宋_GB2312" w:hAnsi="仿宋_GB2312" w:eastAsia="仿宋_GB2312" w:cs="仿宋_GB2312"/>
          <w:b w:val="0"/>
          <w:bCs w:val="0"/>
          <w:kern w:val="0"/>
          <w:position w:val="0"/>
          <w:sz w:val="32"/>
          <w:szCs w:val="32"/>
          <w:vertAlign w:val="baseline"/>
          <w:lang w:val="zh-CN" w:eastAsia="zh-CN" w:bidi="ar-SA"/>
        </w:rPr>
        <w:t>围绕决策程序、规划论证、资金投向进行绩效分析。</w:t>
      </w:r>
    </w:p>
    <w:p>
      <w:pPr>
        <w:keepNext w:val="0"/>
        <w:keepLines w:val="0"/>
        <w:pageBreakBefore w:val="0"/>
        <w:widowControl w:val="0"/>
        <w:kinsoku/>
        <w:overflowPunct/>
        <w:autoSpaceDE/>
        <w:bidi w:val="0"/>
        <w:snapToGrid/>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楷体_GB2312;楷体"/>
          <w:color w:val="000000"/>
          <w:sz w:val="32"/>
          <w:szCs w:val="32"/>
          <w:lang w:val="en-US" w:eastAsia="zh-CN"/>
        </w:rPr>
        <w:t>2.</w:t>
      </w:r>
      <w:r>
        <w:rPr>
          <w:rFonts w:ascii="楷体_GB2312;楷体" w:hAnsi="楷体_GB2312;楷体" w:eastAsia="楷体_GB2312;楷体" w:cs="楷体_GB2312;楷体"/>
          <w:color w:val="000000"/>
          <w:sz w:val="32"/>
          <w:szCs w:val="32"/>
          <w:lang w:eastAsia="zh-CN"/>
        </w:rPr>
        <w:t>项目管理。</w:t>
      </w:r>
      <w:r>
        <w:rPr>
          <w:rFonts w:ascii="仿宋_GB2312" w:hAnsi="仿宋_GB2312" w:eastAsia="仿宋_GB2312" w:cs="仿宋_GB2312"/>
          <w:b w:val="0"/>
          <w:bCs w:val="0"/>
          <w:kern w:val="0"/>
          <w:position w:val="0"/>
          <w:sz w:val="32"/>
          <w:szCs w:val="32"/>
          <w:vertAlign w:val="baseline"/>
          <w:lang w:val="zh-CN" w:eastAsia="zh-CN" w:bidi="ar-SA"/>
        </w:rPr>
        <w:t>围绕制度办法、分配管理、绩效监管进行绩效分析。</w:t>
      </w:r>
    </w:p>
    <w:p>
      <w:pPr>
        <w:keepNext w:val="0"/>
        <w:keepLines w:val="0"/>
        <w:pageBreakBefore w:val="0"/>
        <w:widowControl w:val="0"/>
        <w:kinsoku/>
        <w:overflowPunct/>
        <w:autoSpaceDE/>
        <w:bidi w:val="0"/>
        <w:snapToGrid/>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楷体_GB2312;楷体"/>
          <w:color w:val="000000"/>
          <w:sz w:val="32"/>
          <w:szCs w:val="32"/>
          <w:lang w:val="en-US" w:eastAsia="zh-CN"/>
        </w:rPr>
        <w:t>3.项目实施。</w:t>
      </w:r>
      <w:r>
        <w:rPr>
          <w:rFonts w:ascii="仿宋_GB2312" w:hAnsi="仿宋_GB2312" w:eastAsia="仿宋_GB2312" w:cs="仿宋_GB2312"/>
          <w:b w:val="0"/>
          <w:bCs w:val="0"/>
          <w:kern w:val="0"/>
          <w:position w:val="0"/>
          <w:sz w:val="32"/>
          <w:szCs w:val="32"/>
          <w:vertAlign w:val="baseline"/>
          <w:lang w:val="zh-CN" w:eastAsia="zh-CN" w:bidi="ar-SA"/>
        </w:rPr>
        <w:t>围绕预算执行、资金使用进行绩效分析。</w:t>
      </w:r>
    </w:p>
    <w:p>
      <w:pPr>
        <w:keepNext w:val="0"/>
        <w:keepLines w:val="0"/>
        <w:pageBreakBefore w:val="0"/>
        <w:widowControl w:val="0"/>
        <w:kinsoku/>
        <w:overflowPunct/>
        <w:autoSpaceDE/>
        <w:bidi w:val="0"/>
        <w:snapToGrid/>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楷体_GB2312;楷体"/>
          <w:color w:val="000000"/>
          <w:sz w:val="32"/>
          <w:szCs w:val="32"/>
          <w:lang w:val="en-US" w:eastAsia="zh-CN"/>
        </w:rPr>
        <w:t>4.项目结果。</w:t>
      </w:r>
      <w:r>
        <w:rPr>
          <w:rFonts w:ascii="仿宋_GB2312" w:hAnsi="仿宋_GB2312" w:eastAsia="仿宋_GB2312" w:cs="仿宋_GB2312"/>
          <w:b w:val="0"/>
          <w:bCs w:val="0"/>
          <w:kern w:val="0"/>
          <w:position w:val="0"/>
          <w:sz w:val="32"/>
          <w:szCs w:val="32"/>
          <w:vertAlign w:val="baseline"/>
          <w:lang w:val="en-US" w:eastAsia="zh-CN" w:bidi="ar-SA"/>
        </w:rPr>
        <w:t>围绕</w:t>
      </w:r>
      <w:r>
        <w:rPr>
          <w:rFonts w:ascii="仿宋_GB2312" w:hAnsi="仿宋_GB2312" w:eastAsia="仿宋_GB2312" w:cs="仿宋_GB2312"/>
          <w:b w:val="0"/>
          <w:bCs w:val="0"/>
          <w:kern w:val="0"/>
          <w:position w:val="0"/>
          <w:sz w:val="32"/>
          <w:szCs w:val="32"/>
          <w:vertAlign w:val="baseline"/>
          <w:lang w:val="zh-CN" w:eastAsia="zh-CN" w:bidi="ar-SA"/>
        </w:rPr>
        <w:t>目标完成、完成时效进行绩效分析。</w:t>
      </w:r>
    </w:p>
    <w:p>
      <w:pPr>
        <w:keepNext w:val="0"/>
        <w:keepLines w:val="0"/>
        <w:pageBreakBefore w:val="0"/>
        <w:widowControl w:val="0"/>
        <w:kinsoku/>
        <w:overflowPunct/>
        <w:autoSpaceDE/>
        <w:bidi w:val="0"/>
        <w:snapToGrid/>
        <w:spacing w:line="578" w:lineRule="exact"/>
        <w:ind w:firstLine="643"/>
        <w:textAlignment w:val="auto"/>
        <w:rPr>
          <w:rFonts w:ascii="仿宋_GB2312" w:hAnsi="仿宋_GB2312" w:eastAsia="仿宋_GB2312" w:cs="仿宋_GB2312"/>
          <w:b w:val="0"/>
          <w:bCs w:val="0"/>
          <w:kern w:val="0"/>
          <w:position w:val="0"/>
          <w:sz w:val="32"/>
          <w:szCs w:val="32"/>
          <w:highlight w:val="none"/>
          <w:vertAlign w:val="baseline"/>
          <w:lang w:val="zh-CN" w:eastAsia="zh-CN" w:bidi="ar-SA"/>
        </w:rPr>
      </w:pPr>
      <w:r>
        <w:rPr>
          <w:rFonts w:ascii="楷体_GB2312;楷体" w:hAnsi="楷体_GB2312;楷体" w:eastAsia="楷体_GB2312;楷体" w:cs="Times New Roman"/>
          <w:b/>
          <w:color w:val="000000"/>
          <w:sz w:val="32"/>
          <w:szCs w:val="32"/>
          <w:u w:val="none"/>
          <w:lang w:val="zh-CN"/>
        </w:rPr>
        <w:t>（二）</w:t>
      </w:r>
      <w:r>
        <w:rPr>
          <w:rFonts w:ascii="楷体_GB2312;楷体" w:hAnsi="楷体_GB2312;楷体" w:eastAsia="楷体_GB2312;楷体" w:cs="Times New Roman"/>
          <w:b/>
          <w:color w:val="000000"/>
          <w:sz w:val="32"/>
          <w:szCs w:val="32"/>
          <w:u w:val="none"/>
          <w:lang w:val="en-US" w:eastAsia="zh-CN"/>
        </w:rPr>
        <w:t>专用指标</w:t>
      </w:r>
      <w:r>
        <w:rPr>
          <w:rFonts w:ascii="Times New Roman" w:hAnsi="Times New Roman" w:eastAsia="楷体_GB2312;楷体" w:cs="Times New Roman"/>
          <w:b/>
          <w:bCs/>
          <w:color w:val="000000"/>
          <w:kern w:val="0"/>
          <w:sz w:val="32"/>
          <w:szCs w:val="32"/>
          <w:shd w:val="clear" w:fill="FFFFFF"/>
          <w:lang w:val="zh-CN"/>
        </w:rPr>
        <w:t>绩效分析。</w:t>
      </w:r>
      <w:r>
        <w:rPr>
          <w:rFonts w:ascii="仿宋_GB2312" w:hAnsi="仿宋_GB2312" w:eastAsia="仿宋_GB2312" w:cs="仿宋_GB2312"/>
          <w:b w:val="0"/>
          <w:bCs w:val="0"/>
          <w:kern w:val="0"/>
          <w:position w:val="0"/>
          <w:sz w:val="32"/>
          <w:szCs w:val="32"/>
          <w:vertAlign w:val="baseline"/>
          <w:lang w:val="zh-CN" w:eastAsia="zh-CN" w:bidi="ar-SA"/>
        </w:rPr>
        <w:t>根据</w:t>
      </w:r>
      <w:r>
        <w:rPr>
          <w:rFonts w:ascii="仿宋_GB2312" w:hAnsi="仿宋_GB2312" w:eastAsia="仿宋_GB2312" w:cs="仿宋_GB2312"/>
          <w:b w:val="0"/>
          <w:bCs w:val="0"/>
          <w:kern w:val="0"/>
          <w:position w:val="0"/>
          <w:sz w:val="32"/>
          <w:szCs w:val="32"/>
          <w:vertAlign w:val="baseline"/>
          <w:lang w:val="en-US" w:eastAsia="zh-CN" w:bidi="ar-SA"/>
        </w:rPr>
        <w:t>专项预算项目资金支持对象选择所属指标进行绩效分析。支持对象</w:t>
      </w:r>
      <w:r>
        <w:rPr>
          <w:rFonts w:ascii="仿宋_GB2312" w:hAnsi="仿宋_GB2312" w:eastAsia="仿宋_GB2312" w:cs="仿宋_GB2312"/>
          <w:b w:val="0"/>
          <w:bCs w:val="0"/>
          <w:kern w:val="0"/>
          <w:position w:val="0"/>
          <w:sz w:val="32"/>
          <w:szCs w:val="32"/>
          <w:vertAlign w:val="baseline"/>
          <w:lang w:val="zh-CN" w:eastAsia="zh-CN" w:bidi="ar-SA"/>
        </w:rPr>
        <w:t>包括产业发展、民生保障、基础设施、行政运转等方面。</w:t>
      </w:r>
    </w:p>
    <w:p>
      <w:pPr>
        <w:keepNext w:val="0"/>
        <w:keepLines w:val="0"/>
        <w:pageBreakBefore w:val="0"/>
        <w:widowControl w:val="0"/>
        <w:kinsoku/>
        <w:overflowPunct/>
        <w:autoSpaceDE/>
        <w:bidi w:val="0"/>
        <w:snapToGrid/>
        <w:spacing w:line="578" w:lineRule="exact"/>
        <w:ind w:left="0"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楷体_GB2312;楷体" w:hAnsi="楷体_GB2312;楷体" w:eastAsia="楷体_GB2312;楷体" w:cs="楷体_GB2312;楷体"/>
          <w:color w:val="000000"/>
          <w:sz w:val="32"/>
          <w:szCs w:val="32"/>
          <w:lang w:val="en-US" w:eastAsia="zh-CN"/>
        </w:rPr>
        <w:t>1.产业发展。</w:t>
      </w:r>
      <w:r>
        <w:rPr>
          <w:rFonts w:ascii="仿宋_GB2312" w:hAnsi="仿宋_GB2312" w:eastAsia="仿宋_GB2312" w:cs="仿宋_GB2312"/>
          <w:b w:val="0"/>
          <w:bCs w:val="0"/>
          <w:kern w:val="0"/>
          <w:position w:val="0"/>
          <w:sz w:val="32"/>
          <w:szCs w:val="32"/>
          <w:vertAlign w:val="baseline"/>
          <w:lang w:val="en-US" w:eastAsia="zh-CN" w:bidi="ar-SA"/>
        </w:rPr>
        <w:t>围绕符合性、成长性、经济性进行绩效分析。</w:t>
      </w:r>
    </w:p>
    <w:p>
      <w:pPr>
        <w:keepNext w:val="0"/>
        <w:keepLines w:val="0"/>
        <w:pageBreakBefore w:val="0"/>
        <w:widowControl w:val="0"/>
        <w:kinsoku/>
        <w:overflowPunct/>
        <w:autoSpaceDE/>
        <w:bidi w:val="0"/>
        <w:snapToGrid/>
        <w:spacing w:line="578" w:lineRule="exact"/>
        <w:ind w:left="0"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楷体_GB2312;楷体" w:hAnsi="楷体_GB2312;楷体" w:eastAsia="楷体_GB2312;楷体" w:cs="楷体_GB2312;楷体"/>
          <w:color w:val="000000"/>
          <w:sz w:val="32"/>
          <w:szCs w:val="32"/>
          <w:lang w:val="en-US" w:eastAsia="zh-CN"/>
        </w:rPr>
        <w:t>2.</w:t>
      </w:r>
      <w:r>
        <w:rPr>
          <w:rFonts w:ascii="楷体_GB2312;楷体" w:hAnsi="楷体_GB2312;楷体" w:eastAsia="楷体_GB2312;楷体" w:cs="楷体_GB2312;楷体"/>
          <w:color w:val="000000"/>
          <w:sz w:val="32"/>
          <w:szCs w:val="32"/>
          <w:lang w:val="zh-CN" w:eastAsia="zh-CN"/>
        </w:rPr>
        <w:t>民生保障。</w:t>
      </w:r>
      <w:r>
        <w:rPr>
          <w:rFonts w:ascii="仿宋_GB2312" w:hAnsi="仿宋_GB2312" w:eastAsia="仿宋_GB2312" w:cs="仿宋_GB2312"/>
          <w:b w:val="0"/>
          <w:bCs w:val="0"/>
          <w:kern w:val="0"/>
          <w:position w:val="0"/>
          <w:sz w:val="32"/>
          <w:szCs w:val="32"/>
          <w:vertAlign w:val="baseline"/>
          <w:lang w:val="en-US" w:eastAsia="zh-CN" w:bidi="ar-SA"/>
        </w:rPr>
        <w:t>围绕区域均衡性、对象精准性、标准合理性、群众满意度进行绩效分析。</w:t>
      </w:r>
    </w:p>
    <w:p>
      <w:pPr>
        <w:keepNext w:val="0"/>
        <w:keepLines w:val="0"/>
        <w:pageBreakBefore w:val="0"/>
        <w:widowControl w:val="0"/>
        <w:kinsoku/>
        <w:overflowPunct/>
        <w:autoSpaceDE/>
        <w:bidi w:val="0"/>
        <w:snapToGrid/>
        <w:spacing w:line="578" w:lineRule="exact"/>
        <w:ind w:left="0" w:firstLine="640"/>
        <w:textAlignment w:val="auto"/>
        <w:rPr>
          <w:rFonts w:ascii="楷体_GB2312;楷体" w:hAnsi="楷体_GB2312;楷体" w:eastAsia="楷体_GB2312;楷体" w:cs="楷体_GB2312;楷体"/>
          <w:color w:val="000000"/>
          <w:sz w:val="32"/>
          <w:szCs w:val="32"/>
          <w:lang w:val="en-US" w:eastAsia="zh-CN"/>
        </w:rPr>
      </w:pPr>
      <w:r>
        <w:rPr>
          <w:rFonts w:ascii="楷体_GB2312;楷体" w:hAnsi="楷体_GB2312;楷体" w:eastAsia="楷体_GB2312;楷体" w:cs="楷体_GB2312;楷体"/>
          <w:color w:val="000000"/>
          <w:sz w:val="32"/>
          <w:szCs w:val="32"/>
          <w:lang w:val="en-US" w:eastAsia="zh-CN"/>
        </w:rPr>
        <w:t>3.基础设施。</w:t>
      </w:r>
      <w:r>
        <w:rPr>
          <w:rFonts w:ascii="仿宋_GB2312" w:hAnsi="仿宋_GB2312" w:eastAsia="仿宋_GB2312" w:cs="仿宋_GB2312"/>
          <w:b w:val="0"/>
          <w:bCs w:val="0"/>
          <w:kern w:val="0"/>
          <w:position w:val="0"/>
          <w:sz w:val="32"/>
          <w:szCs w:val="32"/>
          <w:vertAlign w:val="baseline"/>
          <w:lang w:val="en-US" w:eastAsia="zh-CN" w:bidi="ar-SA"/>
        </w:rPr>
        <w:t>在建项目围绕工程进度和资金拨付进行绩效分析；建成项目围绕项目验收、功能实现、后续管护进行</w:t>
      </w:r>
      <w:r>
        <w:rPr>
          <w:rFonts w:ascii="仿宋_GB2312" w:hAnsi="仿宋_GB2312" w:eastAsia="仿宋_GB2312" w:cs="仿宋_GB2312"/>
          <w:b w:val="0"/>
          <w:bCs w:val="0"/>
          <w:kern w:val="0"/>
          <w:position w:val="0"/>
          <w:sz w:val="32"/>
          <w:szCs w:val="32"/>
          <w:vertAlign w:val="baseline"/>
          <w:lang w:val="zh-CN" w:eastAsia="zh-CN" w:bidi="ar-SA"/>
        </w:rPr>
        <w:t>绩效分析。</w:t>
      </w:r>
    </w:p>
    <w:p>
      <w:pPr>
        <w:keepNext w:val="0"/>
        <w:keepLines w:val="0"/>
        <w:pageBreakBefore w:val="0"/>
        <w:widowControl w:val="0"/>
        <w:kinsoku/>
        <w:overflowPunct/>
        <w:autoSpaceDE/>
        <w:bidi w:val="0"/>
        <w:snapToGrid/>
        <w:spacing w:line="578" w:lineRule="exact"/>
        <w:ind w:left="0"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楷体_GB2312;楷体" w:hAnsi="楷体_GB2312;楷体" w:eastAsia="楷体_GB2312;楷体" w:cs="楷体_GB2312;楷体"/>
          <w:color w:val="000000"/>
          <w:sz w:val="32"/>
          <w:szCs w:val="32"/>
          <w:lang w:val="en-US" w:eastAsia="zh-CN"/>
        </w:rPr>
        <w:t>4.</w:t>
      </w:r>
      <w:r>
        <w:rPr>
          <w:rFonts w:ascii="楷体_GB2312;楷体" w:hAnsi="楷体_GB2312;楷体" w:eastAsia="楷体_GB2312;楷体" w:cs="楷体_GB2312;楷体"/>
          <w:color w:val="000000"/>
          <w:sz w:val="32"/>
          <w:szCs w:val="32"/>
          <w:lang w:val="zh-CN" w:eastAsia="zh-CN"/>
        </w:rPr>
        <w:t>行政运转。</w:t>
      </w:r>
      <w:r>
        <w:rPr>
          <w:rFonts w:ascii="仿宋_GB2312" w:hAnsi="仿宋_GB2312" w:eastAsia="仿宋_GB2312" w:cs="仿宋_GB2312"/>
          <w:b w:val="0"/>
          <w:bCs w:val="0"/>
          <w:kern w:val="0"/>
          <w:position w:val="0"/>
          <w:sz w:val="32"/>
          <w:szCs w:val="32"/>
          <w:vertAlign w:val="baseline"/>
          <w:lang w:val="zh-CN" w:eastAsia="zh-CN" w:bidi="ar-SA"/>
        </w:rPr>
        <w:t>围绕用途合规性、程序合规性、标准合规性进行绩效分析。</w:t>
      </w:r>
    </w:p>
    <w:p>
      <w:pPr>
        <w:keepNext w:val="0"/>
        <w:keepLines w:val="0"/>
        <w:pageBreakBefore w:val="0"/>
        <w:widowControl w:val="0"/>
        <w:kinsoku/>
        <w:overflowPunct/>
        <w:autoSpaceDE/>
        <w:bidi w:val="0"/>
        <w:snapToGrid/>
        <w:spacing w:line="578" w:lineRule="exact"/>
        <w:ind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楷体_GB2312;楷体" w:hAnsi="楷体_GB2312;楷体" w:eastAsia="楷体_GB2312;楷体" w:cs="Times New Roman"/>
          <w:b/>
          <w:color w:val="000000"/>
          <w:sz w:val="32"/>
          <w:szCs w:val="32"/>
          <w:u w:val="none"/>
          <w:lang w:val="zh-CN"/>
        </w:rPr>
        <w:t>（三）</w:t>
      </w:r>
      <w:r>
        <w:rPr>
          <w:rFonts w:ascii="楷体_GB2312;楷体" w:hAnsi="楷体_GB2312;楷体" w:eastAsia="楷体_GB2312;楷体" w:cs="Times New Roman"/>
          <w:b/>
          <w:color w:val="000000"/>
          <w:sz w:val="32"/>
          <w:szCs w:val="32"/>
          <w:u w:val="none"/>
          <w:lang w:val="en-US" w:eastAsia="zh-CN"/>
        </w:rPr>
        <w:t>个性指标</w:t>
      </w:r>
      <w:r>
        <w:rPr>
          <w:rFonts w:ascii="Times New Roman" w:hAnsi="Times New Roman" w:eastAsia="楷体_GB2312;楷体" w:cs="Times New Roman"/>
          <w:b/>
          <w:bCs/>
          <w:color w:val="000000"/>
          <w:kern w:val="0"/>
          <w:sz w:val="32"/>
          <w:szCs w:val="32"/>
          <w:shd w:val="clear" w:fill="FFFFFF"/>
          <w:lang w:val="zh-CN"/>
        </w:rPr>
        <w:t>绩效分析。</w:t>
      </w:r>
      <w:r>
        <w:rPr>
          <w:rFonts w:ascii="仿宋_GB2312" w:hAnsi="仿宋_GB2312" w:eastAsia="仿宋_GB2312" w:cs="仿宋_GB2312"/>
          <w:b w:val="0"/>
          <w:bCs w:val="0"/>
          <w:kern w:val="0"/>
          <w:position w:val="0"/>
          <w:sz w:val="32"/>
          <w:szCs w:val="32"/>
          <w:vertAlign w:val="baseline"/>
          <w:lang w:val="zh-CN" w:eastAsia="zh-CN" w:bidi="ar-SA"/>
        </w:rPr>
        <w:t>根据项目个性自行设定部分指标，反映该项指标执行完成情况。</w:t>
      </w:r>
    </w:p>
    <w:p>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宋体"/>
          <w:color w:val="000000"/>
          <w:sz w:val="32"/>
          <w:szCs w:val="32"/>
          <w:highlight w:val="none"/>
          <w:u w:val="none"/>
        </w:rPr>
      </w:pPr>
      <w:r>
        <w:rPr>
          <w:rFonts w:ascii="黑体" w:hAnsi="黑体" w:eastAsia="黑体" w:cs="宋体"/>
          <w:color w:val="000000"/>
          <w:sz w:val="32"/>
          <w:szCs w:val="32"/>
          <w:u w:val="none"/>
          <w:lang w:eastAsia="zh-CN"/>
        </w:rPr>
        <w:t>四</w:t>
      </w:r>
      <w:r>
        <w:rPr>
          <w:rFonts w:ascii="黑体" w:hAnsi="黑体" w:eastAsia="黑体" w:cs="宋体"/>
          <w:color w:val="000000"/>
          <w:sz w:val="32"/>
          <w:szCs w:val="32"/>
          <w:u w:val="none"/>
        </w:rPr>
        <w:t>、评价结论</w:t>
      </w:r>
    </w:p>
    <w:p>
      <w:pPr>
        <w:pStyle w:val="6"/>
        <w:pageBreakBefore w:val="0"/>
        <w:numPr>
          <w:ilvl w:val="0"/>
          <w:numId w:val="0"/>
        </w:numPr>
        <w:tabs>
          <w:tab w:val="left" w:pos="2160"/>
        </w:tabs>
        <w:kinsoku/>
        <w:overflowPunct/>
        <w:autoSpaceDE/>
        <w:bidi w:val="0"/>
        <w:spacing w:line="600" w:lineRule="exact"/>
        <w:ind w:left="0" w:firstLine="640"/>
        <w:textAlignment w:val="auto"/>
        <w:rPr>
          <w:rFonts w:ascii="仿宋_GB2312" w:hAnsi="仿宋_GB2312" w:eastAsia="仿宋_GB2312" w:cs="仿宋_GB2312"/>
          <w:b w:val="0"/>
          <w:bCs w:val="0"/>
          <w:kern w:val="0"/>
          <w:position w:val="0"/>
          <w:sz w:val="32"/>
          <w:szCs w:val="32"/>
          <w:highlight w:val="none"/>
          <w:vertAlign w:val="baseline"/>
          <w:lang w:val="en-US" w:eastAsia="zh-CN" w:bidi="ar-SA"/>
        </w:rPr>
      </w:pPr>
      <w:r>
        <w:rPr>
          <w:rFonts w:ascii="仿宋_GB2312" w:hAnsi="仿宋_GB2312" w:eastAsia="仿宋_GB2312" w:cs="仿宋_GB2312"/>
          <w:b w:val="0"/>
          <w:bCs w:val="0"/>
          <w:kern w:val="0"/>
          <w:position w:val="0"/>
          <w:sz w:val="32"/>
          <w:szCs w:val="32"/>
          <w:vertAlign w:val="baseline"/>
          <w:lang w:val="en-US" w:eastAsia="zh-CN" w:bidi="ar-SA"/>
        </w:rPr>
        <w:t>简要阐述专项预算项目绩效自评总体结论，包含评价总分、</w:t>
      </w:r>
      <w:r>
        <w:rPr>
          <w:rFonts w:ascii="仿宋_GB2312" w:hAnsi="仿宋_GB2312" w:eastAsia="仿宋_GB2312" w:cs="仿宋_GB2312"/>
          <w:b w:val="0"/>
          <w:bCs w:val="0"/>
          <w:kern w:val="0"/>
          <w:position w:val="0"/>
          <w:sz w:val="32"/>
          <w:szCs w:val="32"/>
          <w:vertAlign w:val="baseline"/>
          <w:lang w:val="zh-CN" w:eastAsia="zh-CN" w:bidi="ar-SA"/>
        </w:rPr>
        <w:t>项目实施情况。</w:t>
      </w:r>
    </w:p>
    <w:p>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Times New Roman"/>
          <w:color w:val="000000"/>
          <w:sz w:val="32"/>
          <w:szCs w:val="32"/>
          <w:highlight w:val="none"/>
          <w:u w:val="none"/>
          <w:lang w:eastAsia="zh-CN"/>
        </w:rPr>
      </w:pPr>
      <w:r>
        <w:rPr>
          <w:rFonts w:ascii="黑体" w:hAnsi="黑体" w:eastAsia="黑体" w:cs="Times New Roman"/>
          <w:color w:val="000000"/>
          <w:sz w:val="32"/>
          <w:szCs w:val="32"/>
          <w:u w:val="none"/>
          <w:lang w:eastAsia="zh-CN"/>
        </w:rPr>
        <w:t>五、存在主要问题</w:t>
      </w:r>
    </w:p>
    <w:p>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cs="黑体"/>
          <w:b w:val="0"/>
          <w:bCs w:val="0"/>
          <w:kern w:val="2"/>
          <w:position w:val="0"/>
          <w:sz w:val="32"/>
          <w:szCs w:val="32"/>
          <w:highlight w:val="none"/>
          <w:vertAlign w:val="baseline"/>
          <w:lang w:val="en-US" w:eastAsia="zh-CN" w:bidi="ar-SA"/>
        </w:rPr>
      </w:pPr>
      <w:r>
        <w:rPr>
          <w:rFonts w:ascii="仿宋_GB2312" w:hAnsi="仿宋_GB2312" w:eastAsia="仿宋_GB2312" w:cs="仿宋_GB2312"/>
          <w:b w:val="0"/>
          <w:bCs w:val="0"/>
          <w:kern w:val="0"/>
          <w:position w:val="0"/>
          <w:sz w:val="32"/>
          <w:szCs w:val="32"/>
          <w:vertAlign w:val="baseline"/>
          <w:lang w:val="en-US" w:eastAsia="zh-CN" w:bidi="ar-SA"/>
        </w:rPr>
        <w:t>简要阐述专项预算项目绩效自评发现的主要问题。</w:t>
      </w:r>
    </w:p>
    <w:p>
      <w:pPr>
        <w:pStyle w:val="6"/>
        <w:pageBreakBefore w:val="0"/>
        <w:numPr>
          <w:ilvl w:val="0"/>
          <w:numId w:val="0"/>
        </w:numPr>
        <w:tabs>
          <w:tab w:val="left" w:pos="2160"/>
        </w:tabs>
        <w:kinsoku/>
        <w:overflowPunct/>
        <w:autoSpaceDE/>
        <w:bidi w:val="0"/>
        <w:spacing w:line="600" w:lineRule="exact"/>
        <w:ind w:left="0" w:firstLine="640"/>
        <w:textAlignment w:val="auto"/>
        <w:rPr>
          <w:rFonts w:ascii="黑体" w:hAnsi="黑体" w:eastAsia="黑体" w:cs="Times New Roman"/>
          <w:color w:val="000000"/>
          <w:kern w:val="0"/>
          <w:position w:val="3"/>
          <w:sz w:val="32"/>
          <w:szCs w:val="32"/>
          <w:highlight w:val="none"/>
          <w:u w:val="none"/>
          <w:lang w:val="zh-CN" w:eastAsia="zh-CN" w:bidi="ar-SA"/>
        </w:rPr>
      </w:pPr>
      <w:r>
        <w:rPr>
          <w:rFonts w:ascii="黑体" w:hAnsi="黑体" w:eastAsia="黑体" w:cs="Times New Roman"/>
          <w:color w:val="000000"/>
          <w:kern w:val="0"/>
          <w:position w:val="3"/>
          <w:sz w:val="32"/>
          <w:szCs w:val="32"/>
          <w:u w:val="none"/>
          <w:lang w:val="zh-CN" w:eastAsia="zh-CN" w:bidi="ar-SA"/>
        </w:rPr>
        <w:t>六、改进建议</w:t>
      </w:r>
    </w:p>
    <w:p>
      <w:pPr>
        <w:tabs>
          <w:tab w:val="left" w:pos="1911"/>
        </w:tabs>
        <w:jc w:val="left"/>
        <w:rPr>
          <w:rFonts w:ascii="仿宋_GB2312" w:hAnsi="仿宋_GB2312" w:eastAsia="仿宋_GB2312" w:cs="仿宋_GB2312"/>
          <w:b w:val="0"/>
          <w:bCs w:val="0"/>
          <w:kern w:val="0"/>
          <w:position w:val="0"/>
          <w:sz w:val="32"/>
          <w:szCs w:val="32"/>
          <w:highlight w:val="none"/>
          <w:vertAlign w:val="baseline"/>
          <w:lang w:val="en" w:eastAsia="zh-CN" w:bidi="ar-SA"/>
        </w:rPr>
      </w:pPr>
      <w:r>
        <w:rPr>
          <w:rFonts w:ascii="仿宋_GB2312" w:hAnsi="仿宋_GB2312" w:eastAsia="仿宋_GB2312" w:cs="仿宋_GB2312"/>
          <w:b w:val="0"/>
          <w:bCs w:val="0"/>
          <w:kern w:val="0"/>
          <w:position w:val="0"/>
          <w:sz w:val="32"/>
          <w:szCs w:val="32"/>
          <w:vertAlign w:val="baseline"/>
          <w:lang w:val="zh-CN" w:eastAsia="zh-CN" w:bidi="ar-SA"/>
        </w:rPr>
        <w:t xml:space="preserve"> </w:t>
      </w:r>
      <w:r>
        <w:rPr>
          <w:rFonts w:ascii="仿宋_GB2312" w:hAnsi="仿宋_GB2312" w:eastAsia="仿宋_GB2312" w:cs="仿宋_GB2312"/>
          <w:b w:val="0"/>
          <w:bCs w:val="0"/>
          <w:kern w:val="0"/>
          <w:position w:val="0"/>
          <w:sz w:val="32"/>
          <w:szCs w:val="32"/>
          <w:vertAlign w:val="baseline"/>
          <w:lang w:val="en-US" w:eastAsia="zh-CN" w:bidi="ar-SA"/>
        </w:rPr>
        <w:t xml:space="preserve">   简要阐述专项预算项目在</w:t>
      </w:r>
      <w:r>
        <w:rPr>
          <w:rFonts w:ascii="仿宋_GB2312" w:hAnsi="仿宋_GB2312" w:eastAsia="仿宋_GB2312" w:cs="仿宋_GB2312"/>
          <w:b w:val="0"/>
          <w:bCs w:val="0"/>
          <w:kern w:val="0"/>
          <w:position w:val="0"/>
          <w:sz w:val="32"/>
          <w:szCs w:val="32"/>
          <w:vertAlign w:val="baseline"/>
          <w:lang w:val="en" w:eastAsia="zh-CN" w:bidi="ar-SA"/>
        </w:rPr>
        <w:t>预算安排、完善政策、改进管理等方面的</w:t>
      </w:r>
      <w:r>
        <w:rPr>
          <w:rFonts w:ascii="仿宋_GB2312" w:hAnsi="仿宋_GB2312" w:eastAsia="仿宋_GB2312" w:cs="仿宋_GB2312"/>
          <w:b w:val="0"/>
          <w:bCs w:val="0"/>
          <w:kern w:val="0"/>
          <w:position w:val="0"/>
          <w:sz w:val="32"/>
          <w:szCs w:val="32"/>
          <w:vertAlign w:val="baseline"/>
          <w:lang w:val="en-US" w:eastAsia="zh-CN" w:bidi="ar-SA"/>
        </w:rPr>
        <w:t>措施</w:t>
      </w:r>
      <w:r>
        <w:rPr>
          <w:rFonts w:ascii="仿宋_GB2312" w:hAnsi="仿宋_GB2312" w:eastAsia="仿宋_GB2312" w:cs="仿宋_GB2312"/>
          <w:b w:val="0"/>
          <w:bCs w:val="0"/>
          <w:kern w:val="0"/>
          <w:position w:val="0"/>
          <w:sz w:val="32"/>
          <w:szCs w:val="32"/>
          <w:vertAlign w:val="baseline"/>
          <w:lang w:val="en" w:eastAsia="zh-CN" w:bidi="ar-SA"/>
        </w:rPr>
        <w:t>建议，其中</w:t>
      </w:r>
      <w:r>
        <w:rPr>
          <w:rFonts w:ascii="仿宋_GB2312" w:hAnsi="仿宋_GB2312" w:eastAsia="仿宋_GB2312" w:cs="仿宋_GB2312"/>
          <w:b w:val="0"/>
          <w:bCs w:val="0"/>
          <w:kern w:val="0"/>
          <w:position w:val="0"/>
          <w:sz w:val="32"/>
          <w:szCs w:val="32"/>
          <w:vertAlign w:val="baseline"/>
          <w:lang w:val="en-US" w:eastAsia="zh-CN" w:bidi="ar-SA"/>
        </w:rPr>
        <w:t>必须对应评价发现的主要问题一一提出措施建议。</w:t>
      </w:r>
    </w:p>
    <w:p>
      <w:pPr>
        <w:keepNext w:val="0"/>
        <w:keepLines w:val="0"/>
        <w:pageBreakBefore w:val="0"/>
        <w:kinsoku/>
        <w:overflowPunct/>
        <w:autoSpaceDE/>
        <w:bidi w:val="0"/>
        <w:snapToGrid w:val="0"/>
        <w:spacing w:line="578" w:lineRule="exact"/>
        <w:ind w:left="0" w:firstLine="420"/>
        <w:textAlignment w:val="auto"/>
        <w:rPr>
          <w:rFonts w:ascii="Times New Roman" w:hAnsi="Times New Roman" w:eastAsia="仿宋_GB2312" w:cs="Times New Roman"/>
          <w:b w:val="0"/>
          <w:bCs w:val="0"/>
          <w:color w:val="000000"/>
          <w:kern w:val="0"/>
          <w:position w:val="0"/>
          <w:sz w:val="32"/>
          <w:szCs w:val="32"/>
          <w:highlight w:val="none"/>
          <w:shd w:val="clear" w:fill="FFFFFF"/>
          <w:vertAlign w:val="baseline"/>
          <w:lang w:val="zh-CN" w:eastAsia="zh-CN" w:bidi="ar-SA"/>
        </w:rPr>
      </w:pPr>
    </w:p>
    <w:p>
      <w:pPr>
        <w:pStyle w:val="6"/>
        <w:pageBreakBefore w:val="0"/>
        <w:numPr>
          <w:ilvl w:val="0"/>
          <w:numId w:val="0"/>
        </w:numPr>
        <w:tabs>
          <w:tab w:val="left" w:pos="2160"/>
        </w:tabs>
        <w:kinsoku/>
        <w:overflowPunct/>
        <w:autoSpaceDE/>
        <w:bidi w:val="0"/>
        <w:spacing w:line="600" w:lineRule="exact"/>
        <w:ind w:left="0" w:firstLine="640"/>
        <w:textAlignment w:val="auto"/>
        <w:rPr>
          <w:rStyle w:val="27"/>
          <w:rFonts w:ascii="黑体" w:hAnsi="黑体" w:eastAsia="黑体" w:cs="黑体"/>
          <w:b w:val="0"/>
          <w:color w:val="000000"/>
          <w:highlight w:val="none"/>
        </w:rPr>
      </w:pPr>
    </w:p>
    <w:p>
      <w:pPr>
        <w:rPr>
          <w:rStyle w:val="27"/>
          <w:rFonts w:ascii="黑体" w:hAnsi="黑体" w:eastAsia="黑体" w:cs="黑体"/>
          <w:b w:val="0"/>
          <w:color w:val="000000"/>
          <w:sz w:val="44"/>
          <w:szCs w:val="44"/>
          <w:highlight w:val="none"/>
        </w:rPr>
      </w:pPr>
    </w:p>
    <w:p>
      <w:pPr>
        <w:widowControl/>
        <w:jc w:val="center"/>
        <w:rPr>
          <w:rFonts w:ascii="仿宋" w:hAnsi="仿宋" w:eastAsia="仿宋" w:cs="仿宋"/>
          <w:b w:val="0"/>
          <w:color w:val="000000"/>
          <w:highlight w:val="none"/>
        </w:rPr>
      </w:pPr>
      <w:r>
        <w:rPr>
          <w:rFonts w:ascii="黑体" w:hAnsi="黑体" w:eastAsia="黑体" w:cs="黑体"/>
          <w:color w:val="000000"/>
          <w:sz w:val="44"/>
          <w:szCs w:val="44"/>
        </w:rPr>
        <w:t>第</w:t>
      </w:r>
      <w:r>
        <w:rPr>
          <w:rStyle w:val="27"/>
          <w:rFonts w:ascii="黑体" w:hAnsi="黑体" w:eastAsia="黑体" w:cs="黑体"/>
          <w:b w:val="0"/>
          <w:color w:val="000000"/>
        </w:rPr>
        <w:t>五部分 附表</w:t>
      </w:r>
    </w:p>
    <w:p>
      <w:pPr>
        <w:pStyle w:val="4"/>
        <w:rPr>
          <w:rFonts w:ascii="仿宋" w:hAnsi="仿宋" w:eastAsia="仿宋" w:cs="仿宋"/>
          <w:color w:val="000000"/>
          <w:highlight w:val="none"/>
        </w:rPr>
      </w:pPr>
      <w:r>
        <w:rPr>
          <w:rFonts w:ascii="仿宋" w:hAnsi="仿宋" w:eastAsia="仿宋" w:cs="仿宋"/>
          <w:b w:val="0"/>
          <w:color w:val="000000"/>
        </w:rPr>
        <w:t>一、收</w:t>
      </w:r>
      <w:r>
        <w:rPr>
          <w:rStyle w:val="28"/>
          <w:rFonts w:ascii="仿宋" w:hAnsi="仿宋" w:eastAsia="仿宋" w:cs="仿宋"/>
          <w:b w:val="0"/>
          <w:bCs w:val="0"/>
          <w:color w:val="000000"/>
        </w:rPr>
        <w:t>入支出决算总表</w:t>
      </w:r>
    </w:p>
    <w:p>
      <w:pPr>
        <w:pStyle w:val="4"/>
        <w:rPr>
          <w:rFonts w:ascii="仿宋" w:hAnsi="仿宋" w:eastAsia="仿宋" w:cs="仿宋"/>
          <w:color w:val="000000"/>
          <w:highlight w:val="none"/>
        </w:rPr>
      </w:pPr>
      <w:r>
        <w:rPr>
          <w:rFonts w:ascii="仿宋" w:hAnsi="仿宋" w:eastAsia="仿宋" w:cs="仿宋"/>
          <w:b w:val="0"/>
          <w:color w:val="000000"/>
        </w:rPr>
        <w:t>二、收</w:t>
      </w:r>
      <w:r>
        <w:rPr>
          <w:rStyle w:val="28"/>
          <w:rFonts w:ascii="仿宋" w:hAnsi="仿宋" w:eastAsia="仿宋" w:cs="仿宋"/>
          <w:b w:val="0"/>
          <w:bCs w:val="0"/>
          <w:color w:val="000000"/>
        </w:rPr>
        <w:t>入决算表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三、</w:t>
      </w:r>
      <w:r>
        <w:rPr>
          <w:rFonts w:ascii="仿宋" w:hAnsi="仿宋" w:eastAsia="仿宋" w:cs="仿宋"/>
          <w:b w:val="0"/>
          <w:color w:val="000000"/>
        </w:rPr>
        <w:t>支</w:t>
      </w:r>
      <w:r>
        <w:rPr>
          <w:rStyle w:val="28"/>
          <w:rFonts w:ascii="仿宋" w:hAnsi="仿宋" w:eastAsia="仿宋" w:cs="仿宋"/>
          <w:b w:val="0"/>
          <w:bCs w:val="0"/>
          <w:color w:val="000000"/>
        </w:rPr>
        <w:t>出决算表</w:t>
      </w:r>
    </w:p>
    <w:p>
      <w:pPr>
        <w:pStyle w:val="4"/>
        <w:rPr>
          <w:rFonts w:ascii="仿宋" w:hAnsi="仿宋" w:eastAsia="仿宋" w:cs="仿宋"/>
          <w:b w:val="0"/>
          <w:color w:val="000000"/>
          <w:highlight w:val="none"/>
        </w:rPr>
      </w:pPr>
      <w:r>
        <w:rPr>
          <w:rStyle w:val="28"/>
          <w:rFonts w:ascii="仿宋" w:hAnsi="仿宋" w:eastAsia="仿宋" w:cs="仿宋"/>
          <w:b w:val="0"/>
          <w:bCs w:val="0"/>
          <w:color w:val="000000"/>
        </w:rPr>
        <w:t>四、</w:t>
      </w:r>
      <w:r>
        <w:rPr>
          <w:rFonts w:ascii="仿宋" w:hAnsi="仿宋" w:eastAsia="仿宋" w:cs="仿宋"/>
          <w:b w:val="0"/>
          <w:color w:val="000000"/>
        </w:rPr>
        <w:t>财</w:t>
      </w:r>
      <w:r>
        <w:rPr>
          <w:rStyle w:val="28"/>
          <w:rFonts w:ascii="仿宋" w:hAnsi="仿宋" w:eastAsia="仿宋" w:cs="仿宋"/>
          <w:b w:val="0"/>
          <w:bCs w:val="0"/>
          <w:color w:val="000000"/>
        </w:rPr>
        <w:t>政拨款收入支出决算总表</w:t>
      </w:r>
    </w:p>
    <w:p>
      <w:pPr>
        <w:pStyle w:val="4"/>
        <w:rPr>
          <w:rStyle w:val="28"/>
          <w:rFonts w:ascii="仿宋" w:hAnsi="仿宋" w:eastAsia="仿宋" w:cs="仿宋"/>
          <w:b w:val="0"/>
          <w:bCs w:val="0"/>
          <w:color w:val="000000"/>
          <w:highlight w:val="none"/>
        </w:rPr>
      </w:pPr>
      <w:r>
        <w:rPr>
          <w:rStyle w:val="28"/>
          <w:rFonts w:ascii="仿宋" w:hAnsi="仿宋" w:eastAsia="仿宋" w:cs="仿宋"/>
          <w:b w:val="0"/>
          <w:bCs w:val="0"/>
          <w:color w:val="000000"/>
        </w:rPr>
        <w:t>五、</w:t>
      </w:r>
      <w:r>
        <w:rPr>
          <w:rFonts w:ascii="仿宋" w:hAnsi="仿宋" w:eastAsia="仿宋" w:cs="仿宋"/>
          <w:b w:val="0"/>
          <w:color w:val="000000"/>
        </w:rPr>
        <w:t>财</w:t>
      </w:r>
      <w:r>
        <w:rPr>
          <w:rStyle w:val="28"/>
          <w:rFonts w:ascii="仿宋" w:hAnsi="仿宋" w:eastAsia="仿宋" w:cs="仿宋"/>
          <w:b w:val="0"/>
          <w:bCs w:val="0"/>
          <w:color w:val="000000"/>
        </w:rPr>
        <w:t>政拨款支出决算明细表</w:t>
      </w:r>
    </w:p>
    <w:p>
      <w:pPr>
        <w:pStyle w:val="4"/>
        <w:rPr>
          <w:rFonts w:ascii="仿宋" w:hAnsi="仿宋" w:eastAsia="仿宋" w:cs="仿宋"/>
          <w:color w:val="000000"/>
          <w:highlight w:val="none"/>
        </w:rPr>
      </w:pPr>
      <w:r>
        <w:rPr>
          <w:rStyle w:val="28"/>
          <w:rFonts w:ascii="仿宋" w:hAnsi="仿宋" w:eastAsia="仿宋" w:cs="仿宋"/>
          <w:b w:val="0"/>
          <w:bCs w:val="0"/>
          <w:color w:val="000000"/>
        </w:rPr>
        <w:t>六、</w:t>
      </w:r>
      <w:r>
        <w:rPr>
          <w:rFonts w:ascii="仿宋" w:hAnsi="仿宋" w:eastAsia="仿宋" w:cs="仿宋"/>
          <w:b w:val="0"/>
          <w:color w:val="000000"/>
        </w:rPr>
        <w:t>一</w:t>
      </w:r>
      <w:r>
        <w:rPr>
          <w:rStyle w:val="28"/>
          <w:rFonts w:ascii="仿宋" w:hAnsi="仿宋" w:eastAsia="仿宋" w:cs="仿宋"/>
          <w:b w:val="0"/>
          <w:bCs w:val="0"/>
          <w:color w:val="000000"/>
        </w:rPr>
        <w:t>般公共预算财政拨款支出决算表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七、</w:t>
      </w:r>
      <w:r>
        <w:rPr>
          <w:rFonts w:ascii="仿宋" w:hAnsi="仿宋" w:eastAsia="仿宋" w:cs="仿宋"/>
          <w:b w:val="0"/>
          <w:color w:val="000000"/>
        </w:rPr>
        <w:t>一</w:t>
      </w:r>
      <w:r>
        <w:rPr>
          <w:rStyle w:val="28"/>
          <w:rFonts w:ascii="仿宋" w:hAnsi="仿宋" w:eastAsia="仿宋" w:cs="仿宋"/>
          <w:b w:val="0"/>
          <w:bCs w:val="0"/>
          <w:color w:val="000000"/>
        </w:rPr>
        <w:t>般公共预算财政拨款支出决算明细表</w:t>
      </w:r>
    </w:p>
    <w:p>
      <w:pPr>
        <w:pStyle w:val="4"/>
        <w:rPr>
          <w:rFonts w:ascii="仿宋" w:hAnsi="仿宋" w:eastAsia="仿宋" w:cs="仿宋"/>
          <w:color w:val="000000"/>
          <w:highlight w:val="none"/>
        </w:rPr>
      </w:pPr>
      <w:r>
        <w:rPr>
          <w:rStyle w:val="28"/>
          <w:rFonts w:ascii="仿宋" w:hAnsi="仿宋" w:eastAsia="仿宋" w:cs="仿宋"/>
          <w:b w:val="0"/>
          <w:bCs w:val="0"/>
          <w:color w:val="000000"/>
        </w:rPr>
        <w:t>八、</w:t>
      </w:r>
      <w:r>
        <w:rPr>
          <w:rFonts w:ascii="仿宋" w:hAnsi="仿宋" w:eastAsia="仿宋" w:cs="仿宋"/>
          <w:b w:val="0"/>
          <w:color w:val="000000"/>
        </w:rPr>
        <w:t>一</w:t>
      </w:r>
      <w:r>
        <w:rPr>
          <w:rStyle w:val="28"/>
          <w:rFonts w:ascii="仿宋" w:hAnsi="仿宋" w:eastAsia="仿宋" w:cs="仿宋"/>
          <w:b w:val="0"/>
          <w:bCs w:val="0"/>
          <w:color w:val="000000"/>
        </w:rPr>
        <w:t>般公共预算财政拨款基本支出决算表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九、</w:t>
      </w:r>
      <w:r>
        <w:rPr>
          <w:rFonts w:ascii="仿宋" w:hAnsi="仿宋" w:eastAsia="仿宋" w:cs="仿宋"/>
          <w:b w:val="0"/>
          <w:color w:val="000000"/>
        </w:rPr>
        <w:t>一</w:t>
      </w:r>
      <w:r>
        <w:rPr>
          <w:rStyle w:val="28"/>
          <w:rFonts w:ascii="仿宋" w:hAnsi="仿宋" w:eastAsia="仿宋" w:cs="仿宋"/>
          <w:b w:val="0"/>
          <w:bCs w:val="0"/>
          <w:color w:val="000000"/>
        </w:rPr>
        <w:t>般公共预算财政拨款项目支出决算表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十、</w:t>
      </w:r>
      <w:r>
        <w:rPr>
          <w:rFonts w:ascii="仿宋" w:hAnsi="仿宋" w:eastAsia="仿宋" w:cs="仿宋"/>
          <w:b w:val="0"/>
          <w:color w:val="000000"/>
        </w:rPr>
        <w:t>政</w:t>
      </w:r>
      <w:r>
        <w:rPr>
          <w:rStyle w:val="28"/>
          <w:rFonts w:ascii="仿宋" w:hAnsi="仿宋" w:eastAsia="仿宋" w:cs="仿宋"/>
          <w:b w:val="0"/>
          <w:bCs w:val="0"/>
          <w:color w:val="000000"/>
        </w:rPr>
        <w:t>府性基金预算财政拨款收入支出决算表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十一、</w:t>
      </w:r>
      <w:r>
        <w:rPr>
          <w:rFonts w:ascii="仿宋" w:hAnsi="仿宋" w:eastAsia="仿宋" w:cs="仿宋"/>
          <w:b w:val="0"/>
          <w:color w:val="000000"/>
        </w:rPr>
        <w:t>国</w:t>
      </w:r>
      <w:r>
        <w:rPr>
          <w:rStyle w:val="28"/>
          <w:rFonts w:ascii="仿宋" w:hAnsi="仿宋" w:eastAsia="仿宋" w:cs="仿宋"/>
          <w:b w:val="0"/>
          <w:bCs w:val="0"/>
          <w:color w:val="000000"/>
        </w:rPr>
        <w:t>有资本经营预算</w:t>
      </w:r>
      <w:r>
        <w:rPr>
          <w:rStyle w:val="28"/>
          <w:rFonts w:ascii="仿宋" w:hAnsi="仿宋" w:eastAsia="仿宋" w:cs="仿宋"/>
          <w:b w:val="0"/>
          <w:bCs w:val="0"/>
          <w:color w:val="000000"/>
          <w:lang w:eastAsia="zh-CN"/>
        </w:rPr>
        <w:t>财政拨款收入</w:t>
      </w:r>
      <w:r>
        <w:rPr>
          <w:rStyle w:val="28"/>
          <w:rFonts w:ascii="仿宋" w:hAnsi="仿宋" w:eastAsia="仿宋" w:cs="仿宋"/>
          <w:b w:val="0"/>
          <w:bCs w:val="0"/>
          <w:color w:val="000000"/>
        </w:rPr>
        <w:t>支出决算表</w:t>
      </w:r>
    </w:p>
    <w:p>
      <w:pPr>
        <w:pStyle w:val="4"/>
        <w:rPr>
          <w:rFonts w:ascii="仿宋" w:hAnsi="仿宋" w:eastAsia="仿宋" w:cs="仿宋"/>
          <w:color w:val="000000"/>
          <w:highlight w:val="none"/>
        </w:rPr>
      </w:pPr>
      <w:r>
        <w:rPr>
          <w:rStyle w:val="28"/>
          <w:rFonts w:ascii="仿宋" w:hAnsi="仿宋" w:eastAsia="仿宋" w:cs="仿宋"/>
          <w:b w:val="0"/>
          <w:bCs w:val="0"/>
          <w:color w:val="000000"/>
        </w:rPr>
        <w:t>十二、</w:t>
      </w:r>
      <w:r>
        <w:rPr>
          <w:rStyle w:val="28"/>
          <w:rFonts w:ascii="仿宋" w:hAnsi="仿宋" w:eastAsia="仿宋" w:cs="仿宋"/>
          <w:b w:val="0"/>
          <w:bCs w:val="0"/>
          <w:color w:val="000000"/>
          <w:lang w:eastAsia="zh-CN"/>
        </w:rPr>
        <w:t>国有资本经营预算财政拨款支出决算表</w:t>
      </w:r>
    </w:p>
    <w:p>
      <w:pPr>
        <w:pStyle w:val="4"/>
        <w:rPr>
          <w:rStyle w:val="28"/>
          <w:rFonts w:ascii="仿宋" w:hAnsi="仿宋" w:eastAsia="仿宋" w:cs="仿宋"/>
          <w:b w:val="0"/>
          <w:bCs w:val="0"/>
          <w:color w:val="000000"/>
          <w:highlight w:val="none"/>
          <w:lang w:eastAsia="zh-CN"/>
        </w:rPr>
      </w:pPr>
      <w:r>
        <w:rPr>
          <w:rStyle w:val="28"/>
          <w:rFonts w:ascii="仿宋" w:hAnsi="仿宋" w:eastAsia="仿宋" w:cs="仿宋"/>
          <w:b w:val="0"/>
          <w:bCs w:val="0"/>
          <w:color w:val="000000"/>
        </w:rPr>
        <w:t>十三、</w:t>
      </w:r>
      <w:r>
        <w:rPr>
          <w:rStyle w:val="28"/>
          <w:rFonts w:ascii="仿宋" w:hAnsi="仿宋" w:eastAsia="仿宋" w:cs="仿宋"/>
          <w:b w:val="0"/>
          <w:bCs w:val="0"/>
          <w:color w:val="000000"/>
          <w:lang w:eastAsia="zh-CN"/>
        </w:rPr>
        <w:t>财政拨款“三公”经费支出决算表</w:t>
      </w:r>
    </w:p>
    <w:p>
      <w:pPr>
        <w:rPr>
          <w:rStyle w:val="28"/>
          <w:rFonts w:ascii="仿宋" w:hAnsi="仿宋" w:eastAsia="仿宋" w:cs="仿宋"/>
          <w:b w:val="0"/>
          <w:bCs w:val="0"/>
          <w:color w:val="000000"/>
          <w:highlight w:val="none"/>
          <w:lang w:eastAsia="zh-CN"/>
        </w:rPr>
      </w:pPr>
    </w:p>
    <w:sectPr>
      <w:footerReference r:id="rId3" w:type="default"/>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Lohit Devanagari">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Segoe Print"/>
    <w:panose1 w:val="00000000000000000000"/>
    <w:charset w:val="00"/>
    <w:family w:val="auto"/>
    <w:pitch w:val="default"/>
    <w:sig w:usb0="00000000" w:usb1="00000000" w:usb2="00000000" w:usb3="00000000" w:csb0="00000000" w:csb1="00000000"/>
  </w:font>
  <w:font w:name="Dialog . bold">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华文中宋;宋体">
    <w:altName w:val="宋体"/>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Dialog . plain">
    <w:altName w:val="Segoe Print"/>
    <w:panose1 w:val="00000000000000000000"/>
    <w:charset w:val="00"/>
    <w:family w:val="auto"/>
    <w:pitch w:val="default"/>
    <w:sig w:usb0="00000000" w:usb1="00000000" w:usb2="00000000" w:usb3="00000000" w:csb0="00000000" w:csb1="00000000"/>
  </w:font>
  <w:font w:name="楷体_GB2312;楷体">
    <w:altName w:val="楷体_GB2312"/>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singleLevel"/>
    <w:tmpl w:val="B5E306ED"/>
    <w:lvl w:ilvl="0" w:tentative="0">
      <w:start w:val="3"/>
      <w:numFmt w:val="chineseCountingThousand"/>
      <w:suff w:val="space"/>
      <w:lvlText w:val="第%1部分"/>
      <w:lvlJc w:val="left"/>
      <w:pPr>
        <w:tabs>
          <w:tab w:val="left" w:pos="0"/>
        </w:tabs>
        <w:ind w:left="0" w:firstLine="0"/>
      </w:pPr>
    </w:lvl>
  </w:abstractNum>
  <w:abstractNum w:abstractNumId="1">
    <w:nsid w:val="BF205925"/>
    <w:multiLevelType w:val="singleLevel"/>
    <w:tmpl w:val="BF205925"/>
    <w:lvl w:ilvl="0" w:tentative="0">
      <w:start w:val="9"/>
      <w:numFmt w:val="chineseCountingThousand"/>
      <w:suff w:val="nothing"/>
      <w:lvlText w:val="%1、"/>
      <w:lvlJc w:val="left"/>
      <w:pPr>
        <w:tabs>
          <w:tab w:val="left" w:pos="0"/>
        </w:tabs>
        <w:ind w:left="0" w:firstLine="0"/>
      </w:pPr>
    </w:lvl>
  </w:abstractNum>
  <w:abstractNum w:abstractNumId="2">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59ADCABA"/>
    <w:multiLevelType w:val="multilevel"/>
    <w:tmpl w:val="59ADCABA"/>
    <w:lvl w:ilvl="0" w:tentative="0">
      <w:start w:val="1"/>
      <w:numFmt w:val="chineseCountingThousand"/>
      <w:lvlText w:val="%1、"/>
      <w:lvlJc w:val="left"/>
      <w:pPr>
        <w:tabs>
          <w:tab w:val="left" w:pos="0"/>
        </w:tabs>
        <w:ind w:left="1360" w:hanging="720"/>
      </w:pPr>
      <w:rPr>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4">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doNotUseIndentAsNumberingTabStop/>
    <w:useAltKinsokuLineBreakRules/>
    <w:compatSetting w:name="compatibilityMode" w:uri="http://schemas.microsoft.com/office/word" w:val="14"/>
  </w:compat>
  <w:rsids>
    <w:rsidRoot w:val="00000000"/>
    <w:rsid w:val="04EB1481"/>
    <w:rsid w:val="0C394400"/>
    <w:rsid w:val="13740192"/>
    <w:rsid w:val="5B024849"/>
    <w:rsid w:val="608919DD"/>
    <w:rsid w:val="61F13BCD"/>
    <w:rsid w:val="7F4A3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8">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next w:val="1"/>
    <w:qFormat/>
    <w:uiPriority w:val="0"/>
    <w:pPr>
      <w:suppressLineNumbers/>
      <w:spacing w:before="120" w:after="120"/>
    </w:pPr>
    <w:rPr>
      <w:rFonts w:cs="Lohit Devanagari"/>
      <w:i/>
      <w:iCs/>
      <w:sz w:val="24"/>
      <w:szCs w:val="24"/>
    </w:rPr>
  </w:style>
  <w:style w:type="paragraph" w:styleId="6">
    <w:name w:val="Body Text"/>
    <w:basedOn w:val="1"/>
    <w:qFormat/>
    <w:uiPriority w:val="0"/>
    <w:pPr>
      <w:spacing w:before="0" w:after="140" w:line="276" w:lineRule="auto"/>
    </w:pPr>
  </w:style>
  <w:style w:type="paragraph" w:styleId="7">
    <w:name w:val="Body Text Indent"/>
    <w:basedOn w:val="1"/>
    <w:next w:val="8"/>
    <w:qFormat/>
    <w:uiPriority w:val="0"/>
    <w:pPr>
      <w:spacing w:before="0" w:after="120"/>
    </w:pPr>
    <w:rPr>
      <w:rFonts w:ascii="仿宋_GB2312" w:hAnsi="仿宋_GB2312"/>
      <w:szCs w:val="32"/>
    </w:rPr>
  </w:style>
  <w:style w:type="paragraph" w:customStyle="1" w:styleId="8">
    <w:name w:val="正文首行缩进 21"/>
    <w:basedOn w:val="7"/>
    <w:qFormat/>
    <w:uiPriority w:val="0"/>
    <w:pPr>
      <w:ind w:firstLine="420"/>
    </w:pPr>
  </w:style>
  <w:style w:type="paragraph" w:styleId="9">
    <w:name w:val="footer"/>
    <w:basedOn w:val="1"/>
    <w:qFormat/>
    <w:uiPriority w:val="99"/>
    <w:pPr>
      <w:tabs>
        <w:tab w:val="center" w:pos="4153"/>
        <w:tab w:val="right" w:pos="8306"/>
      </w:tabs>
      <w:snapToGrid w:val="0"/>
      <w:jc w:val="left"/>
    </w:pPr>
    <w:rPr>
      <w:rFonts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1">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2">
    <w:name w:val="List"/>
    <w:basedOn w:val="6"/>
    <w:qFormat/>
    <w:uiPriority w:val="0"/>
  </w:style>
  <w:style w:type="paragraph" w:styleId="13">
    <w:name w:val="footnote text"/>
    <w:basedOn w:val="1"/>
    <w:next w:val="8"/>
    <w:qFormat/>
    <w:uiPriority w:val="0"/>
    <w:pPr>
      <w:snapToGrid w:val="0"/>
      <w:jc w:val="left"/>
    </w:pPr>
    <w:rPr>
      <w:sz w:val="18"/>
      <w:szCs w:val="18"/>
    </w:rPr>
  </w:style>
  <w:style w:type="paragraph" w:styleId="14">
    <w:name w:val="toc 2"/>
    <w:basedOn w:val="1"/>
    <w:next w:val="1"/>
    <w:qFormat/>
    <w:uiPriority w:val="0"/>
    <w:pPr>
      <w:tabs>
        <w:tab w:val="right" w:leader="dot" w:pos="8296"/>
      </w:tabs>
      <w:ind w:left="420" w:firstLine="0"/>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6">
    <w:name w:val="Body Text First Indent 2"/>
    <w:basedOn w:val="7"/>
    <w:unhideWhenUsed/>
    <w:qFormat/>
    <w:uiPriority w:val="99"/>
    <w:pPr>
      <w:ind w:firstLine="420" w:firstLineChars="200"/>
    </w:pPr>
  </w:style>
  <w:style w:type="character" w:styleId="19">
    <w:name w:val="Hyperlink"/>
    <w:basedOn w:val="20"/>
    <w:qFormat/>
    <w:uiPriority w:val="0"/>
    <w:rPr>
      <w:color w:val="0000FF"/>
      <w:u w:val="single"/>
    </w:rPr>
  </w:style>
  <w:style w:type="character" w:customStyle="1" w:styleId="20">
    <w:name w:val="默认段落字体11"/>
    <w:qFormat/>
    <w:uiPriority w:val="0"/>
  </w:style>
  <w:style w:type="character" w:customStyle="1" w:styleId="21">
    <w:name w:val="WW8Num1z0"/>
    <w:qFormat/>
    <w:uiPriority w:val="0"/>
  </w:style>
  <w:style w:type="character" w:customStyle="1" w:styleId="22">
    <w:name w:val="WW8Num2z0"/>
    <w:qFormat/>
    <w:uiPriority w:val="0"/>
  </w:style>
  <w:style w:type="character" w:customStyle="1" w:styleId="23">
    <w:name w:val="WW8Num3z0"/>
    <w:qFormat/>
    <w:uiPriority w:val="0"/>
  </w:style>
  <w:style w:type="character" w:customStyle="1" w:styleId="24">
    <w:name w:val="WW8Num4z0"/>
    <w:qFormat/>
    <w:uiPriority w:val="0"/>
  </w:style>
  <w:style w:type="character" w:customStyle="1" w:styleId="25">
    <w:name w:val="Strong Emphasis"/>
    <w:basedOn w:val="20"/>
    <w:qFormat/>
    <w:uiPriority w:val="0"/>
    <w:rPr>
      <w:b/>
    </w:rPr>
  </w:style>
  <w:style w:type="character" w:customStyle="1" w:styleId="26">
    <w:name w:val="默认段落字体1"/>
    <w:qFormat/>
    <w:uiPriority w:val="0"/>
  </w:style>
  <w:style w:type="character" w:customStyle="1" w:styleId="27">
    <w:name w:val="标题 1 Char"/>
    <w:basedOn w:val="20"/>
    <w:qFormat/>
    <w:uiPriority w:val="0"/>
    <w:rPr>
      <w:b/>
      <w:bCs/>
      <w:kern w:val="2"/>
      <w:sz w:val="44"/>
      <w:szCs w:val="44"/>
    </w:rPr>
  </w:style>
  <w:style w:type="character" w:customStyle="1" w:styleId="28">
    <w:name w:val="标题 2 Char"/>
    <w:basedOn w:val="20"/>
    <w:qFormat/>
    <w:uiPriority w:val="0"/>
    <w:rPr>
      <w:rFonts w:ascii="Cambria" w:hAnsi="Cambria" w:eastAsia="宋体" w:cs="Times New Roman"/>
      <w:b/>
      <w:bCs/>
      <w:sz w:val="32"/>
      <w:szCs w:val="32"/>
    </w:rPr>
  </w:style>
  <w:style w:type="paragraph" w:customStyle="1" w:styleId="29">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30">
    <w:name w:val="Index"/>
    <w:basedOn w:val="1"/>
    <w:qFormat/>
    <w:uiPriority w:val="0"/>
    <w:pPr>
      <w:widowControl w:val="0"/>
      <w:suppressLineNumbers/>
      <w:suppressAutoHyphens/>
    </w:pPr>
  </w:style>
  <w:style w:type="paragraph" w:customStyle="1" w:styleId="31">
    <w:name w:val="题注1"/>
    <w:basedOn w:val="1"/>
    <w:qFormat/>
    <w:uiPriority w:val="0"/>
    <w:pPr>
      <w:widowControl w:val="0"/>
      <w:suppressLineNumbers/>
      <w:suppressAutoHyphens/>
      <w:spacing w:before="120" w:after="120"/>
    </w:pPr>
    <w:rPr>
      <w:i/>
      <w:iCs/>
      <w:sz w:val="24"/>
      <w:szCs w:val="24"/>
    </w:rPr>
  </w:style>
  <w:style w:type="paragraph" w:styleId="32">
    <w:name w:val="List Paragraph"/>
    <w:basedOn w:val="1"/>
    <w:qFormat/>
    <w:uiPriority w:val="0"/>
    <w:pPr>
      <w:ind w:firstLine="420"/>
    </w:pPr>
  </w:style>
  <w:style w:type="paragraph" w:customStyle="1" w:styleId="33">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customStyle="1" w:styleId="34">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character" w:customStyle="1" w:styleId="35">
    <w:name w:val="font11"/>
    <w:basedOn w:val="18"/>
    <w:qFormat/>
    <w:uiPriority w:val="0"/>
    <w:rPr>
      <w:rFonts w:ascii="Dialog . bold" w:hAnsi="Dialog . bold" w:eastAsia="Dialog . bold" w:cs="Dialog . bold"/>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7693</Words>
  <Characters>10969</Characters>
  <TotalTime>17</TotalTime>
  <ScaleCrop>false</ScaleCrop>
  <LinksUpToDate>false</LinksUpToDate>
  <CharactersWithSpaces>11007</CharactersWithSpaces>
  <Application>WPS Office_11.1.0.8515_F1E327BC-269C-435d-A152-05C5408002CA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PCPC</cp:lastModifiedBy>
  <cp:lastPrinted>2026-10-12T02:35:00Z</cp:lastPrinted>
  <dcterms:modified xsi:type="dcterms:W3CDTF">2026-10-13T02:42:26Z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y fmtid="{D5CDD505-2E9C-101B-9397-08002B2CF9AE}" pid="3" name="ICV">
    <vt:lpwstr>63F341FBD29F4AB087E0AEDBF42EE52D_13</vt:lpwstr>
  </property>
  <property fmtid="{D5CDD505-2E9C-101B-9397-08002B2CF9AE}" pid="4" name="KSOTemplateDocerSaveRecord">
    <vt:lpwstr>eyJoZGlkIjoiZDQyZGYyNGYyYzk1ZmMzNTMwYWFkYWQ1YWFjZWE5NGQiLCJ1c2VySWQiOiIzMzM0MTQxODYifQ==</vt:lpwstr>
  </property>
</Properties>
</file>