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702B34">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14:paraId="6E725B3C">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2025年度四川省阿坝州小金县人大常委会办公室信息中心单位决算</w:t>
      </w:r>
    </w:p>
    <w:p w14:paraId="7F50FAA9">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(单位公开范本)</w:t>
      </w:r>
      <w:r>
        <w:br w:type="page"/>
      </w:r>
    </w:p>
    <w:p w14:paraId="06D354F8">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3C5E8DC7">
      <w:pPr>
        <w:widowControl/>
        <w:jc w:val="center"/>
        <w:rPr>
          <w:rFonts w:ascii="黑体" w:hAnsi="黑体" w:eastAsia="黑体" w:cs="Times New Roman"/>
          <w:color w:val="000000"/>
          <w:sz w:val="28"/>
          <w:szCs w:val="28"/>
          <w:highlight w:val="none"/>
        </w:rPr>
      </w:pPr>
    </w:p>
    <w:p w14:paraId="50C0F871">
      <w:pPr>
        <w:pStyle w:val="11"/>
        <w:rPr>
          <w:color w:val="000000"/>
          <w:highlight w:val="none"/>
        </w:rPr>
      </w:pPr>
      <w:r>
        <w:rPr>
          <w:color w:val="000000"/>
        </w:rPr>
        <w:t>公开时间：2026年 10月1</w:t>
      </w:r>
      <w:r>
        <w:rPr>
          <w:rFonts w:hint="eastAsia"/>
          <w:color w:val="000000"/>
          <w:lang w:val="en-US" w:eastAsia="zh-CN"/>
        </w:rPr>
        <w:t>6</w:t>
      </w:r>
      <w:r>
        <w:rPr>
          <w:color w:val="000000"/>
        </w:rPr>
        <w:t>日</w:t>
      </w:r>
    </w:p>
    <w:p w14:paraId="6BE5285B">
      <w:pPr>
        <w:rPr>
          <w:color w:val="000000"/>
          <w:highlight w:val="none"/>
        </w:rPr>
      </w:pPr>
      <w:bookmarkStart w:id="44" w:name="_GoBack"/>
      <w:bookmarkEnd w:id="44"/>
    </w:p>
    <w:p w14:paraId="22E98F79">
      <w:pPr>
        <w:pStyle w:val="11"/>
        <w:tabs>
          <w:tab w:val="right" w:leader="dot" w:pos="8306"/>
        </w:tabs>
        <w:rPr>
          <w:color w:val="000000"/>
        </w:rPr>
      </w:pPr>
      <w:r>
        <w:rPr>
          <w:color w:val="000000"/>
        </w:rPr>
        <w:t>第一部分 部门概况</w:t>
      </w:r>
      <w:r>
        <w:tab/>
      </w:r>
      <w:r>
        <w:t>4</w:t>
      </w:r>
    </w:p>
    <w:p w14:paraId="67909A12">
      <w:pPr>
        <w:pStyle w:val="15"/>
        <w:tabs>
          <w:tab w:val="right" w:leader="dot" w:pos="8306"/>
        </w:tabs>
        <w:rPr>
          <w:color w:val="000000"/>
        </w:rPr>
      </w:pPr>
      <w:r>
        <w:rPr>
          <w:color w:val="000000"/>
        </w:rPr>
        <w:t>一、部门职责</w:t>
      </w:r>
      <w:r>
        <w:tab/>
      </w:r>
      <w:r>
        <w:t>4</w:t>
      </w:r>
    </w:p>
    <w:p w14:paraId="59054FC8">
      <w:pPr>
        <w:pStyle w:val="8"/>
        <w:tabs>
          <w:tab w:val="right" w:leader="dot" w:pos="8306"/>
        </w:tabs>
        <w:rPr>
          <w:color w:val="000000"/>
        </w:rPr>
      </w:pPr>
      <w:r>
        <w:rPr>
          <w:color w:val="000000"/>
        </w:rPr>
        <w:t>（一）主要职能。</w:t>
      </w:r>
      <w:r>
        <w:tab/>
      </w:r>
      <w:r>
        <w:t>4</w:t>
      </w:r>
    </w:p>
    <w:p w14:paraId="485822EE">
      <w:pPr>
        <w:pStyle w:val="8"/>
        <w:tabs>
          <w:tab w:val="right" w:leader="dot" w:pos="8306"/>
        </w:tabs>
        <w:rPr>
          <w:color w:val="000000"/>
        </w:rPr>
      </w:pPr>
      <w:r>
        <w:rPr>
          <w:color w:val="000000"/>
        </w:rPr>
        <w:t>（二）2025年主要工作完成情况。</w:t>
      </w:r>
      <w:r>
        <w:tab/>
      </w:r>
      <w:r>
        <w:t>4</w:t>
      </w:r>
    </w:p>
    <w:p w14:paraId="034D9FCC">
      <w:pPr>
        <w:pStyle w:val="15"/>
        <w:tabs>
          <w:tab w:val="right" w:leader="dot" w:pos="8306"/>
        </w:tabs>
        <w:rPr>
          <w:color w:val="000000"/>
        </w:rPr>
      </w:pPr>
      <w:r>
        <w:rPr>
          <w:color w:val="000000"/>
        </w:rPr>
        <w:t>二、机构设置</w:t>
      </w:r>
      <w:r>
        <w:tab/>
      </w:r>
      <w:r>
        <w:t>5</w:t>
      </w:r>
    </w:p>
    <w:p w14:paraId="01366E5A">
      <w:pPr>
        <w:pStyle w:val="15"/>
        <w:tabs>
          <w:tab w:val="right" w:leader="dot" w:pos="8306"/>
        </w:tabs>
        <w:rPr>
          <w:color w:val="000000"/>
        </w:rPr>
      </w:pPr>
      <w:r>
        <w:rPr>
          <w:color w:val="000000"/>
        </w:rPr>
        <w:t>一、收入支出决算总体情况说明</w:t>
      </w:r>
      <w:r>
        <w:tab/>
      </w:r>
      <w:r>
        <w:t>6</w:t>
      </w:r>
    </w:p>
    <w:p w14:paraId="268C11E1">
      <w:pPr>
        <w:pStyle w:val="15"/>
        <w:tabs>
          <w:tab w:val="right" w:leader="dot" w:pos="8306"/>
        </w:tabs>
        <w:rPr>
          <w:color w:val="000000"/>
        </w:rPr>
      </w:pPr>
      <w:r>
        <w:rPr>
          <w:color w:val="000000"/>
        </w:rPr>
        <w:t>二、收入决算情况说明</w:t>
      </w:r>
      <w:r>
        <w:tab/>
      </w:r>
      <w:r>
        <w:t>6</w:t>
      </w:r>
    </w:p>
    <w:p w14:paraId="03D2F373">
      <w:pPr>
        <w:pStyle w:val="15"/>
        <w:tabs>
          <w:tab w:val="right" w:leader="dot" w:pos="8306"/>
        </w:tabs>
        <w:rPr>
          <w:color w:val="000000"/>
        </w:rPr>
      </w:pPr>
      <w:r>
        <w:rPr>
          <w:color w:val="000000"/>
        </w:rPr>
        <w:t>三、支出决算情况说明</w:t>
      </w:r>
      <w:r>
        <w:tab/>
      </w:r>
      <w:r>
        <w:t>7</w:t>
      </w:r>
    </w:p>
    <w:p w14:paraId="0C692417">
      <w:pPr>
        <w:pStyle w:val="15"/>
        <w:tabs>
          <w:tab w:val="right" w:leader="dot" w:pos="8306"/>
        </w:tabs>
        <w:rPr>
          <w:color w:val="000000"/>
        </w:rPr>
      </w:pPr>
      <w:r>
        <w:rPr>
          <w:color w:val="000000"/>
        </w:rPr>
        <w:t>四、财政拨款收入支出决算总体情况说明</w:t>
      </w:r>
      <w:r>
        <w:tab/>
      </w:r>
      <w:r>
        <w:t>8</w:t>
      </w:r>
    </w:p>
    <w:p w14:paraId="2350F1F6">
      <w:pPr>
        <w:pStyle w:val="15"/>
        <w:tabs>
          <w:tab w:val="right" w:leader="dot" w:pos="8306"/>
        </w:tabs>
        <w:rPr>
          <w:color w:val="000000"/>
        </w:rPr>
      </w:pPr>
      <w:r>
        <w:rPr>
          <w:color w:val="000000"/>
        </w:rPr>
        <w:t>五、一般公共预算财政拨款支出决算情况说明</w:t>
      </w:r>
      <w:r>
        <w:tab/>
      </w:r>
      <w:r>
        <w:t>8</w:t>
      </w:r>
    </w:p>
    <w:p w14:paraId="7DEF5E31">
      <w:pPr>
        <w:pStyle w:val="8"/>
        <w:tabs>
          <w:tab w:val="right" w:leader="dot" w:pos="8306"/>
        </w:tabs>
        <w:rPr>
          <w:color w:val="000000"/>
        </w:rPr>
      </w:pPr>
      <w:r>
        <w:rPr>
          <w:color w:val="000000"/>
        </w:rPr>
        <w:t>（一）一般公共预算财政拨款支出决算总体情况</w:t>
      </w:r>
      <w:r>
        <w:tab/>
      </w:r>
      <w:r>
        <w:t>9</w:t>
      </w:r>
    </w:p>
    <w:p w14:paraId="31136B97">
      <w:pPr>
        <w:pStyle w:val="8"/>
        <w:tabs>
          <w:tab w:val="right" w:leader="dot" w:pos="8306"/>
        </w:tabs>
        <w:rPr>
          <w:color w:val="000000"/>
        </w:rPr>
      </w:pPr>
      <w:r>
        <w:rPr>
          <w:color w:val="000000"/>
        </w:rPr>
        <w:t>（二）一般公共预算财政拨款支出决算结构情况</w:t>
      </w:r>
      <w:r>
        <w:tab/>
      </w:r>
      <w:r>
        <w:t>9</w:t>
      </w:r>
    </w:p>
    <w:p w14:paraId="02306DC9">
      <w:pPr>
        <w:pStyle w:val="8"/>
        <w:tabs>
          <w:tab w:val="right" w:leader="dot" w:pos="8306"/>
        </w:tabs>
        <w:rPr>
          <w:color w:val="000000"/>
        </w:rPr>
      </w:pPr>
      <w:r>
        <w:rPr>
          <w:color w:val="000000"/>
        </w:rPr>
        <w:t>（三）一般公共预算财政拨款支出决算具体情况</w:t>
      </w:r>
      <w:r>
        <w:tab/>
      </w:r>
      <w:r>
        <w:t>10</w:t>
      </w:r>
    </w:p>
    <w:p w14:paraId="284B1F33">
      <w:pPr>
        <w:pStyle w:val="15"/>
        <w:tabs>
          <w:tab w:val="right" w:leader="dot" w:pos="8306"/>
        </w:tabs>
        <w:rPr>
          <w:color w:val="000000"/>
        </w:rPr>
      </w:pPr>
      <w:r>
        <w:rPr>
          <w:color w:val="000000"/>
        </w:rPr>
        <w:t>六、一般公共预算财政拨款基本支出决算情况说明</w:t>
      </w:r>
      <w:r>
        <w:tab/>
      </w:r>
      <w:r>
        <w:t>11</w:t>
      </w:r>
    </w:p>
    <w:p w14:paraId="034CA227">
      <w:pPr>
        <w:pStyle w:val="15"/>
        <w:tabs>
          <w:tab w:val="right" w:leader="dot" w:pos="8306"/>
        </w:tabs>
        <w:rPr>
          <w:color w:val="000000"/>
        </w:rPr>
      </w:pPr>
      <w:r>
        <w:rPr>
          <w:color w:val="000000"/>
        </w:rPr>
        <w:t>七、财政拨款“三公”经费支出决算情况说明</w:t>
      </w:r>
      <w:r>
        <w:tab/>
      </w:r>
      <w:r>
        <w:t>12</w:t>
      </w:r>
    </w:p>
    <w:p w14:paraId="654F000E">
      <w:pPr>
        <w:pStyle w:val="8"/>
        <w:tabs>
          <w:tab w:val="right" w:leader="dot" w:pos="8306"/>
        </w:tabs>
        <w:rPr>
          <w:color w:val="000000"/>
        </w:rPr>
      </w:pPr>
      <w:r>
        <w:rPr>
          <w:color w:val="000000"/>
        </w:rPr>
        <w:t>（一）“三公”经费财政拨款支出决算总体情况说明</w:t>
      </w:r>
      <w:r>
        <w:tab/>
      </w:r>
      <w:r>
        <w:t>12</w:t>
      </w:r>
    </w:p>
    <w:p w14:paraId="6D999556">
      <w:pPr>
        <w:pStyle w:val="8"/>
        <w:tabs>
          <w:tab w:val="right" w:leader="dot" w:pos="8306"/>
        </w:tabs>
        <w:rPr>
          <w:color w:val="000000"/>
        </w:rPr>
      </w:pPr>
      <w:r>
        <w:rPr>
          <w:color w:val="000000"/>
        </w:rPr>
        <w:t>（二）“三公”经费财政拨款支出决算具体情况说明</w:t>
      </w:r>
      <w:r>
        <w:tab/>
      </w:r>
      <w:r>
        <w:t>12</w:t>
      </w:r>
    </w:p>
    <w:p w14:paraId="32C70C14">
      <w:pPr>
        <w:pStyle w:val="15"/>
        <w:tabs>
          <w:tab w:val="right" w:leader="dot" w:pos="8306"/>
        </w:tabs>
        <w:rPr>
          <w:color w:val="000000"/>
        </w:rPr>
      </w:pPr>
      <w:r>
        <w:rPr>
          <w:color w:val="000000"/>
        </w:rPr>
        <w:t>八、政府性基金预算支出决算情况说明</w:t>
      </w:r>
      <w:r>
        <w:tab/>
      </w:r>
      <w:r>
        <w:t>14</w:t>
      </w:r>
    </w:p>
    <w:p w14:paraId="06E1DAD3">
      <w:pPr>
        <w:pStyle w:val="15"/>
        <w:tabs>
          <w:tab w:val="right" w:leader="dot" w:pos="8306"/>
        </w:tabs>
        <w:rPr>
          <w:color w:val="000000"/>
        </w:rPr>
      </w:pPr>
      <w:r>
        <w:rPr>
          <w:color w:val="000000"/>
        </w:rPr>
        <w:t>九、国有资本经营预算支出决算情况说明</w:t>
      </w:r>
      <w:r>
        <w:tab/>
      </w:r>
      <w:r>
        <w:t>14</w:t>
      </w:r>
    </w:p>
    <w:p w14:paraId="30AD328B">
      <w:pPr>
        <w:pStyle w:val="15"/>
        <w:tabs>
          <w:tab w:val="right" w:leader="dot" w:pos="8306"/>
        </w:tabs>
        <w:rPr>
          <w:color w:val="000000"/>
        </w:rPr>
      </w:pPr>
      <w:r>
        <w:rPr>
          <w:color w:val="000000"/>
        </w:rPr>
        <w:t>十、其他重要事项的情况说明</w:t>
      </w:r>
      <w:r>
        <w:tab/>
      </w:r>
      <w:r>
        <w:t>14</w:t>
      </w:r>
    </w:p>
    <w:p w14:paraId="52BA78D0">
      <w:pPr>
        <w:pStyle w:val="8"/>
        <w:tabs>
          <w:tab w:val="right" w:leader="dot" w:pos="8306"/>
        </w:tabs>
        <w:rPr>
          <w:color w:val="000000"/>
        </w:rPr>
      </w:pPr>
      <w:r>
        <w:rPr>
          <w:color w:val="000000"/>
        </w:rPr>
        <w:t>（一）机关运行经费支出情况</w:t>
      </w:r>
      <w:r>
        <w:tab/>
      </w:r>
      <w:r>
        <w:t>14</w:t>
      </w:r>
    </w:p>
    <w:p w14:paraId="04694D6A">
      <w:pPr>
        <w:pStyle w:val="8"/>
        <w:tabs>
          <w:tab w:val="right" w:leader="dot" w:pos="8306"/>
        </w:tabs>
        <w:rPr>
          <w:color w:val="000000"/>
        </w:rPr>
      </w:pPr>
      <w:r>
        <w:rPr>
          <w:color w:val="000000"/>
        </w:rPr>
        <w:t>（二）政府采购支出情况</w:t>
      </w:r>
      <w:r>
        <w:tab/>
      </w:r>
      <w:r>
        <w:t>14</w:t>
      </w:r>
    </w:p>
    <w:p w14:paraId="2842EE4A">
      <w:pPr>
        <w:pStyle w:val="8"/>
        <w:tabs>
          <w:tab w:val="right" w:leader="dot" w:pos="8306"/>
        </w:tabs>
        <w:rPr>
          <w:color w:val="000000"/>
        </w:rPr>
      </w:pPr>
      <w:r>
        <w:rPr>
          <w:color w:val="000000"/>
        </w:rPr>
        <w:t>（三）国有资产占有使用情况</w:t>
      </w:r>
      <w:r>
        <w:tab/>
      </w:r>
      <w:r>
        <w:t>15</w:t>
      </w:r>
    </w:p>
    <w:p w14:paraId="1F1EB1C0">
      <w:pPr>
        <w:pStyle w:val="8"/>
        <w:tabs>
          <w:tab w:val="right" w:leader="dot" w:pos="8306"/>
        </w:tabs>
        <w:rPr>
          <w:color w:val="000000"/>
        </w:rPr>
      </w:pPr>
      <w:r>
        <w:rPr>
          <w:color w:val="000000"/>
        </w:rPr>
        <w:t>（四）预算绩效管理情况</w:t>
      </w:r>
      <w:r>
        <w:tab/>
      </w:r>
      <w:r>
        <w:t>15</w:t>
      </w:r>
    </w:p>
    <w:p w14:paraId="6E46E763">
      <w:pPr>
        <w:pStyle w:val="11"/>
        <w:tabs>
          <w:tab w:val="right" w:leader="dot" w:pos="8306"/>
        </w:tabs>
        <w:rPr>
          <w:color w:val="000000"/>
        </w:rPr>
      </w:pPr>
      <w:r>
        <w:rPr>
          <w:color w:val="000000"/>
        </w:rPr>
        <w:t>第三部分 名词解释</w:t>
      </w:r>
      <w:r>
        <w:tab/>
      </w:r>
      <w:r>
        <w:t>16</w:t>
      </w:r>
    </w:p>
    <w:p w14:paraId="193F7BD9">
      <w:pPr>
        <w:pStyle w:val="11"/>
        <w:tabs>
          <w:tab w:val="right" w:leader="dot" w:pos="8306"/>
        </w:tabs>
        <w:rPr>
          <w:color w:val="000000"/>
        </w:rPr>
      </w:pPr>
      <w:r>
        <w:rPr>
          <w:color w:val="000000"/>
        </w:rPr>
        <w:t>第四部分 附件</w:t>
      </w:r>
      <w:r>
        <w:tab/>
      </w:r>
      <w:r>
        <w:t>20</w:t>
      </w:r>
    </w:p>
    <w:p w14:paraId="1DD20C34">
      <w:pPr>
        <w:pStyle w:val="15"/>
        <w:tabs>
          <w:tab w:val="right" w:leader="dot" w:pos="8306"/>
        </w:tabs>
        <w:rPr>
          <w:color w:val="000000"/>
        </w:rPr>
      </w:pPr>
      <w:r>
        <w:rPr>
          <w:color w:val="000000"/>
        </w:rPr>
        <w:t>附件1</w:t>
      </w:r>
      <w:r>
        <w:tab/>
      </w:r>
      <w:r>
        <w:t>20</w:t>
      </w:r>
    </w:p>
    <w:p w14:paraId="6A27446C">
      <w:pPr>
        <w:pStyle w:val="11"/>
        <w:tabs>
          <w:tab w:val="right" w:leader="dot" w:pos="8306"/>
        </w:tabs>
        <w:rPr>
          <w:rFonts w:hint="default" w:eastAsia="仿宋"/>
          <w:color w:val="000000"/>
          <w:lang w:val="en-US" w:eastAsia="zh-CN"/>
        </w:rPr>
      </w:pPr>
      <w:r>
        <w:rPr>
          <w:color w:val="000000"/>
        </w:rPr>
        <w:t>第</w:t>
      </w:r>
      <w:r>
        <w:rPr>
          <w:rFonts w:hint="eastAsia"/>
          <w:color w:val="000000"/>
          <w:lang w:val="en-US" w:eastAsia="zh-CN"/>
        </w:rPr>
        <w:t>五</w:t>
      </w:r>
      <w:r>
        <w:rPr>
          <w:color w:val="000000"/>
        </w:rPr>
        <w:t>部分 附</w:t>
      </w:r>
      <w:r>
        <w:rPr>
          <w:rFonts w:hint="eastAsia"/>
          <w:color w:val="000000"/>
          <w:lang w:val="en-US" w:eastAsia="zh-CN"/>
        </w:rPr>
        <w:t>表............................................20</w:t>
      </w:r>
    </w:p>
    <w:p w14:paraId="379D7564">
      <w:pPr>
        <w:pStyle w:val="15"/>
        <w:tabs>
          <w:tab w:val="right" w:leader="dot" w:pos="8306"/>
        </w:tabs>
        <w:rPr>
          <w:color w:val="000000"/>
        </w:rPr>
      </w:pPr>
      <w:r>
        <w:rPr>
          <w:color w:val="000000"/>
        </w:rPr>
        <w:t>一、收入支出决算总表</w:t>
      </w:r>
      <w:r>
        <w:tab/>
      </w:r>
      <w:r>
        <w:rPr>
          <w:rFonts w:hint="eastAsia"/>
          <w:lang w:val="en-US" w:eastAsia="zh-CN"/>
        </w:rPr>
        <w:t>20</w:t>
      </w:r>
    </w:p>
    <w:p w14:paraId="710862CD">
      <w:pPr>
        <w:pStyle w:val="15"/>
        <w:tabs>
          <w:tab w:val="right" w:leader="dot" w:pos="8306"/>
        </w:tabs>
        <w:rPr>
          <w:rFonts w:hint="default" w:eastAsia="宋体"/>
          <w:color w:val="000000"/>
          <w:lang w:val="en-US" w:eastAsia="zh-CN"/>
        </w:rPr>
      </w:pPr>
      <w:r>
        <w:rPr>
          <w:color w:val="000000"/>
        </w:rPr>
        <w:t>二、收入决算表</w:t>
      </w:r>
      <w:r>
        <w:tab/>
      </w:r>
      <w:r>
        <w:rPr>
          <w:rFonts w:hint="eastAsia"/>
          <w:lang w:val="en-US" w:eastAsia="zh-CN"/>
        </w:rPr>
        <w:t>20</w:t>
      </w:r>
    </w:p>
    <w:p w14:paraId="090B7DB9">
      <w:pPr>
        <w:pStyle w:val="15"/>
        <w:tabs>
          <w:tab w:val="right" w:leader="dot" w:pos="8306"/>
        </w:tabs>
        <w:rPr>
          <w:rFonts w:hint="default" w:eastAsia="宋体"/>
          <w:color w:val="000000"/>
          <w:lang w:val="en-US" w:eastAsia="zh-CN"/>
        </w:rPr>
      </w:pPr>
      <w:r>
        <w:rPr>
          <w:color w:val="000000"/>
        </w:rPr>
        <w:t>三、支出决算表</w:t>
      </w:r>
      <w:r>
        <w:tab/>
      </w:r>
      <w:r>
        <w:rPr>
          <w:rFonts w:hint="eastAsia"/>
          <w:lang w:val="en-US" w:eastAsia="zh-CN"/>
        </w:rPr>
        <w:t>20</w:t>
      </w:r>
    </w:p>
    <w:p w14:paraId="07DADE20">
      <w:pPr>
        <w:pStyle w:val="15"/>
        <w:tabs>
          <w:tab w:val="right" w:leader="dot" w:pos="8306"/>
        </w:tabs>
        <w:rPr>
          <w:rFonts w:hint="default" w:eastAsia="宋体"/>
          <w:color w:val="000000"/>
          <w:lang w:val="en-US" w:eastAsia="zh-CN"/>
        </w:rPr>
      </w:pPr>
      <w:r>
        <w:rPr>
          <w:color w:val="000000"/>
        </w:rPr>
        <w:t>四、财政拨款收入支出决算总表</w:t>
      </w:r>
      <w:r>
        <w:tab/>
      </w:r>
      <w:r>
        <w:rPr>
          <w:rFonts w:hint="eastAsia"/>
          <w:lang w:val="en-US" w:eastAsia="zh-CN"/>
        </w:rPr>
        <w:t>20</w:t>
      </w:r>
    </w:p>
    <w:p w14:paraId="4A8E9179">
      <w:pPr>
        <w:pStyle w:val="15"/>
        <w:tabs>
          <w:tab w:val="right" w:leader="dot" w:pos="8306"/>
        </w:tabs>
        <w:rPr>
          <w:rFonts w:hint="default" w:eastAsia="宋体"/>
          <w:color w:val="000000"/>
          <w:lang w:val="en-US" w:eastAsia="zh-CN"/>
        </w:rPr>
      </w:pPr>
      <w:r>
        <w:rPr>
          <w:color w:val="000000"/>
        </w:rPr>
        <w:t>五、财政拨款支出决算明细表</w:t>
      </w:r>
      <w:r>
        <w:tab/>
      </w:r>
      <w:r>
        <w:rPr>
          <w:rFonts w:hint="eastAsia"/>
          <w:lang w:val="en-US" w:eastAsia="zh-CN"/>
        </w:rPr>
        <w:t>20</w:t>
      </w:r>
    </w:p>
    <w:p w14:paraId="71720592">
      <w:pPr>
        <w:pStyle w:val="15"/>
        <w:tabs>
          <w:tab w:val="right" w:leader="dot" w:pos="8306"/>
        </w:tabs>
        <w:rPr>
          <w:rFonts w:hint="default" w:eastAsia="宋体"/>
          <w:lang w:val="en-US" w:eastAsia="zh-CN"/>
        </w:rPr>
      </w:pPr>
      <w:r>
        <w:rPr>
          <w:color w:val="000000"/>
        </w:rPr>
        <w:t>六、一般公共预算财政拨款支出决算表</w:t>
      </w:r>
      <w:r>
        <w:tab/>
      </w:r>
      <w:r>
        <w:rPr>
          <w:rFonts w:hint="eastAsia"/>
          <w:lang w:val="en-US" w:eastAsia="zh-CN"/>
        </w:rPr>
        <w:t>20</w:t>
      </w:r>
    </w:p>
    <w:p w14:paraId="4C700322">
      <w:pPr>
        <w:pStyle w:val="15"/>
        <w:tabs>
          <w:tab w:val="right" w:leader="dot" w:pos="8306"/>
        </w:tabs>
        <w:rPr>
          <w:rFonts w:hint="default" w:eastAsia="宋体"/>
          <w:color w:val="000000"/>
          <w:lang w:val="en-US" w:eastAsia="zh-CN"/>
        </w:rPr>
      </w:pPr>
      <w:r>
        <w:rPr>
          <w:color w:val="000000"/>
        </w:rPr>
        <w:t>七、一般公共预算财政拨款支出决算明细表</w:t>
      </w:r>
      <w:r>
        <w:tab/>
      </w:r>
      <w:r>
        <w:rPr>
          <w:rFonts w:hint="eastAsia"/>
          <w:lang w:val="en-US" w:eastAsia="zh-CN"/>
        </w:rPr>
        <w:t>20</w:t>
      </w:r>
    </w:p>
    <w:p w14:paraId="57063051">
      <w:pPr>
        <w:pStyle w:val="15"/>
        <w:tabs>
          <w:tab w:val="right" w:leader="dot" w:pos="8306"/>
        </w:tabs>
        <w:rPr>
          <w:rFonts w:hint="default" w:eastAsia="宋体"/>
          <w:color w:val="000000"/>
          <w:lang w:val="en-US" w:eastAsia="zh-CN"/>
        </w:rPr>
      </w:pPr>
      <w:r>
        <w:rPr>
          <w:color w:val="000000"/>
        </w:rPr>
        <w:t>八、一般公共预算财政拨款基本支出决算表</w:t>
      </w:r>
      <w:r>
        <w:tab/>
      </w:r>
      <w:r>
        <w:rPr>
          <w:rFonts w:hint="eastAsia"/>
          <w:lang w:val="en-US" w:eastAsia="zh-CN"/>
        </w:rPr>
        <w:t>20</w:t>
      </w:r>
    </w:p>
    <w:p w14:paraId="1E0A6DF4">
      <w:pPr>
        <w:pStyle w:val="15"/>
        <w:tabs>
          <w:tab w:val="right" w:leader="dot" w:pos="8306"/>
        </w:tabs>
        <w:rPr>
          <w:rFonts w:hint="default" w:eastAsia="宋体"/>
          <w:color w:val="000000"/>
          <w:lang w:val="en-US" w:eastAsia="zh-CN"/>
        </w:rPr>
      </w:pPr>
      <w:r>
        <w:rPr>
          <w:color w:val="000000"/>
        </w:rPr>
        <w:t>九、一般公共预算财政拨款项目支出决算表</w:t>
      </w:r>
      <w:r>
        <w:tab/>
      </w:r>
      <w:r>
        <w:rPr>
          <w:rFonts w:hint="eastAsia"/>
          <w:lang w:val="en-US" w:eastAsia="zh-CN"/>
        </w:rPr>
        <w:t>20</w:t>
      </w:r>
    </w:p>
    <w:p w14:paraId="1AC7E881">
      <w:pPr>
        <w:pStyle w:val="15"/>
        <w:tabs>
          <w:tab w:val="right" w:leader="dot" w:pos="8306"/>
        </w:tabs>
        <w:rPr>
          <w:rFonts w:hint="default" w:eastAsia="宋体"/>
          <w:color w:val="000000"/>
          <w:lang w:val="en-US" w:eastAsia="zh-CN"/>
        </w:rPr>
      </w:pPr>
      <w:r>
        <w:rPr>
          <w:color w:val="000000"/>
        </w:rPr>
        <w:t>十、政府性基金预算财政拨款收入支出决算表</w:t>
      </w:r>
      <w:r>
        <w:tab/>
      </w:r>
      <w:r>
        <w:rPr>
          <w:rFonts w:hint="eastAsia"/>
          <w:lang w:val="en-US" w:eastAsia="zh-CN"/>
        </w:rPr>
        <w:t>20</w:t>
      </w:r>
    </w:p>
    <w:p w14:paraId="1C954ADF">
      <w:pPr>
        <w:pStyle w:val="15"/>
        <w:tabs>
          <w:tab w:val="right" w:leader="dot" w:pos="8306"/>
        </w:tabs>
        <w:rPr>
          <w:rFonts w:hint="default" w:eastAsia="宋体"/>
          <w:color w:val="000000"/>
          <w:lang w:val="en-US" w:eastAsia="zh-CN"/>
        </w:rPr>
      </w:pPr>
      <w:r>
        <w:rPr>
          <w:color w:val="000000"/>
        </w:rPr>
        <w:t>十一、国有资本经营预算财政拨款收入支出决算表</w:t>
      </w:r>
      <w:r>
        <w:tab/>
      </w:r>
      <w:r>
        <w:rPr>
          <w:rFonts w:hint="eastAsia"/>
          <w:lang w:val="en-US" w:eastAsia="zh-CN"/>
        </w:rPr>
        <w:t>20</w:t>
      </w:r>
    </w:p>
    <w:p w14:paraId="02D1FA9A">
      <w:pPr>
        <w:pStyle w:val="15"/>
        <w:tabs>
          <w:tab w:val="right" w:leader="dot" w:pos="8306"/>
        </w:tabs>
        <w:rPr>
          <w:rFonts w:hint="default" w:eastAsia="宋体"/>
          <w:color w:val="000000"/>
          <w:lang w:val="en-US" w:eastAsia="zh-CN"/>
        </w:rPr>
      </w:pPr>
      <w:r>
        <w:rPr>
          <w:color w:val="000000"/>
        </w:rPr>
        <w:t>十二、国有资本经营预算财政拨款支出决算表</w:t>
      </w:r>
      <w:r>
        <w:tab/>
      </w:r>
      <w:r>
        <w:rPr>
          <w:rFonts w:hint="eastAsia"/>
          <w:lang w:val="en-US" w:eastAsia="zh-CN"/>
        </w:rPr>
        <w:t>20</w:t>
      </w:r>
    </w:p>
    <w:p w14:paraId="6A005A98">
      <w:pPr>
        <w:pStyle w:val="15"/>
        <w:tabs>
          <w:tab w:val="right" w:leader="dot" w:pos="8306"/>
        </w:tabs>
        <w:rPr>
          <w:rFonts w:hint="default" w:eastAsia="宋体"/>
          <w:color w:val="000000"/>
          <w:lang w:val="en-US" w:eastAsia="zh-CN"/>
        </w:rPr>
      </w:pPr>
      <w:r>
        <w:rPr>
          <w:color w:val="000000"/>
        </w:rPr>
        <w:t>十三、财政拨款“三公”经费支出决算表</w:t>
      </w:r>
      <w:r>
        <w:tab/>
      </w:r>
      <w:r>
        <w:rPr>
          <w:rFonts w:hint="eastAsia"/>
          <w:lang w:val="en-US" w:eastAsia="zh-CN"/>
        </w:rPr>
        <w:t>20</w:t>
      </w:r>
    </w:p>
    <w:p w14:paraId="6506C7B4">
      <w:pPr>
        <w:numPr>
          <w:ilvl w:val="0"/>
          <w:numId w:val="0"/>
        </w:numPr>
        <w:rPr>
          <w:rFonts w:ascii="仿宋" w:hAnsi="仿宋" w:eastAsia="仿宋" w:cs="仿宋"/>
          <w:bCs/>
          <w:color w:val="000000"/>
          <w:kern w:val="2"/>
          <w:highlight w:val="none"/>
        </w:rPr>
        <w:sectPr>
          <w:headerReference r:id="rId3" w:type="default"/>
          <w:footerReference r:id="rId4" w:type="default"/>
          <w:pgSz w:w="11906" w:h="16838"/>
          <w:pgMar w:top="1440" w:right="1800" w:bottom="1440" w:left="1800" w:header="720" w:footer="720" w:gutter="0"/>
          <w:pgNumType w:fmt="decimal"/>
          <w:cols w:space="720" w:num="1"/>
          <w:formProt w:val="0"/>
          <w:docGrid w:type="lines" w:linePitch="312" w:charSpace="0"/>
        </w:sectPr>
      </w:pPr>
    </w:p>
    <w:p w14:paraId="33EC9556">
      <w:pPr>
        <w:pStyle w:val="3"/>
        <w:ind w:firstLine="2200"/>
        <w:jc w:val="both"/>
        <w:rPr>
          <w:rFonts w:ascii="黑体" w:hAnsi="黑体" w:eastAsia="黑体"/>
          <w:color w:val="000000"/>
          <w:sz w:val="32"/>
          <w:szCs w:val="32"/>
          <w:highlight w:val="none"/>
        </w:rPr>
      </w:pPr>
      <w:bookmarkStart w:id="0" w:name="__RefHeading___Toc17644"/>
      <w:bookmarkEnd w:id="0"/>
      <w:r>
        <w:rPr>
          <w:rFonts w:ascii="黑体" w:hAnsi="黑体" w:eastAsia="黑体" w:cs="黑体"/>
          <w:b w:val="0"/>
          <w:color w:val="000000"/>
        </w:rPr>
        <w:t xml:space="preserve">第一部分 </w:t>
      </w:r>
      <w:r>
        <w:rPr>
          <w:rStyle w:val="26"/>
          <w:rFonts w:ascii="黑体" w:hAnsi="黑体" w:eastAsia="黑体" w:cs="黑体"/>
          <w:b w:val="0"/>
          <w:bCs w:val="0"/>
          <w:color w:val="000000"/>
        </w:rPr>
        <w:t>部门概况</w:t>
      </w:r>
    </w:p>
    <w:p w14:paraId="51DCBC50">
      <w:pPr>
        <w:pStyle w:val="4"/>
        <w:numPr>
          <w:ilvl w:val="0"/>
          <w:numId w:val="2"/>
        </w:numPr>
        <w:rPr>
          <w:rFonts w:ascii="仿宋" w:hAnsi="仿宋" w:eastAsia="仿宋" w:cs="仿宋"/>
          <w:bCs/>
          <w:color w:val="000000"/>
          <w:sz w:val="32"/>
          <w:szCs w:val="32"/>
        </w:rPr>
      </w:pPr>
      <w:bookmarkStart w:id="1" w:name="__RefHeading___Toc19892"/>
      <w:bookmarkEnd w:id="1"/>
      <w:r>
        <w:rPr>
          <w:rFonts w:ascii="黑体" w:hAnsi="黑体" w:eastAsia="黑体" w:cs="黑体"/>
          <w:b w:val="0"/>
          <w:color w:val="000000"/>
          <w:lang w:eastAsia="zh-CN"/>
        </w:rPr>
        <w:t>部门职责</w:t>
      </w:r>
    </w:p>
    <w:p w14:paraId="1C14FBEC">
      <w:pPr>
        <w:pStyle w:val="4"/>
        <w:numPr>
          <w:ilvl w:val="0"/>
          <w:numId w:val="0"/>
        </w:numPr>
        <w:ind w:left="0" w:firstLine="643"/>
        <w:rPr>
          <w:rFonts w:ascii="仿宋" w:hAnsi="仿宋" w:eastAsia="仿宋" w:cs="仿宋"/>
          <w:bCs/>
          <w:color w:val="000000"/>
          <w:sz w:val="32"/>
          <w:szCs w:val="32"/>
        </w:rPr>
      </w:pPr>
      <w:bookmarkStart w:id="2" w:name="__RefHeading___Toc29137"/>
      <w:bookmarkEnd w:id="2"/>
      <w:r>
        <w:rPr>
          <w:rFonts w:ascii="仿宋" w:hAnsi="仿宋" w:eastAsia="仿宋" w:cs="仿宋"/>
          <w:bCs/>
          <w:color w:val="000000"/>
          <w:sz w:val="32"/>
          <w:szCs w:val="32"/>
        </w:rPr>
        <w:t>（一）主要职能。</w:t>
      </w:r>
    </w:p>
    <w:p w14:paraId="565E243D">
      <w:pPr>
        <w:ind w:firstLine="800"/>
        <w:rPr>
          <w:rFonts w:ascii="仿宋" w:hAnsi="仿宋" w:eastAsia="仿宋" w:cs="仿宋"/>
          <w:sz w:val="32"/>
          <w:szCs w:val="32"/>
        </w:rPr>
      </w:pPr>
      <w:r>
        <w:rPr>
          <w:rFonts w:ascii="仿宋" w:hAnsi="仿宋" w:eastAsia="仿宋" w:cs="仿宋"/>
          <w:sz w:val="32"/>
          <w:szCs w:val="32"/>
        </w:rPr>
        <w:t>本单位主要职能是</w:t>
      </w:r>
      <w:r>
        <w:rPr>
          <w:rFonts w:ascii="仿宋" w:hAnsi="仿宋" w:eastAsia="仿宋" w:cs="仿宋"/>
          <w:sz w:val="32"/>
          <w:szCs w:val="32"/>
          <w:lang w:val="en-US" w:eastAsia="zh-CN"/>
        </w:rPr>
        <w:t>在</w:t>
      </w:r>
      <w:r>
        <w:rPr>
          <w:rFonts w:ascii="仿宋" w:hAnsi="仿宋" w:eastAsia="仿宋" w:cs="仿宋"/>
          <w:sz w:val="32"/>
          <w:szCs w:val="32"/>
        </w:rPr>
        <w:t>县人大常委会办公室</w:t>
      </w:r>
      <w:r>
        <w:rPr>
          <w:rFonts w:ascii="仿宋" w:hAnsi="仿宋" w:eastAsia="仿宋" w:cs="仿宋"/>
          <w:sz w:val="32"/>
          <w:szCs w:val="32"/>
          <w:lang w:val="en-US" w:eastAsia="zh-CN"/>
        </w:rPr>
        <w:t>带领下协助</w:t>
      </w:r>
      <w:r>
        <w:rPr>
          <w:rFonts w:ascii="仿宋" w:hAnsi="仿宋" w:eastAsia="仿宋" w:cs="仿宋"/>
          <w:sz w:val="32"/>
          <w:szCs w:val="32"/>
        </w:rPr>
        <w:t>做好本级人民代表大会、常委会会议、主任会议、党组会议以及其他有关会议各种文件的起草、会议记录和会务工作，对会议决定的事项负责办理落实，并及时报告反馈。负责对乡（镇）人大主席团工作指导并考核其工作。负责开展驻县省、州代表活动及县代表培训，视察活动，建立代表联络站。完成精准扶贫帮扶工作及县委交办的其他工作。积极做好机关内部各项建设。</w:t>
      </w:r>
    </w:p>
    <w:p w14:paraId="08E02B58">
      <w:pPr>
        <w:pStyle w:val="6"/>
        <w:numPr>
          <w:ilvl w:val="0"/>
          <w:numId w:val="0"/>
        </w:numPr>
        <w:snapToGrid w:val="0"/>
        <w:spacing w:before="93" w:after="140" w:line="600" w:lineRule="exact"/>
        <w:ind w:firstLine="672"/>
        <w:outlineLvl w:val="2"/>
        <w:rPr>
          <w:rFonts w:ascii="仿宋" w:hAnsi="仿宋" w:eastAsia="仿宋" w:cs="Times New Roman"/>
          <w:kern w:val="2"/>
          <w:sz w:val="32"/>
          <w:szCs w:val="32"/>
          <w:lang w:val="en-US" w:eastAsia="zh-CN" w:bidi="ar-SA"/>
        </w:rPr>
      </w:pPr>
      <w:bookmarkStart w:id="3" w:name="__RefHeading___Toc12044"/>
      <w:bookmarkEnd w:id="3"/>
      <w:r>
        <w:rPr>
          <w:rFonts w:ascii="仿宋" w:hAnsi="仿宋" w:eastAsia="仿宋" w:cs="Times New Roman"/>
          <w:kern w:val="2"/>
          <w:sz w:val="32"/>
          <w:szCs w:val="32"/>
          <w:lang w:val="en-US" w:eastAsia="zh-CN" w:bidi="ar-SA"/>
        </w:rPr>
        <w:t>（二）2025年主要工作完成情况。</w:t>
      </w:r>
    </w:p>
    <w:p w14:paraId="296DC396">
      <w:pPr>
        <w:ind w:firstLine="800"/>
        <w:rPr>
          <w:rFonts w:ascii="仿宋" w:hAnsi="仿宋" w:eastAsia="仿宋" w:cs="仿宋"/>
          <w:sz w:val="32"/>
          <w:szCs w:val="32"/>
          <w:lang w:val="en-US" w:eastAsia="zh-CN"/>
        </w:rPr>
      </w:pPr>
      <w:r>
        <w:rPr>
          <w:rFonts w:ascii="仿宋" w:hAnsi="仿宋" w:eastAsia="仿宋" w:cs="仿宋"/>
          <w:sz w:val="32"/>
          <w:szCs w:val="32"/>
          <w:lang w:val="en-US" w:eastAsia="zh-CN"/>
        </w:rPr>
        <w:t>在县委的坚强领导下，县人大常委会的支持下，坚持以习近平新时代中国特色社会主义思想为指导，全面贯彻党的二十大精神，深入学习贯彻习近平总书记来川视察重要指示精神和对四川对阿坝工作系列重要指示批示精神，紧跟县委决策部署，紧扣践行全过程人民民主的要求，扎实推进监督、重大事项决定、代表工作和“四个机关”建设，协助人大常委会办公室组织召开主任会议12次，常委会会议7次，听取审议专项报告19项、人大评议意见整改情况报告19项，开展执法检查3项，作出决议决定7项，提出审议意见16份、65条，任免国家机关工作人员39人次，圆满完成了县十五届人大三次会议确定的各项目标任务.完成《小金人大》4期编制工作，</w:t>
      </w:r>
    </w:p>
    <w:p w14:paraId="28A3E070">
      <w:pPr>
        <w:pStyle w:val="4"/>
        <w:ind w:firstLine="960"/>
        <w:rPr>
          <w:rStyle w:val="27"/>
          <w:b w:val="0"/>
          <w:bCs w:val="0"/>
          <w:color w:val="000000"/>
          <w:highlight w:val="none"/>
        </w:rPr>
      </w:pPr>
      <w:bookmarkStart w:id="4" w:name="__RefHeading___Toc3028"/>
      <w:bookmarkEnd w:id="4"/>
      <w:r>
        <w:rPr>
          <w:rFonts w:ascii="黑体" w:hAnsi="黑体" w:eastAsia="黑体"/>
          <w:b w:val="0"/>
          <w:color w:val="000000"/>
        </w:rPr>
        <w:t>二、</w:t>
      </w:r>
      <w:r>
        <w:rPr>
          <w:rFonts w:ascii="黑体" w:hAnsi="黑体" w:eastAsia="黑体" w:cs="黑体"/>
          <w:b w:val="0"/>
          <w:color w:val="000000"/>
        </w:rPr>
        <w:t>机</w:t>
      </w:r>
      <w:r>
        <w:rPr>
          <w:rStyle w:val="27"/>
          <w:rFonts w:ascii="黑体" w:hAnsi="黑体" w:eastAsia="黑体" w:cs="黑体"/>
          <w:b w:val="0"/>
          <w:bCs w:val="0"/>
          <w:color w:val="000000"/>
        </w:rPr>
        <w:t>构设置</w:t>
      </w:r>
    </w:p>
    <w:p w14:paraId="3F394756">
      <w:pPr>
        <w:ind w:firstLine="800"/>
        <w:rPr>
          <w:rFonts w:ascii="仿宋" w:hAnsi="仿宋" w:eastAsia="仿宋" w:cs="仿宋"/>
          <w:color w:val="000000"/>
          <w:sz w:val="32"/>
          <w:szCs w:val="32"/>
          <w:highlight w:val="none"/>
        </w:rPr>
      </w:pPr>
      <w:r>
        <w:rPr>
          <w:rFonts w:ascii="仿宋" w:hAnsi="仿宋" w:eastAsia="仿宋" w:cs="仿宋"/>
          <w:color w:val="000000"/>
          <w:sz w:val="32"/>
          <w:szCs w:val="32"/>
          <w:lang w:val="en-US" w:eastAsia="zh-CN"/>
        </w:rPr>
        <w:t>小金县人大常委会办公室信息中心无</w:t>
      </w:r>
      <w:r>
        <w:rPr>
          <w:rFonts w:ascii="仿宋" w:hAnsi="仿宋" w:eastAsia="仿宋" w:cs="仿宋"/>
          <w:color w:val="000000"/>
          <w:sz w:val="32"/>
          <w:szCs w:val="32"/>
        </w:rPr>
        <w:t>下属二级</w:t>
      </w:r>
      <w:r>
        <w:rPr>
          <w:rFonts w:ascii="仿宋" w:hAnsi="仿宋" w:eastAsia="仿宋" w:cs="仿宋"/>
          <w:color w:val="000000"/>
          <w:sz w:val="32"/>
          <w:szCs w:val="32"/>
          <w:lang w:eastAsia="zh-CN"/>
        </w:rPr>
        <w:t>预算</w:t>
      </w:r>
      <w:r>
        <w:rPr>
          <w:rFonts w:ascii="仿宋" w:hAnsi="仿宋" w:eastAsia="仿宋" w:cs="仿宋"/>
          <w:color w:val="000000"/>
          <w:sz w:val="32"/>
          <w:szCs w:val="32"/>
        </w:rPr>
        <w:t>单位，其中行政单位</w:t>
      </w:r>
      <w:r>
        <w:rPr>
          <w:rFonts w:ascii="仿宋" w:hAnsi="仿宋" w:eastAsia="仿宋" w:cs="仿宋"/>
          <w:color w:val="000000"/>
          <w:sz w:val="32"/>
          <w:szCs w:val="32"/>
          <w:lang w:val="en-US" w:eastAsia="zh-CN"/>
        </w:rPr>
        <w:t>0</w:t>
      </w:r>
      <w:r>
        <w:rPr>
          <w:rFonts w:ascii="仿宋" w:hAnsi="仿宋" w:eastAsia="仿宋" w:cs="仿宋"/>
          <w:color w:val="000000"/>
          <w:sz w:val="32"/>
          <w:szCs w:val="32"/>
        </w:rPr>
        <w:t>个，参照公务员法管理的事业单位</w:t>
      </w:r>
      <w:r>
        <w:rPr>
          <w:rFonts w:ascii="仿宋" w:hAnsi="仿宋" w:eastAsia="仿宋" w:cs="仿宋"/>
          <w:bCs/>
          <w:color w:val="000000"/>
          <w:sz w:val="32"/>
          <w:szCs w:val="32"/>
          <w:lang w:val="en-US" w:eastAsia="zh-CN"/>
        </w:rPr>
        <w:t>0</w:t>
      </w:r>
      <w:r>
        <w:rPr>
          <w:rFonts w:ascii="仿宋" w:hAnsi="仿宋" w:eastAsia="仿宋" w:cs="仿宋"/>
          <w:color w:val="000000"/>
          <w:sz w:val="32"/>
          <w:szCs w:val="32"/>
        </w:rPr>
        <w:t>个，其他事业单位</w:t>
      </w:r>
      <w:r>
        <w:rPr>
          <w:rFonts w:ascii="仿宋" w:hAnsi="仿宋" w:eastAsia="仿宋" w:cs="仿宋"/>
          <w:color w:val="000000"/>
          <w:sz w:val="32"/>
          <w:szCs w:val="32"/>
          <w:lang w:val="en-US" w:eastAsia="zh-CN"/>
        </w:rPr>
        <w:t>1</w:t>
      </w:r>
      <w:r>
        <w:rPr>
          <w:rFonts w:ascii="仿宋" w:hAnsi="仿宋" w:eastAsia="仿宋" w:cs="仿宋"/>
          <w:color w:val="000000"/>
          <w:sz w:val="32"/>
          <w:szCs w:val="32"/>
        </w:rPr>
        <w:t>个。</w:t>
      </w:r>
    </w:p>
    <w:p w14:paraId="47F85CFB">
      <w:pPr>
        <w:pStyle w:val="6"/>
        <w:snapToGrid w:val="0"/>
        <w:spacing w:before="93" w:after="140" w:line="600" w:lineRule="exact"/>
        <w:ind w:firstLine="672"/>
        <w:rPr>
          <w:rFonts w:ascii="仿宋" w:hAnsi="仿宋" w:eastAsia="仿宋" w:cs="仿宋"/>
          <w:color w:val="000000"/>
          <w:sz w:val="32"/>
          <w:szCs w:val="32"/>
          <w:highlight w:val="none"/>
        </w:rPr>
      </w:pPr>
      <w:r>
        <w:rPr>
          <w:rFonts w:ascii="仿宋" w:hAnsi="仿宋" w:eastAsia="仿宋" w:cs="仿宋"/>
          <w:color w:val="000000"/>
          <w:sz w:val="32"/>
          <w:szCs w:val="32"/>
        </w:rPr>
        <w:t>纳入小金县人大常委会2024年度部门决算编制范围的二级预算单位包括：小金县人大常委会办公室信息中心</w:t>
      </w:r>
    </w:p>
    <w:p w14:paraId="4B25808F">
      <w:pPr>
        <w:pStyle w:val="35"/>
        <w:keepNext w:val="0"/>
        <w:keepLines w:val="0"/>
        <w:pageBreakBefore w:val="0"/>
        <w:widowControl/>
        <w:suppressAutoHyphens w:val="0"/>
        <w:kinsoku/>
        <w:overflowPunct/>
        <w:autoSpaceDE/>
        <w:bidi w:val="0"/>
        <w:snapToGrid/>
        <w:spacing w:before="0" w:after="100" w:line="240" w:lineRule="auto"/>
        <w:ind w:right="0" w:firstLine="640"/>
        <w:jc w:val="left"/>
        <w:rPr>
          <w:rFonts w:ascii="仿宋" w:hAnsi="仿宋" w:eastAsia="仿宋" w:cs="Times New Roman"/>
          <w:kern w:val="2"/>
          <w:sz w:val="32"/>
          <w:szCs w:val="32"/>
          <w:lang w:val="en-US" w:eastAsia="zh-CN" w:bidi="ar-SA"/>
        </w:rPr>
      </w:pPr>
      <w:r>
        <w:rPr>
          <w:rFonts w:ascii="仿宋" w:hAnsi="仿宋" w:eastAsia="仿宋" w:cs="Times New Roman"/>
          <w:kern w:val="2"/>
          <w:sz w:val="32"/>
          <w:szCs w:val="32"/>
          <w:lang w:val="en-US" w:eastAsia="zh-CN" w:bidi="ar-SA"/>
        </w:rPr>
        <w:t>本单位本年度纳入本套决算编制范围的独立编制机构数共1个，比上年增加0个，变动情况及原因为：无变化；独立核算机构数共1个，比上年增加0个，变动情况及原因为：无变化。</w:t>
      </w:r>
    </w:p>
    <w:p w14:paraId="3BD782B1">
      <w:pPr>
        <w:widowControl/>
        <w:ind w:firstLine="640" w:firstLineChars="200"/>
        <w:jc w:val="left"/>
        <w:rPr>
          <w:rFonts w:ascii="黑体" w:hAnsi="黑体" w:eastAsia="黑体" w:cs="Times New Roman"/>
          <w:b w:val="0"/>
          <w:bCs/>
          <w:color w:val="000000"/>
          <w:sz w:val="44"/>
          <w:szCs w:val="44"/>
          <w:highlight w:val="none"/>
          <w:lang w:val="en-US" w:eastAsia="zh-CN"/>
        </w:rPr>
      </w:pPr>
      <w:r>
        <w:rPr>
          <w:rFonts w:ascii="仿宋" w:hAnsi="仿宋" w:eastAsia="仿宋" w:cs="仿宋"/>
          <w:kern w:val="2"/>
          <w:sz w:val="32"/>
          <w:szCs w:val="32"/>
          <w:lang w:val="en-US" w:eastAsia="zh-CN" w:bidi="ar-SA"/>
        </w:rPr>
        <w:t>本单位本年度年末实有人数为</w:t>
      </w:r>
      <w:r>
        <w:rPr>
          <w:rFonts w:hint="eastAsia" w:ascii="仿宋" w:hAnsi="仿宋" w:eastAsia="仿宋" w:cs="仿宋"/>
          <w:kern w:val="2"/>
          <w:sz w:val="32"/>
          <w:szCs w:val="32"/>
          <w:lang w:val="en-US" w:eastAsia="zh-CN" w:bidi="ar-SA"/>
        </w:rPr>
        <w:t>2</w:t>
      </w:r>
      <w:r>
        <w:rPr>
          <w:rFonts w:ascii="仿宋" w:hAnsi="仿宋" w:eastAsia="仿宋" w:cs="仿宋"/>
          <w:kern w:val="2"/>
          <w:sz w:val="32"/>
          <w:szCs w:val="32"/>
          <w:lang w:val="en-US" w:eastAsia="zh-CN" w:bidi="ar-SA"/>
        </w:rPr>
        <w:t>人，比上年减少</w:t>
      </w:r>
      <w:r>
        <w:rPr>
          <w:rFonts w:hint="eastAsia" w:ascii="仿宋" w:hAnsi="仿宋" w:eastAsia="仿宋" w:cs="仿宋"/>
          <w:kern w:val="2"/>
          <w:sz w:val="32"/>
          <w:szCs w:val="32"/>
          <w:lang w:val="en-US" w:eastAsia="zh-CN" w:bidi="ar-SA"/>
        </w:rPr>
        <w:t>2</w:t>
      </w:r>
      <w:r>
        <w:rPr>
          <w:rFonts w:ascii="仿宋" w:hAnsi="仿宋" w:eastAsia="仿宋" w:cs="仿宋"/>
          <w:kern w:val="2"/>
          <w:sz w:val="32"/>
          <w:szCs w:val="32"/>
          <w:lang w:val="en-US" w:eastAsia="zh-CN" w:bidi="ar-SA"/>
        </w:rPr>
        <w:t>人；年末实有离退休人数为0人，比上年增加0人；变动情况及原因为：无变动。年末实有其他人数为0人，比上年增加0人；变动情况及原因为：无变动。</w:t>
      </w:r>
    </w:p>
    <w:p w14:paraId="53C35BAB">
      <w:pPr>
        <w:widowControl/>
        <w:jc w:val="left"/>
        <w:rPr>
          <w:rStyle w:val="26"/>
          <w:rFonts w:ascii="黑体" w:hAnsi="黑体" w:eastAsia="黑体" w:cs="黑体"/>
          <w:b w:val="0"/>
          <w:bCs/>
          <w:color w:val="000000"/>
          <w:highlight w:val="none"/>
        </w:rPr>
      </w:pPr>
      <w:r>
        <w:rPr>
          <w:rFonts w:ascii="黑体" w:hAnsi="黑体" w:eastAsia="黑体" w:cs="Times New Roman"/>
          <w:b w:val="0"/>
          <w:bCs/>
          <w:color w:val="000000"/>
          <w:sz w:val="44"/>
          <w:szCs w:val="44"/>
          <w:lang w:val="en-US" w:eastAsia="zh-CN"/>
        </w:rPr>
        <w:t>第二部分 2025年度单位决算情况说明</w:t>
      </w:r>
    </w:p>
    <w:p w14:paraId="17CF3004">
      <w:pPr>
        <w:pStyle w:val="36"/>
        <w:numPr>
          <w:ilvl w:val="0"/>
          <w:numId w:val="3"/>
        </w:numPr>
        <w:spacing w:line="600" w:lineRule="exact"/>
        <w:outlineLvl w:val="1"/>
        <w:rPr>
          <w:rStyle w:val="27"/>
          <w:rFonts w:ascii="黑体" w:hAnsi="黑体" w:eastAsia="黑体" w:cs="黑体"/>
          <w:b w:val="0"/>
          <w:color w:val="000000"/>
          <w:highlight w:val="none"/>
        </w:rPr>
      </w:pPr>
      <w:bookmarkStart w:id="5" w:name="__RefHeading___Toc17538"/>
      <w:bookmarkEnd w:id="5"/>
      <w:r>
        <w:rPr>
          <w:rFonts w:ascii="黑体" w:hAnsi="黑体" w:eastAsia="黑体" w:cs="黑体"/>
          <w:color w:val="000000"/>
          <w:sz w:val="32"/>
          <w:szCs w:val="32"/>
        </w:rPr>
        <w:t>收</w:t>
      </w:r>
      <w:r>
        <w:rPr>
          <w:rStyle w:val="27"/>
          <w:rFonts w:ascii="黑体" w:hAnsi="黑体" w:eastAsia="黑体" w:cs="黑体"/>
          <w:b w:val="0"/>
          <w:color w:val="000000"/>
        </w:rPr>
        <w:t>入支出决算总体情况说明</w:t>
      </w:r>
    </w:p>
    <w:p w14:paraId="51DF0544">
      <w:pPr>
        <w:spacing w:line="600" w:lineRule="exact"/>
        <w:ind w:firstLine="640"/>
        <w:rPr>
          <w:rFonts w:ascii="仿宋" w:hAnsi="仿宋" w:eastAsia="仿宋" w:cs="仿宋"/>
          <w:color w:val="000000"/>
          <w:sz w:val="32"/>
          <w:szCs w:val="32"/>
          <w:lang w:val="en-US" w:eastAsia="zh-CN"/>
        </w:rPr>
      </w:pPr>
      <w:r>
        <w:rPr>
          <w:rFonts w:ascii="仿宋" w:hAnsi="仿宋" w:eastAsia="仿宋" w:cs="仿宋"/>
          <w:color w:val="000000"/>
          <w:sz w:val="32"/>
          <w:szCs w:val="32"/>
        </w:rPr>
        <w:t>2025年度收入总计58.10万元、支出总计58.10万元。与2024年收入71.47万元相比，收入减少13.37万元，下降18.71%、与2024年支出71.47万元相比，支出减少13.37万元，下降18.71%。主要变动原因是：厉行节约，减少开支。</w:t>
      </w:r>
    </w:p>
    <w:p w14:paraId="4814F111">
      <w:pPr>
        <w:keepNext w:val="0"/>
        <w:keepLines w:val="0"/>
        <w:widowControl/>
        <w:shd w:val="clear" w:fill="FFFFFF"/>
        <w:spacing w:before="0" w:after="0" w:line="600" w:lineRule="atLeast"/>
        <w:ind w:right="0"/>
        <w:jc w:val="left"/>
        <w:rPr>
          <w:rFonts w:ascii="仿宋" w:hAnsi="仿宋" w:eastAsia="仿宋" w:cs="仿宋"/>
          <w:i w:val="0"/>
          <w:iCs w:val="0"/>
          <w:caps w:val="0"/>
          <w:smallCaps w:val="0"/>
          <w:color w:val="000000"/>
          <w:spacing w:val="0"/>
          <w:kern w:val="0"/>
          <w:sz w:val="32"/>
          <w:szCs w:val="32"/>
          <w:shd w:val="clear" w:fill="FFFFFF"/>
          <w:lang w:val="en-US" w:eastAsia="zh-CN" w:bidi="ar"/>
        </w:rPr>
      </w:pPr>
      <w:r>
        <w:drawing>
          <wp:inline distT="0" distB="0" distL="114300" distR="114300">
            <wp:extent cx="4663440" cy="2221230"/>
            <wp:effectExtent l="4445" t="4445" r="18415" b="2222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8F5A87">
      <w:pPr>
        <w:rPr>
          <w:lang w:val="en-US" w:eastAsia="zh-CN"/>
        </w:rPr>
      </w:pPr>
    </w:p>
    <w:p w14:paraId="5033021F">
      <w:pPr>
        <w:keepNext w:val="0"/>
        <w:keepLines w:val="0"/>
        <w:widowControl/>
        <w:shd w:val="clear" w:fill="FFFFFF"/>
        <w:spacing w:before="0" w:after="0" w:line="600" w:lineRule="atLeast"/>
        <w:ind w:left="0" w:right="0" w:firstLine="640"/>
        <w:jc w:val="left"/>
        <w:rPr>
          <w:rFonts w:ascii="仿宋_GB2312" w:hAnsi="仿宋_GB2312" w:eastAsia="仿宋_GB2312"/>
          <w:color w:val="000000"/>
          <w:sz w:val="32"/>
          <w:szCs w:val="32"/>
          <w:highlight w:val="none"/>
        </w:rPr>
      </w:pPr>
      <w:r>
        <w:rPr>
          <w:rFonts w:ascii="仿宋" w:hAnsi="仿宋" w:eastAsia="仿宋" w:cs="仿宋"/>
          <w:i w:val="0"/>
          <w:iCs w:val="0"/>
          <w:caps w:val="0"/>
          <w:smallCaps w:val="0"/>
          <w:color w:val="000000"/>
          <w:spacing w:val="0"/>
          <w:kern w:val="0"/>
          <w:sz w:val="32"/>
          <w:szCs w:val="32"/>
          <w:shd w:val="clear" w:fill="FFFFFF"/>
          <w:lang w:val="en-US" w:eastAsia="zh-CN" w:bidi="ar"/>
        </w:rPr>
        <w:t>（图1：收、支决算总计变动情况图）（柱状图）</w:t>
      </w:r>
    </w:p>
    <w:p w14:paraId="3AC50B99">
      <w:pPr>
        <w:pStyle w:val="36"/>
        <w:numPr>
          <w:ilvl w:val="0"/>
          <w:numId w:val="3"/>
        </w:numPr>
        <w:spacing w:line="600" w:lineRule="exact"/>
        <w:outlineLvl w:val="1"/>
        <w:rPr>
          <w:rStyle w:val="27"/>
          <w:rFonts w:ascii="黑体" w:hAnsi="黑体" w:eastAsia="黑体" w:cs="黑体"/>
          <w:b w:val="0"/>
          <w:color w:val="000000"/>
          <w:highlight w:val="none"/>
        </w:rPr>
      </w:pPr>
      <w:bookmarkStart w:id="6" w:name="__RefHeading___Toc18452"/>
      <w:bookmarkEnd w:id="6"/>
      <w:r>
        <w:rPr>
          <w:rFonts w:ascii="黑体" w:hAnsi="黑体" w:eastAsia="黑体" w:cs="黑体"/>
          <w:color w:val="000000"/>
          <w:sz w:val="32"/>
          <w:szCs w:val="32"/>
        </w:rPr>
        <w:t>收</w:t>
      </w:r>
      <w:r>
        <w:rPr>
          <w:rStyle w:val="27"/>
          <w:rFonts w:ascii="黑体" w:hAnsi="黑体" w:eastAsia="黑体" w:cs="黑体"/>
          <w:b w:val="0"/>
          <w:color w:val="000000"/>
        </w:rPr>
        <w:t>入决算情况说明</w:t>
      </w:r>
    </w:p>
    <w:p w14:paraId="652BAC48">
      <w:pPr>
        <w:spacing w:line="600" w:lineRule="exact"/>
        <w:ind w:firstLine="640"/>
        <w:rPr>
          <w:rFonts w:ascii="仿宋" w:hAnsi="仿宋" w:eastAsia="仿宋" w:cs="仿宋"/>
          <w:color w:val="000000"/>
          <w:sz w:val="32"/>
          <w:szCs w:val="32"/>
          <w:lang w:val="en-US" w:eastAsia="zh-CN"/>
        </w:rPr>
      </w:pPr>
      <w:r>
        <w:rPr>
          <w:rFonts w:ascii="仿宋" w:hAnsi="仿宋" w:eastAsia="仿宋" w:cs="仿宋"/>
          <w:color w:val="000000"/>
          <w:sz w:val="32"/>
          <w:szCs w:val="32"/>
        </w:rPr>
        <w:t>2025年本年收入合58.10万元，其中：一般公共预算财政拨款收入58.10万元，占100.00%；政府性基金预算财政拨款收入0万元，占0%；上级补助收入0万元，占0%；事业收入0万元，占0%；经营收入0万元，占0%；附属单位上缴收入0万元，占0%；其他收入0万元，占0%。</w:t>
      </w:r>
    </w:p>
    <w:p w14:paraId="0EED9976">
      <w:pPr>
        <w:spacing w:line="600" w:lineRule="exact"/>
        <w:rPr>
          <w:rFonts w:ascii="仿宋" w:hAnsi="仿宋" w:eastAsia="仿宋" w:cs="仿宋"/>
          <w:color w:val="000000"/>
          <w:sz w:val="32"/>
          <w:szCs w:val="32"/>
          <w:lang w:val="en-US" w:eastAsia="zh-CN"/>
        </w:rPr>
      </w:pPr>
    </w:p>
    <w:p w14:paraId="5E39525B">
      <w:pPr>
        <w:keepNext w:val="0"/>
        <w:keepLines w:val="0"/>
        <w:widowControl/>
        <w:shd w:val="clear" w:fill="FFFFFF"/>
        <w:spacing w:before="0" w:after="0" w:line="600" w:lineRule="atLeast"/>
        <w:ind w:left="0" w:right="0" w:firstLine="640"/>
        <w:jc w:val="left"/>
        <w:rPr>
          <w:rFonts w:ascii="仿宋_GB2312" w:hAnsi="仿宋_GB2312" w:eastAsia="仿宋_GB2312"/>
          <w:color w:val="000000"/>
          <w:sz w:val="32"/>
          <w:szCs w:val="32"/>
          <w:highlight w:val="none"/>
        </w:rPr>
      </w:pPr>
      <w:r>
        <w:drawing>
          <wp:anchor distT="0" distB="0" distL="114935" distR="114935" simplePos="0" relativeHeight="251659264" behindDoc="0" locked="0" layoutInCell="0" allowOverlap="1">
            <wp:simplePos x="0" y="0"/>
            <wp:positionH relativeFrom="column">
              <wp:posOffset>302260</wp:posOffset>
            </wp:positionH>
            <wp:positionV relativeFrom="paragraph">
              <wp:posOffset>358775</wp:posOffset>
            </wp:positionV>
            <wp:extent cx="4765675" cy="2110105"/>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srcRect l="-564" t="12347" r="-8" b="-13"/>
                    <a:stretch>
                      <a:fillRect/>
                    </a:stretch>
                  </pic:blipFill>
                  <pic:spPr>
                    <a:xfrm>
                      <a:off x="0" y="0"/>
                      <a:ext cx="4765675" cy="2110105"/>
                    </a:xfrm>
                    <a:prstGeom prst="rect">
                      <a:avLst/>
                    </a:prstGeom>
                  </pic:spPr>
                </pic:pic>
              </a:graphicData>
            </a:graphic>
          </wp:anchor>
        </w:drawing>
      </w:r>
      <w:r>
        <w:rPr>
          <w:rFonts w:ascii="仿宋" w:hAnsi="仿宋" w:eastAsia="仿宋" w:cs="仿宋"/>
          <w:i w:val="0"/>
          <w:iCs w:val="0"/>
          <w:caps w:val="0"/>
          <w:smallCaps w:val="0"/>
          <w:color w:val="000000"/>
          <w:spacing w:val="0"/>
          <w:kern w:val="0"/>
          <w:sz w:val="32"/>
          <w:szCs w:val="32"/>
          <w:shd w:val="clear" w:fill="FFFFFF"/>
          <w:lang w:val="en-US" w:eastAsia="zh-CN" w:bidi="ar"/>
        </w:rPr>
        <w:t>（图2：收入决算结构图）（饼状图）</w:t>
      </w:r>
    </w:p>
    <w:p w14:paraId="624063DA">
      <w:pPr>
        <w:pStyle w:val="36"/>
        <w:numPr>
          <w:ilvl w:val="0"/>
          <w:numId w:val="3"/>
        </w:numPr>
        <w:spacing w:line="600" w:lineRule="exact"/>
        <w:outlineLvl w:val="1"/>
        <w:rPr>
          <w:rStyle w:val="27"/>
          <w:rFonts w:ascii="黑体" w:hAnsi="黑体" w:eastAsia="黑体" w:cs="黑体"/>
          <w:b w:val="0"/>
          <w:color w:val="000000"/>
          <w:highlight w:val="none"/>
        </w:rPr>
      </w:pPr>
      <w:bookmarkStart w:id="7" w:name="__RefHeading___Toc9341"/>
      <w:bookmarkEnd w:id="7"/>
      <w:r>
        <w:rPr>
          <w:rFonts w:ascii="黑体" w:hAnsi="黑体" w:eastAsia="黑体" w:cs="黑体"/>
          <w:color w:val="000000"/>
          <w:sz w:val="32"/>
          <w:szCs w:val="32"/>
        </w:rPr>
        <w:t>支</w:t>
      </w:r>
      <w:r>
        <w:rPr>
          <w:rStyle w:val="27"/>
          <w:rFonts w:ascii="黑体" w:hAnsi="黑体" w:eastAsia="黑体" w:cs="黑体"/>
          <w:b w:val="0"/>
          <w:color w:val="000000"/>
        </w:rPr>
        <w:t>出决算情况说明</w:t>
      </w:r>
    </w:p>
    <w:p w14:paraId="0D33CAE4">
      <w:pPr>
        <w:numPr>
          <w:ilvl w:val="0"/>
          <w:numId w:val="0"/>
        </w:numPr>
        <w:spacing w:line="600" w:lineRule="exact"/>
        <w:ind w:firstLine="640"/>
        <w:outlineLvl w:val="1"/>
        <w:rPr>
          <w:rFonts w:ascii="仿宋" w:hAnsi="仿宋" w:eastAsia="仿宋" w:cs="仿宋"/>
          <w:color w:val="000000"/>
          <w:sz w:val="32"/>
          <w:szCs w:val="32"/>
          <w:highlight w:val="none"/>
        </w:rPr>
      </w:pPr>
      <w:bookmarkStart w:id="8" w:name="__RefHeading___Toc18967"/>
      <w:bookmarkEnd w:id="8"/>
      <w:r>
        <w:rPr>
          <w:rFonts w:ascii="仿宋" w:hAnsi="仿宋" w:eastAsia="仿宋" w:cs="仿宋"/>
          <w:color w:val="000000"/>
          <w:sz w:val="32"/>
          <w:szCs w:val="32"/>
        </w:rPr>
        <w:t>2025年本年支出合计58.10万元，其中：基本支出58.10万元，占100.00%；项目支出0万元，占0%；上缴上级支出0万元，占0%；经营支出0万元，占0%；对附属单位补助支出0万元，占0%。</w:t>
      </w:r>
    </w:p>
    <w:p w14:paraId="002A887B">
      <w:pPr>
        <w:spacing w:line="600" w:lineRule="exact"/>
        <w:rPr>
          <w:rFonts w:ascii="仿宋" w:hAnsi="仿宋" w:eastAsia="仿宋" w:cs="仿宋"/>
          <w:b/>
          <w:color w:val="000000"/>
          <w:sz w:val="32"/>
          <w:szCs w:val="32"/>
          <w:highlight w:val="none"/>
          <w:lang w:eastAsia="zh-CN"/>
        </w:rPr>
      </w:pPr>
      <w:r>
        <w:rPr>
          <w:rFonts w:ascii="仿宋" w:hAnsi="仿宋" w:eastAsia="仿宋" w:cs="仿宋"/>
          <w:b/>
          <w:color w:val="000000"/>
          <w:sz w:val="32"/>
          <w:szCs w:val="32"/>
          <w:lang w:eastAsia="zh-CN"/>
        </w:rPr>
        <w:drawing>
          <wp:anchor distT="0" distB="0" distL="114935" distR="114935" simplePos="0" relativeHeight="251659264" behindDoc="0" locked="0" layoutInCell="0" allowOverlap="1">
            <wp:simplePos x="0" y="0"/>
            <wp:positionH relativeFrom="column">
              <wp:posOffset>640715</wp:posOffset>
            </wp:positionH>
            <wp:positionV relativeFrom="paragraph">
              <wp:posOffset>108585</wp:posOffset>
            </wp:positionV>
            <wp:extent cx="3307715" cy="2016125"/>
            <wp:effectExtent l="0" t="0" r="0" b="0"/>
            <wp:wrapNone/>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10"/>
                    <a:srcRect l="-7" t="-12" r="-7" b="-12"/>
                    <a:stretch>
                      <a:fillRect/>
                    </a:stretch>
                  </pic:blipFill>
                  <pic:spPr>
                    <a:xfrm>
                      <a:off x="0" y="0"/>
                      <a:ext cx="3307715" cy="2016125"/>
                    </a:xfrm>
                    <a:prstGeom prst="rect">
                      <a:avLst/>
                    </a:prstGeom>
                  </pic:spPr>
                </pic:pic>
              </a:graphicData>
            </a:graphic>
          </wp:anchor>
        </w:drawing>
      </w:r>
    </w:p>
    <w:p w14:paraId="3DA6C01F">
      <w:pPr>
        <w:spacing w:line="600" w:lineRule="exact"/>
        <w:ind w:firstLine="640"/>
        <w:rPr>
          <w:rFonts w:ascii="仿宋" w:hAnsi="仿宋" w:eastAsia="仿宋" w:cs="仿宋"/>
          <w:b/>
          <w:color w:val="000000"/>
          <w:sz w:val="32"/>
          <w:szCs w:val="32"/>
          <w:highlight w:val="none"/>
          <w:shd w:val="clear" w:fill="E5E5E5"/>
        </w:rPr>
      </w:pPr>
    </w:p>
    <w:p w14:paraId="15C8E8C0">
      <w:pPr>
        <w:spacing w:line="600" w:lineRule="exact"/>
        <w:ind w:firstLine="640"/>
        <w:rPr>
          <w:rFonts w:ascii="仿宋" w:hAnsi="仿宋" w:eastAsia="仿宋" w:cs="仿宋"/>
          <w:color w:val="000000"/>
          <w:sz w:val="32"/>
          <w:szCs w:val="32"/>
          <w:highlight w:val="none"/>
          <w:shd w:val="clear" w:fill="E5E5E5"/>
        </w:rPr>
      </w:pPr>
    </w:p>
    <w:p w14:paraId="3B8A95AA">
      <w:pPr>
        <w:spacing w:line="600" w:lineRule="exact"/>
        <w:rPr>
          <w:rFonts w:ascii="仿宋" w:hAnsi="仿宋" w:eastAsia="仿宋" w:cs="仿宋"/>
          <w:color w:val="000000"/>
          <w:sz w:val="32"/>
          <w:szCs w:val="32"/>
          <w:highlight w:val="none"/>
          <w:lang w:eastAsia="zh-CN"/>
        </w:rPr>
      </w:pPr>
    </w:p>
    <w:p w14:paraId="43F13BE1">
      <w:pPr>
        <w:spacing w:line="600" w:lineRule="exact"/>
        <w:ind w:firstLine="640"/>
        <w:rPr>
          <w:rFonts w:ascii="仿宋" w:hAnsi="仿宋" w:eastAsia="仿宋" w:cs="仿宋"/>
          <w:color w:val="000000"/>
          <w:sz w:val="32"/>
          <w:szCs w:val="32"/>
          <w:highlight w:val="none"/>
          <w:lang w:eastAsia="zh-CN"/>
        </w:rPr>
      </w:pPr>
    </w:p>
    <w:p w14:paraId="24251A6B">
      <w:pPr>
        <w:spacing w:line="600" w:lineRule="exact"/>
        <w:ind w:firstLine="640"/>
        <w:rPr>
          <w:rFonts w:ascii="仿宋" w:hAnsi="仿宋" w:eastAsia="仿宋" w:cs="仿宋"/>
          <w:color w:val="000000"/>
          <w:sz w:val="32"/>
          <w:szCs w:val="32"/>
          <w:highlight w:val="none"/>
        </w:rPr>
      </w:pPr>
    </w:p>
    <w:p w14:paraId="343DBE90">
      <w:pPr>
        <w:spacing w:line="600" w:lineRule="exact"/>
        <w:ind w:firstLine="640"/>
        <w:rPr>
          <w:rFonts w:ascii="仿宋_GB2312" w:hAnsi="仿宋_GB2312" w:eastAsia="仿宋_GB2312"/>
          <w:color w:val="000000"/>
          <w:sz w:val="32"/>
          <w:szCs w:val="32"/>
          <w:highlight w:val="none"/>
        </w:rPr>
      </w:pPr>
      <w:r>
        <w:rPr>
          <w:rFonts w:ascii="仿宋" w:hAnsi="仿宋" w:eastAsia="仿宋" w:cs="仿宋"/>
          <w:color w:val="000000"/>
          <w:sz w:val="32"/>
          <w:szCs w:val="32"/>
        </w:rPr>
        <w:t>（图3：支出决算结构图）（饼状图）</w:t>
      </w:r>
    </w:p>
    <w:p w14:paraId="7E851340">
      <w:pPr>
        <w:numPr>
          <w:ilvl w:val="0"/>
          <w:numId w:val="0"/>
        </w:numPr>
        <w:spacing w:line="600" w:lineRule="exact"/>
        <w:ind w:firstLine="640"/>
        <w:outlineLvl w:val="1"/>
        <w:rPr>
          <w:rStyle w:val="27"/>
          <w:rFonts w:ascii="黑体" w:hAnsi="黑体" w:eastAsia="黑体" w:cs="黑体"/>
          <w:b w:val="0"/>
          <w:color w:val="000000"/>
          <w:highlight w:val="none"/>
        </w:rPr>
      </w:pPr>
      <w:bookmarkStart w:id="9" w:name="__RefHeading___Toc6202"/>
      <w:bookmarkEnd w:id="9"/>
      <w:r>
        <w:rPr>
          <w:rFonts w:ascii="黑体" w:hAnsi="黑体" w:eastAsia="黑体" w:cs="黑体"/>
          <w:color w:val="000000"/>
          <w:sz w:val="32"/>
          <w:szCs w:val="32"/>
        </w:rPr>
        <w:t>四、财</w:t>
      </w:r>
      <w:r>
        <w:rPr>
          <w:rStyle w:val="27"/>
          <w:rFonts w:ascii="黑体" w:hAnsi="黑体" w:eastAsia="黑体" w:cs="黑体"/>
          <w:b w:val="0"/>
          <w:color w:val="000000"/>
        </w:rPr>
        <w:t>政拨款收入支出决算总体情况说明</w:t>
      </w:r>
    </w:p>
    <w:p w14:paraId="44BF7EFD">
      <w:pPr>
        <w:spacing w:line="600" w:lineRule="exact"/>
        <w:ind w:firstLine="640"/>
        <w:rPr>
          <w:rFonts w:ascii="仿宋" w:hAnsi="仿宋" w:eastAsia="仿宋" w:cs="仿宋"/>
          <w:color w:val="000000"/>
          <w:sz w:val="32"/>
          <w:szCs w:val="32"/>
          <w:lang w:val="en-US" w:eastAsia="zh-CN"/>
        </w:rPr>
      </w:pPr>
      <w:r>
        <w:rPr>
          <w:rFonts w:ascii="仿宋" w:hAnsi="仿宋" w:eastAsia="仿宋" w:cs="仿宋"/>
          <w:color w:val="000000"/>
          <w:sz w:val="32"/>
          <w:szCs w:val="32"/>
        </w:rPr>
        <w:t>2025年度收入总计58.10万元、支出总计58.10万元。与2024年收入71.47万元相比，收入减少13.37万元，下降18.71%、与2024年支出71.47万元相比，支出减少13.37万元，下降18.71%。主要变动原因是：厉行节约，减少开支。</w:t>
      </w:r>
    </w:p>
    <w:p w14:paraId="33A43936">
      <w:pPr>
        <w:keepNext w:val="0"/>
        <w:keepLines w:val="0"/>
        <w:widowControl/>
        <w:shd w:val="clear" w:fill="FFFFFF"/>
        <w:spacing w:before="0" w:after="0" w:line="240" w:lineRule="auto"/>
        <w:ind w:left="0" w:right="0" w:firstLine="0"/>
        <w:jc w:val="left"/>
        <w:rPr>
          <w:rFonts w:ascii="仿宋_GB2312" w:hAnsi="仿宋_GB2312" w:eastAsia="仿宋_GB2312"/>
          <w:color w:val="000000"/>
          <w:sz w:val="32"/>
          <w:szCs w:val="32"/>
          <w:highlight w:val="none"/>
        </w:rPr>
      </w:pPr>
      <w:r>
        <w:drawing>
          <wp:inline distT="0" distB="0" distL="114300" distR="114300">
            <wp:extent cx="4663440" cy="2221230"/>
            <wp:effectExtent l="4445" t="4445" r="18415" b="22225"/>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E1384FD">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rPr>
        <w:t>（图4：财政拨款收、支决算总计变动情况）（柱状图）</w:t>
      </w:r>
    </w:p>
    <w:p w14:paraId="0B74B9E3">
      <w:pPr>
        <w:numPr>
          <w:ilvl w:val="0"/>
          <w:numId w:val="0"/>
        </w:numPr>
        <w:spacing w:line="600" w:lineRule="exact"/>
        <w:ind w:firstLine="640"/>
        <w:outlineLvl w:val="1"/>
        <w:rPr>
          <w:rStyle w:val="27"/>
          <w:rFonts w:ascii="黑体" w:hAnsi="黑体" w:eastAsia="黑体" w:cs="黑体"/>
          <w:b w:val="0"/>
          <w:color w:val="000000"/>
          <w:highlight w:val="none"/>
        </w:rPr>
      </w:pPr>
      <w:bookmarkStart w:id="10" w:name="__RefHeading___Toc25262"/>
      <w:bookmarkEnd w:id="10"/>
      <w:r>
        <w:rPr>
          <w:rFonts w:ascii="黑体" w:hAnsi="黑体" w:eastAsia="黑体" w:cs="黑体"/>
          <w:color w:val="000000"/>
          <w:sz w:val="32"/>
          <w:szCs w:val="32"/>
        </w:rPr>
        <w:t>五、</w:t>
      </w:r>
      <w:r>
        <w:rPr>
          <w:rFonts w:ascii="黑体" w:hAnsi="黑体" w:eastAsia="黑体" w:cs="黑体"/>
          <w:b/>
          <w:color w:val="000000"/>
          <w:sz w:val="32"/>
          <w:szCs w:val="32"/>
        </w:rPr>
        <w:t>一</w:t>
      </w:r>
      <w:r>
        <w:rPr>
          <w:rStyle w:val="27"/>
          <w:rFonts w:ascii="黑体" w:hAnsi="黑体" w:eastAsia="黑体" w:cs="黑体"/>
          <w:b w:val="0"/>
          <w:color w:val="000000"/>
        </w:rPr>
        <w:t>般公共预算财政拨款支出决算情况说明</w:t>
      </w:r>
    </w:p>
    <w:p w14:paraId="5D874F85">
      <w:pPr>
        <w:numPr>
          <w:ilvl w:val="0"/>
          <w:numId w:val="0"/>
        </w:numPr>
        <w:spacing w:line="600" w:lineRule="exact"/>
        <w:ind w:firstLine="643"/>
        <w:outlineLvl w:val="2"/>
        <w:rPr>
          <w:rFonts w:ascii="仿宋" w:hAnsi="仿宋" w:eastAsia="仿宋" w:cs="仿宋"/>
          <w:b/>
          <w:color w:val="000000"/>
          <w:sz w:val="32"/>
          <w:szCs w:val="32"/>
          <w:highlight w:val="none"/>
        </w:rPr>
      </w:pPr>
      <w:bookmarkStart w:id="11" w:name="__RefHeading___Toc20392"/>
      <w:bookmarkEnd w:id="11"/>
      <w:r>
        <w:rPr>
          <w:rFonts w:ascii="仿宋" w:hAnsi="仿宋" w:eastAsia="仿宋" w:cs="仿宋"/>
          <w:b/>
          <w:color w:val="000000"/>
          <w:sz w:val="32"/>
          <w:szCs w:val="32"/>
        </w:rPr>
        <w:t>（一）一般公共预算财政拨款支出决算总体情况</w:t>
      </w:r>
    </w:p>
    <w:p w14:paraId="6B5DA7D0">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2025年一般公共预算财政拨款支出58.10万元，占本年支出合计的100%。与2024年相比，一般公共预算财政拨款支出减少13.37万元，下降18.71%。主要变动原因是：厉行节约，减少开支。</w:t>
      </w:r>
    </w:p>
    <w:p w14:paraId="51104DEC">
      <w:pPr>
        <w:numPr>
          <w:ilvl w:val="0"/>
          <w:numId w:val="0"/>
        </w:numPr>
        <w:spacing w:line="600" w:lineRule="exact"/>
        <w:ind w:firstLine="643"/>
        <w:outlineLvl w:val="2"/>
        <w:rPr>
          <w:rFonts w:ascii="仿宋" w:hAnsi="仿宋" w:eastAsia="仿宋" w:cs="仿宋"/>
          <w:b/>
          <w:color w:val="000000"/>
          <w:sz w:val="32"/>
          <w:szCs w:val="32"/>
          <w:highlight w:val="none"/>
        </w:rPr>
      </w:pPr>
      <w:bookmarkStart w:id="12" w:name="__RefHeading___Toc8937"/>
      <w:bookmarkEnd w:id="12"/>
      <w:r>
        <w:rPr>
          <w:rFonts w:ascii="仿宋" w:hAnsi="仿宋" w:eastAsia="仿宋" w:cs="仿宋"/>
          <w:b/>
          <w:color w:val="000000"/>
          <w:sz w:val="32"/>
          <w:szCs w:val="32"/>
        </w:rPr>
        <w:t>（二）一般公共预算财政拨款支出决算结构情况</w:t>
      </w:r>
    </w:p>
    <w:p w14:paraId="04764E69">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支出58.10万元，主要用于以下方面:一般公共服务支出44.86万元，占77.21%；教育支出0万元，占0%；科学技术支出0万元，占0%；文化旅游体育与传媒支出0万元，占0%；社会保障和就业支出5.86万元，占10.09%；卫生健康支出2.74万元，占4.72%；住房保障支出4.64万元，占7.99%。</w:t>
      </w:r>
    </w:p>
    <w:p w14:paraId="3F437522">
      <w:pPr>
        <w:spacing w:line="600" w:lineRule="exact"/>
        <w:ind w:firstLine="640"/>
        <w:rPr>
          <w:rFonts w:ascii="仿宋" w:hAnsi="仿宋" w:eastAsia="仿宋" w:cs="仿宋"/>
          <w:b/>
          <w:color w:val="000000"/>
          <w:sz w:val="32"/>
          <w:szCs w:val="32"/>
          <w:highlight w:val="none"/>
          <w:lang w:eastAsia="zh-CN"/>
        </w:rPr>
      </w:pPr>
      <w:r>
        <w:rPr>
          <w:rFonts w:ascii="仿宋" w:hAnsi="仿宋" w:eastAsia="仿宋" w:cs="仿宋"/>
          <w:b/>
          <w:color w:val="000000"/>
          <w:sz w:val="32"/>
          <w:szCs w:val="32"/>
          <w:lang w:eastAsia="zh-CN"/>
        </w:rPr>
        <w:drawing>
          <wp:anchor distT="0" distB="0" distL="114935" distR="114935" simplePos="0" relativeHeight="251659264" behindDoc="0" locked="0" layoutInCell="0" allowOverlap="1">
            <wp:simplePos x="0" y="0"/>
            <wp:positionH relativeFrom="column">
              <wp:posOffset>407670</wp:posOffset>
            </wp:positionH>
            <wp:positionV relativeFrom="paragraph">
              <wp:posOffset>236220</wp:posOffset>
            </wp:positionV>
            <wp:extent cx="4870450" cy="2968625"/>
            <wp:effectExtent l="0" t="0" r="0" b="0"/>
            <wp:wrapNone/>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noChangeArrowheads="1"/>
                    </pic:cNvPicPr>
                  </pic:nvPicPr>
                  <pic:blipFill>
                    <a:blip r:embed="rId12"/>
                    <a:srcRect l="-7" t="-12" r="-7" b="-12"/>
                    <a:stretch>
                      <a:fillRect/>
                    </a:stretch>
                  </pic:blipFill>
                  <pic:spPr>
                    <a:xfrm>
                      <a:off x="0" y="0"/>
                      <a:ext cx="4870450" cy="2968625"/>
                    </a:xfrm>
                    <a:prstGeom prst="rect">
                      <a:avLst/>
                    </a:prstGeom>
                  </pic:spPr>
                </pic:pic>
              </a:graphicData>
            </a:graphic>
          </wp:anchor>
        </w:drawing>
      </w:r>
    </w:p>
    <w:p w14:paraId="79F5C27D">
      <w:pPr>
        <w:spacing w:line="600" w:lineRule="exact"/>
        <w:ind w:firstLine="640"/>
        <w:rPr>
          <w:rFonts w:ascii="仿宋" w:hAnsi="仿宋" w:eastAsia="仿宋" w:cs="仿宋"/>
          <w:b/>
          <w:color w:val="000000"/>
          <w:sz w:val="32"/>
          <w:szCs w:val="32"/>
          <w:highlight w:val="none"/>
        </w:rPr>
      </w:pPr>
    </w:p>
    <w:p w14:paraId="71825620">
      <w:pPr>
        <w:spacing w:line="600" w:lineRule="exact"/>
        <w:ind w:firstLine="640"/>
        <w:rPr>
          <w:rFonts w:ascii="仿宋" w:hAnsi="仿宋" w:eastAsia="仿宋" w:cs="仿宋"/>
          <w:color w:val="000000"/>
          <w:sz w:val="32"/>
          <w:szCs w:val="32"/>
          <w:highlight w:val="none"/>
        </w:rPr>
      </w:pPr>
    </w:p>
    <w:p w14:paraId="4FE85BC4">
      <w:pPr>
        <w:spacing w:line="600" w:lineRule="exact"/>
        <w:ind w:firstLine="640"/>
        <w:rPr>
          <w:rFonts w:ascii="仿宋" w:hAnsi="仿宋" w:eastAsia="仿宋" w:cs="仿宋"/>
          <w:color w:val="000000"/>
          <w:sz w:val="32"/>
          <w:szCs w:val="32"/>
          <w:highlight w:val="none"/>
        </w:rPr>
      </w:pPr>
    </w:p>
    <w:p w14:paraId="7053CBE4">
      <w:pPr>
        <w:spacing w:line="600" w:lineRule="exact"/>
        <w:ind w:firstLine="640"/>
        <w:rPr>
          <w:rFonts w:ascii="仿宋" w:hAnsi="仿宋" w:eastAsia="仿宋" w:cs="仿宋"/>
          <w:color w:val="000000"/>
          <w:sz w:val="32"/>
          <w:szCs w:val="32"/>
          <w:highlight w:val="none"/>
        </w:rPr>
      </w:pPr>
    </w:p>
    <w:p w14:paraId="07F25837">
      <w:pPr>
        <w:spacing w:line="600" w:lineRule="exact"/>
        <w:ind w:firstLine="640"/>
        <w:rPr>
          <w:rFonts w:ascii="仿宋" w:hAnsi="仿宋" w:eastAsia="仿宋" w:cs="仿宋"/>
          <w:color w:val="000000"/>
          <w:sz w:val="32"/>
          <w:szCs w:val="32"/>
          <w:highlight w:val="none"/>
          <w:lang w:eastAsia="zh-CN"/>
        </w:rPr>
      </w:pPr>
    </w:p>
    <w:p w14:paraId="752382CD">
      <w:pPr>
        <w:spacing w:line="600" w:lineRule="exact"/>
        <w:rPr>
          <w:rFonts w:ascii="仿宋" w:hAnsi="仿宋" w:eastAsia="仿宋" w:cs="仿宋"/>
          <w:color w:val="000000"/>
          <w:sz w:val="32"/>
          <w:szCs w:val="32"/>
          <w:highlight w:val="none"/>
          <w:lang w:eastAsia="zh-CN"/>
        </w:rPr>
      </w:pPr>
    </w:p>
    <w:p w14:paraId="1266E16F">
      <w:pPr>
        <w:spacing w:line="600" w:lineRule="exact"/>
        <w:ind w:firstLine="640"/>
        <w:rPr>
          <w:rFonts w:ascii="仿宋" w:hAnsi="仿宋" w:eastAsia="仿宋" w:cs="仿宋"/>
          <w:color w:val="000000"/>
          <w:sz w:val="32"/>
          <w:szCs w:val="32"/>
          <w:highlight w:val="none"/>
        </w:rPr>
      </w:pPr>
    </w:p>
    <w:p w14:paraId="14FC778F">
      <w:pPr>
        <w:spacing w:line="600" w:lineRule="exact"/>
        <w:ind w:firstLine="640"/>
        <w:rPr>
          <w:rFonts w:ascii="仿宋" w:hAnsi="仿宋" w:eastAsia="仿宋" w:cs="仿宋"/>
          <w:color w:val="000000"/>
          <w:sz w:val="32"/>
          <w:szCs w:val="32"/>
          <w:highlight w:val="none"/>
        </w:rPr>
      </w:pPr>
    </w:p>
    <w:p w14:paraId="35446B0C">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w:t>
      </w:r>
      <w:r>
        <w:rPr>
          <w:rFonts w:ascii="仿宋" w:hAnsi="仿宋" w:eastAsia="仿宋" w:cs="仿宋"/>
          <w:color w:val="000000"/>
          <w:sz w:val="32"/>
          <w:szCs w:val="32"/>
          <w:lang w:val="en-US" w:eastAsia="zh-CN"/>
        </w:rPr>
        <w:t>5</w:t>
      </w:r>
      <w:r>
        <w:rPr>
          <w:rFonts w:ascii="仿宋" w:hAnsi="仿宋" w:eastAsia="仿宋" w:cs="仿宋"/>
          <w:color w:val="000000"/>
          <w:sz w:val="32"/>
          <w:szCs w:val="32"/>
        </w:rPr>
        <w:t>：一般公共预算财政拨款支出决算结构）（饼状图）</w:t>
      </w:r>
    </w:p>
    <w:p w14:paraId="777D5F09">
      <w:pPr>
        <w:spacing w:line="600" w:lineRule="exact"/>
        <w:ind w:firstLine="640"/>
        <w:rPr>
          <w:rFonts w:ascii="仿宋" w:hAnsi="仿宋" w:eastAsia="仿宋" w:cs="仿宋"/>
          <w:color w:val="000000"/>
          <w:sz w:val="32"/>
          <w:szCs w:val="32"/>
          <w:highlight w:val="none"/>
        </w:rPr>
      </w:pPr>
    </w:p>
    <w:p w14:paraId="233D5580">
      <w:pPr>
        <w:numPr>
          <w:ilvl w:val="0"/>
          <w:numId w:val="0"/>
        </w:numPr>
        <w:spacing w:line="600" w:lineRule="exact"/>
        <w:ind w:firstLine="643"/>
        <w:outlineLvl w:val="2"/>
        <w:rPr>
          <w:rFonts w:ascii="仿宋" w:hAnsi="仿宋" w:eastAsia="仿宋" w:cs="仿宋"/>
          <w:b/>
          <w:color w:val="000000"/>
          <w:sz w:val="32"/>
          <w:szCs w:val="32"/>
          <w:highlight w:val="none"/>
        </w:rPr>
      </w:pPr>
      <w:bookmarkStart w:id="13" w:name="__RefHeading___Toc7436"/>
      <w:bookmarkEnd w:id="13"/>
      <w:r>
        <w:rPr>
          <w:rFonts w:ascii="仿宋" w:hAnsi="仿宋" w:eastAsia="仿宋" w:cs="仿宋"/>
          <w:b/>
          <w:color w:val="000000"/>
          <w:sz w:val="32"/>
          <w:szCs w:val="32"/>
        </w:rPr>
        <w:t>（三）一般公共预算财政拨款支出决算具体情况</w:t>
      </w:r>
    </w:p>
    <w:p w14:paraId="33BFB097">
      <w:pPr>
        <w:numPr>
          <w:ilvl w:val="0"/>
          <w:numId w:val="0"/>
        </w:numPr>
        <w:spacing w:line="600" w:lineRule="exact"/>
        <w:ind w:firstLine="643"/>
        <w:outlineLvl w:val="2"/>
        <w:rPr>
          <w:rStyle w:val="28"/>
          <w:rFonts w:ascii="仿宋" w:hAnsi="仿宋" w:eastAsia="仿宋" w:cs="仿宋"/>
          <w:bCs/>
          <w:color w:val="000000"/>
          <w:sz w:val="32"/>
          <w:szCs w:val="32"/>
          <w:highlight w:val="none"/>
        </w:rPr>
      </w:pPr>
      <w:bookmarkStart w:id="14" w:name="__RefHeading___Toc19359"/>
      <w:bookmarkEnd w:id="14"/>
      <w:r>
        <w:rPr>
          <w:rFonts w:ascii="仿宋" w:hAnsi="仿宋" w:eastAsia="仿宋" w:cs="仿宋"/>
          <w:b/>
          <w:color w:val="000000"/>
          <w:sz w:val="32"/>
          <w:szCs w:val="32"/>
          <w:lang w:eastAsia="zh-CN"/>
        </w:rPr>
        <w:t>2025年度一般公共预算支出决算数为58.10万元，完成预算100%。其中：</w:t>
      </w:r>
    </w:p>
    <w:p w14:paraId="2AC12E07">
      <w:pPr>
        <w:numPr>
          <w:ilvl w:val="0"/>
          <w:numId w:val="0"/>
        </w:numPr>
        <w:spacing w:line="600" w:lineRule="exact"/>
        <w:ind w:firstLine="643"/>
        <w:outlineLvl w:val="2"/>
        <w:rPr>
          <w:rStyle w:val="28"/>
          <w:rFonts w:ascii="仿宋" w:hAnsi="仿宋" w:eastAsia="仿宋" w:cs="仿宋"/>
          <w:b w:val="0"/>
          <w:bCs/>
          <w:color w:val="000000"/>
          <w:sz w:val="32"/>
          <w:szCs w:val="32"/>
          <w:highlight w:val="none"/>
        </w:rPr>
      </w:pPr>
      <w:bookmarkStart w:id="15" w:name="__RefHeading___Toc16096"/>
      <w:bookmarkEnd w:id="15"/>
      <w:r>
        <w:rPr>
          <w:rStyle w:val="28"/>
          <w:rFonts w:ascii="仿宋" w:hAnsi="仿宋" w:eastAsia="仿宋" w:cs="仿宋"/>
          <w:bCs/>
          <w:color w:val="000000"/>
          <w:sz w:val="32"/>
          <w:szCs w:val="32"/>
        </w:rPr>
        <w:t>1.一般公共服务（</w:t>
      </w:r>
      <w:r>
        <w:rPr>
          <w:rStyle w:val="28"/>
          <w:rFonts w:ascii="仿宋" w:hAnsi="仿宋" w:eastAsia="仿宋" w:cs="仿宋"/>
          <w:bCs/>
          <w:color w:val="000000"/>
          <w:sz w:val="32"/>
          <w:szCs w:val="32"/>
          <w:lang w:val="en-US" w:eastAsia="zh-CN"/>
        </w:rPr>
        <w:t>201</w:t>
      </w:r>
      <w:r>
        <w:rPr>
          <w:rStyle w:val="28"/>
          <w:rFonts w:ascii="仿宋" w:hAnsi="仿宋" w:eastAsia="仿宋" w:cs="仿宋"/>
          <w:bCs/>
          <w:color w:val="000000"/>
          <w:sz w:val="32"/>
          <w:szCs w:val="32"/>
        </w:rPr>
        <w:t>）</w:t>
      </w:r>
      <w:r>
        <w:rPr>
          <w:rStyle w:val="28"/>
          <w:rFonts w:ascii="仿宋" w:hAnsi="仿宋" w:eastAsia="仿宋" w:cs="仿宋"/>
          <w:bCs/>
          <w:color w:val="000000"/>
          <w:sz w:val="32"/>
          <w:szCs w:val="32"/>
          <w:lang w:eastAsia="zh-CN"/>
        </w:rPr>
        <w:t>：</w:t>
      </w:r>
    </w:p>
    <w:p w14:paraId="17188F95">
      <w:pPr>
        <w:numPr>
          <w:ilvl w:val="0"/>
          <w:numId w:val="0"/>
        </w:numPr>
        <w:spacing w:line="600" w:lineRule="exact"/>
        <w:ind w:firstLine="643"/>
        <w:outlineLvl w:val="2"/>
        <w:rPr>
          <w:rFonts w:ascii="仿宋" w:hAnsi="仿宋" w:eastAsia="仿宋" w:cs="仿宋"/>
          <w:b/>
          <w:color w:val="000000"/>
          <w:sz w:val="32"/>
          <w:szCs w:val="32"/>
          <w:highlight w:val="none"/>
        </w:rPr>
      </w:pPr>
      <w:bookmarkStart w:id="16" w:name="__RefHeading___Toc9824"/>
      <w:bookmarkEnd w:id="16"/>
      <w:r>
        <w:rPr>
          <w:rFonts w:ascii="仿宋" w:hAnsi="仿宋" w:eastAsia="仿宋" w:cs="仿宋"/>
          <w:b/>
          <w:color w:val="000000"/>
          <w:sz w:val="32"/>
          <w:szCs w:val="24"/>
          <w:highlight w:val="white"/>
          <w:lang w:val="en-US" w:eastAsia="zh-CN"/>
        </w:rPr>
        <w:t>事业运行（2010150）：支出决算为44.86万元，完成预算100%，与预算数持平。</w:t>
      </w:r>
    </w:p>
    <w:p w14:paraId="1AD5FCF3">
      <w:pPr>
        <w:spacing w:line="600" w:lineRule="exact"/>
        <w:ind w:firstLine="643"/>
        <w:rPr>
          <w:rStyle w:val="28"/>
          <w:rFonts w:ascii="仿宋" w:hAnsi="仿宋" w:eastAsia="仿宋" w:cs="仿宋"/>
          <w:b w:val="0"/>
          <w:bCs/>
          <w:color w:val="000000"/>
          <w:sz w:val="32"/>
          <w:szCs w:val="32"/>
          <w:highlight w:val="none"/>
        </w:rPr>
      </w:pPr>
      <w:r>
        <w:rPr>
          <w:rStyle w:val="28"/>
          <w:rFonts w:ascii="仿宋" w:hAnsi="仿宋" w:eastAsia="仿宋" w:cs="仿宋"/>
          <w:bCs/>
          <w:color w:val="000000"/>
          <w:sz w:val="32"/>
          <w:szCs w:val="32"/>
        </w:rPr>
        <w:t>2.教育（类）***（款）***（项）:</w:t>
      </w:r>
      <w:r>
        <w:rPr>
          <w:rStyle w:val="28"/>
          <w:rFonts w:ascii="仿宋" w:hAnsi="仿宋" w:eastAsia="仿宋" w:cs="仿宋"/>
          <w:b w:val="0"/>
          <w:bCs/>
          <w:color w:val="000000"/>
          <w:sz w:val="32"/>
          <w:szCs w:val="32"/>
        </w:rPr>
        <w:t xml:space="preserve"> 支出决算为**万元，完成预算**%，决算数小于/等于预算数的主要原因是…。</w:t>
      </w:r>
    </w:p>
    <w:p w14:paraId="70D760DD">
      <w:pPr>
        <w:spacing w:line="600" w:lineRule="exact"/>
        <w:ind w:firstLine="640"/>
        <w:rPr>
          <w:rStyle w:val="28"/>
          <w:rFonts w:ascii="仿宋" w:hAnsi="仿宋" w:eastAsia="仿宋" w:cs="仿宋"/>
          <w:b w:val="0"/>
          <w:bCs/>
          <w:color w:val="000000"/>
          <w:sz w:val="32"/>
          <w:szCs w:val="32"/>
          <w:highlight w:val="none"/>
          <w:lang w:val="en-US" w:eastAsia="zh-CN"/>
        </w:rPr>
      </w:pPr>
      <w:r>
        <w:rPr>
          <w:rStyle w:val="28"/>
          <w:rFonts w:ascii="仿宋" w:hAnsi="仿宋" w:eastAsia="仿宋" w:cs="仿宋"/>
          <w:b w:val="0"/>
          <w:bCs/>
          <w:color w:val="000000"/>
          <w:sz w:val="32"/>
          <w:szCs w:val="32"/>
          <w:lang w:val="en-US" w:eastAsia="zh-CN"/>
        </w:rPr>
        <w:t>此项本单位不涉及</w:t>
      </w:r>
    </w:p>
    <w:p w14:paraId="53BFDD68">
      <w:pPr>
        <w:numPr>
          <w:ilvl w:val="0"/>
          <w:numId w:val="0"/>
        </w:numPr>
        <w:spacing w:line="600" w:lineRule="exact"/>
        <w:ind w:left="0" w:firstLine="643"/>
        <w:rPr>
          <w:rStyle w:val="28"/>
          <w:rFonts w:ascii="仿宋" w:hAnsi="仿宋" w:eastAsia="仿宋" w:cs="仿宋"/>
          <w:b w:val="0"/>
          <w:bCs/>
          <w:color w:val="000000"/>
          <w:sz w:val="32"/>
          <w:szCs w:val="32"/>
          <w:highlight w:val="none"/>
        </w:rPr>
      </w:pPr>
      <w:r>
        <w:rPr>
          <w:rStyle w:val="28"/>
          <w:rFonts w:ascii="仿宋" w:hAnsi="仿宋" w:eastAsia="仿宋" w:cs="仿宋"/>
          <w:bCs/>
          <w:color w:val="000000"/>
          <w:sz w:val="32"/>
          <w:szCs w:val="32"/>
          <w:lang w:val="en-US" w:eastAsia="zh-CN"/>
        </w:rPr>
        <w:t>3、</w:t>
      </w:r>
      <w:r>
        <w:rPr>
          <w:rStyle w:val="28"/>
          <w:rFonts w:ascii="仿宋" w:hAnsi="仿宋" w:eastAsia="仿宋" w:cs="仿宋"/>
          <w:bCs/>
          <w:color w:val="000000"/>
          <w:sz w:val="32"/>
          <w:szCs w:val="32"/>
        </w:rPr>
        <w:t>科学技术（类）***（款）***（项）:</w:t>
      </w:r>
      <w:r>
        <w:rPr>
          <w:rStyle w:val="28"/>
          <w:rFonts w:ascii="仿宋" w:hAnsi="仿宋" w:eastAsia="仿宋" w:cs="仿宋"/>
          <w:b w:val="0"/>
          <w:bCs/>
          <w:color w:val="000000"/>
          <w:sz w:val="32"/>
          <w:szCs w:val="32"/>
        </w:rPr>
        <w:t xml:space="preserve"> 支出决算**万元，完成预算**%，决算数小于/等于预算数的主要原因是…。</w:t>
      </w:r>
    </w:p>
    <w:p w14:paraId="37E38986">
      <w:pPr>
        <w:spacing w:line="600" w:lineRule="exact"/>
        <w:ind w:firstLine="640"/>
        <w:rPr>
          <w:rStyle w:val="28"/>
          <w:rFonts w:ascii="仿宋" w:hAnsi="仿宋" w:eastAsia="仿宋" w:cs="仿宋"/>
          <w:b w:val="0"/>
          <w:bCs/>
          <w:color w:val="000000"/>
          <w:sz w:val="32"/>
          <w:szCs w:val="32"/>
          <w:highlight w:val="none"/>
        </w:rPr>
      </w:pPr>
      <w:r>
        <w:rPr>
          <w:rStyle w:val="28"/>
          <w:rFonts w:ascii="仿宋" w:hAnsi="仿宋" w:eastAsia="仿宋" w:cs="仿宋"/>
          <w:b w:val="0"/>
          <w:bCs/>
          <w:color w:val="000000"/>
          <w:sz w:val="32"/>
          <w:szCs w:val="32"/>
          <w:lang w:val="en-US" w:eastAsia="zh-CN"/>
        </w:rPr>
        <w:t>此项本单位不涉及</w:t>
      </w:r>
    </w:p>
    <w:p w14:paraId="66E1D27C">
      <w:pPr>
        <w:numPr>
          <w:ilvl w:val="0"/>
          <w:numId w:val="0"/>
        </w:numPr>
        <w:spacing w:line="600" w:lineRule="exact"/>
        <w:ind w:left="0" w:firstLine="643"/>
        <w:rPr>
          <w:rStyle w:val="28"/>
          <w:rFonts w:ascii="仿宋" w:hAnsi="仿宋" w:eastAsia="仿宋" w:cs="仿宋"/>
          <w:b w:val="0"/>
          <w:bCs/>
          <w:color w:val="000000"/>
          <w:sz w:val="32"/>
          <w:szCs w:val="32"/>
          <w:highlight w:val="none"/>
        </w:rPr>
      </w:pPr>
      <w:r>
        <w:rPr>
          <w:rStyle w:val="28"/>
          <w:rFonts w:ascii="仿宋" w:hAnsi="仿宋" w:eastAsia="仿宋" w:cs="仿宋"/>
          <w:bCs/>
          <w:color w:val="000000"/>
          <w:sz w:val="32"/>
          <w:szCs w:val="32"/>
          <w:lang w:val="en-US" w:eastAsia="zh-CN"/>
        </w:rPr>
        <w:t>4、</w:t>
      </w:r>
      <w:r>
        <w:rPr>
          <w:rStyle w:val="28"/>
          <w:rFonts w:ascii="仿宋" w:hAnsi="仿宋" w:eastAsia="仿宋" w:cs="仿宋"/>
          <w:bCs/>
          <w:color w:val="000000"/>
          <w:sz w:val="32"/>
          <w:szCs w:val="32"/>
        </w:rPr>
        <w:t>文化旅游体育与传媒（类）***（款）***（项）:</w:t>
      </w:r>
      <w:r>
        <w:rPr>
          <w:rStyle w:val="28"/>
          <w:rFonts w:ascii="仿宋" w:hAnsi="仿宋" w:eastAsia="仿宋" w:cs="仿宋"/>
          <w:b w:val="0"/>
          <w:bCs/>
          <w:color w:val="000000"/>
          <w:sz w:val="32"/>
          <w:szCs w:val="32"/>
        </w:rPr>
        <w:t xml:space="preserve"> </w:t>
      </w:r>
    </w:p>
    <w:p w14:paraId="400BA536">
      <w:pPr>
        <w:numPr>
          <w:ilvl w:val="0"/>
          <w:numId w:val="0"/>
        </w:numPr>
        <w:spacing w:line="600" w:lineRule="exact"/>
        <w:ind w:left="0" w:firstLine="640"/>
        <w:rPr>
          <w:rStyle w:val="28"/>
          <w:rFonts w:ascii="仿宋" w:hAnsi="仿宋" w:eastAsia="仿宋" w:cs="仿宋"/>
          <w:b w:val="0"/>
          <w:bCs/>
          <w:color w:val="000000"/>
          <w:sz w:val="32"/>
          <w:szCs w:val="32"/>
          <w:highlight w:val="none"/>
        </w:rPr>
      </w:pPr>
      <w:r>
        <w:rPr>
          <w:rStyle w:val="28"/>
          <w:rFonts w:ascii="仿宋" w:hAnsi="仿宋" w:eastAsia="仿宋" w:cs="仿宋"/>
          <w:b w:val="0"/>
          <w:bCs/>
          <w:color w:val="000000"/>
          <w:sz w:val="32"/>
          <w:szCs w:val="32"/>
        </w:rPr>
        <w:t>支出决算为**万元，完成预算**%，决算数小于/等于预算数的主要原因是…。</w:t>
      </w:r>
    </w:p>
    <w:p w14:paraId="6B2181E4">
      <w:pPr>
        <w:spacing w:line="600" w:lineRule="exact"/>
        <w:ind w:firstLine="640"/>
        <w:rPr>
          <w:rStyle w:val="28"/>
          <w:rFonts w:ascii="仿宋" w:hAnsi="仿宋" w:eastAsia="仿宋" w:cs="仿宋"/>
          <w:b w:val="0"/>
          <w:bCs/>
          <w:color w:val="000000"/>
          <w:sz w:val="32"/>
          <w:szCs w:val="32"/>
          <w:highlight w:val="none"/>
        </w:rPr>
      </w:pPr>
      <w:r>
        <w:rPr>
          <w:rStyle w:val="28"/>
          <w:rFonts w:ascii="仿宋" w:hAnsi="仿宋" w:eastAsia="仿宋" w:cs="仿宋"/>
          <w:b w:val="0"/>
          <w:bCs/>
          <w:color w:val="000000"/>
          <w:sz w:val="32"/>
          <w:szCs w:val="32"/>
          <w:lang w:val="en-US" w:eastAsia="zh-CN"/>
        </w:rPr>
        <w:t>此项本单位不涉及</w:t>
      </w:r>
    </w:p>
    <w:p w14:paraId="2249FA5B">
      <w:pPr>
        <w:spacing w:before="300" w:after="0" w:line="600" w:lineRule="atLeast"/>
        <w:ind w:firstLine="643"/>
        <w:rPr>
          <w:rStyle w:val="28"/>
          <w:rFonts w:ascii="仿宋" w:hAnsi="仿宋" w:eastAsia="仿宋" w:cs="仿宋"/>
          <w:b w:val="0"/>
          <w:bCs/>
          <w:color w:val="000000"/>
          <w:sz w:val="32"/>
          <w:szCs w:val="32"/>
          <w:lang w:val="en-US" w:eastAsia="zh-CN"/>
        </w:rPr>
      </w:pPr>
      <w:r>
        <w:rPr>
          <w:rStyle w:val="28"/>
          <w:rFonts w:ascii="仿宋" w:hAnsi="仿宋" w:eastAsia="仿宋" w:cs="仿宋"/>
          <w:bCs/>
          <w:color w:val="000000"/>
          <w:sz w:val="32"/>
          <w:szCs w:val="32"/>
        </w:rPr>
        <w:t>5.社会保障和就业支出（208）: 支出决算为5.86万元，完成预算100%，其中：机关事业单位基本养老保险缴费支出（2080505）: 支出决算为4.74万元，完成预算100%，与预算数持平。机关事业单位职业年金缴费支出（2080506）：支出决算为1.12万元，完成预算100%，与预算数持平。</w:t>
      </w:r>
    </w:p>
    <w:p w14:paraId="50246A57">
      <w:pPr>
        <w:spacing w:line="600" w:lineRule="exact"/>
        <w:ind w:firstLine="643"/>
        <w:rPr>
          <w:rFonts w:ascii="仿宋" w:hAnsi="仿宋" w:eastAsia="仿宋" w:cs="仿宋"/>
          <w:b/>
          <w:color w:val="000000"/>
          <w:sz w:val="32"/>
          <w:szCs w:val="32"/>
          <w:highlight w:val="none"/>
          <w:lang w:val="en-US" w:eastAsia="zh-CN"/>
        </w:rPr>
      </w:pPr>
      <w:r>
        <w:rPr>
          <w:rStyle w:val="28"/>
          <w:rFonts w:ascii="仿宋" w:hAnsi="仿宋" w:eastAsia="仿宋" w:cs="仿宋"/>
          <w:bCs/>
          <w:color w:val="000000"/>
          <w:sz w:val="32"/>
          <w:szCs w:val="32"/>
        </w:rPr>
        <w:t>6.卫生健康支出（210）:支出决算为2.74万元，完成预算100%，其中：事业单位医疗（2101102）支出决算为2.35万元，完成预算100%，与预算数持平。其他行政事业单位医疗支出（2101199）支出决算为0.39万元，完成预算100%，与预算数持平。</w:t>
      </w:r>
    </w:p>
    <w:p w14:paraId="2DBC5450">
      <w:pPr>
        <w:spacing w:line="600" w:lineRule="exact"/>
        <w:ind w:firstLine="643"/>
        <w:rPr>
          <w:rFonts w:ascii="仿宋" w:hAnsi="仿宋" w:eastAsia="仿宋" w:cs="仿宋"/>
          <w:b/>
          <w:color w:val="000000"/>
          <w:sz w:val="32"/>
          <w:szCs w:val="32"/>
          <w:highlight w:val="none"/>
        </w:rPr>
      </w:pPr>
      <w:r>
        <w:rPr>
          <w:rStyle w:val="28"/>
          <w:rFonts w:ascii="仿宋" w:hAnsi="仿宋" w:eastAsia="仿宋" w:cs="仿宋"/>
          <w:bCs/>
          <w:color w:val="000000"/>
          <w:sz w:val="32"/>
          <w:szCs w:val="32"/>
        </w:rPr>
        <w:t>6.住房保障支出（住房公积金2210201）:支出决算为4.64万元，完成预算100%，</w:t>
      </w:r>
    </w:p>
    <w:p w14:paraId="6B9DBE3A">
      <w:pPr>
        <w:numPr>
          <w:ilvl w:val="0"/>
          <w:numId w:val="0"/>
        </w:numPr>
        <w:tabs>
          <w:tab w:val="right" w:pos="8306"/>
        </w:tabs>
        <w:spacing w:line="600" w:lineRule="exact"/>
        <w:ind w:firstLine="640"/>
        <w:outlineLvl w:val="1"/>
        <w:rPr>
          <w:rStyle w:val="27"/>
          <w:color w:val="000000"/>
          <w:highlight w:val="none"/>
        </w:rPr>
      </w:pPr>
      <w:bookmarkStart w:id="17" w:name="__RefHeading___Toc12680"/>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27"/>
          <w:rFonts w:ascii="黑体" w:hAnsi="黑体" w:eastAsia="黑体" w:cs="黑体"/>
          <w:b w:val="0"/>
          <w:color w:val="000000"/>
        </w:rPr>
        <w:t>般公共预算财政拨款基本支出决算情况说明</w:t>
      </w:r>
      <w:bookmarkEnd w:id="17"/>
      <w:r>
        <w:rPr>
          <w:rStyle w:val="27"/>
          <w:rFonts w:ascii="黑体" w:hAnsi="黑体" w:eastAsia="黑体" w:cs="黑体"/>
          <w:b w:val="0"/>
          <w:color w:val="000000"/>
        </w:rPr>
        <w:tab/>
      </w:r>
    </w:p>
    <w:p w14:paraId="55FC3D7F">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58.10万元，其中：人员经费53.11万元，主要包括：基本工资14.01万元、津贴补贴4.99万元、奖金14.98万元、伙食补助费0万元、绩效工资5.64万元、机关事业单位基本养老保险缴费4.74万元、职业年金缴费1.12万元、职工基本医疗保险经费2.35万元，公务员医疗补助经费0.39万元，其他社会保障缴费0.26万元、其他工资福利支出0万元、离休费0万元、退休费0万元、抚恤金0万元、生活补助0万元、医疗费补助0万元、奖励金0.01万元、住房公积金4.64万元、其他对个人和家庭的补助0万元。</w:t>
      </w:r>
      <w:r>
        <w:rPr>
          <w:rFonts w:ascii="仿宋" w:hAnsi="仿宋" w:eastAsia="仿宋" w:cs="仿宋"/>
          <w:color w:val="000000"/>
          <w:sz w:val="32"/>
          <w:szCs w:val="32"/>
          <w:lang w:eastAsia="zh-CN"/>
        </w:rPr>
        <w:br w:type="textWrapping"/>
      </w:r>
      <w:r>
        <w:rPr>
          <w:rFonts w:ascii="仿宋" w:hAnsi="仿宋" w:eastAsia="仿宋" w:cs="仿宋"/>
          <w:color w:val="000000"/>
          <w:sz w:val="32"/>
          <w:szCs w:val="32"/>
          <w:lang w:eastAsia="zh-CN"/>
        </w:rPr>
        <w:t>　　公用经费4.99万元，主要包括：办公费0.07万元、印刷费0万元、咨询费0万元、手续费0万元、水费0万元、电费0万元、邮电费0万元、取暖费0万元、物业管理费0万元、差旅费4.32万元、因公出国（境）费用0万元、维修（护）费0万元、租赁费0万元、会议费0万元、培训费0万元、公务接待费0万元、劳务费0万元、委托业务费0万元、工会经费0万元、福利费0万元、公务用车运行维护费0万元、其他交通费用0.60万元、税金及附加费用0万元、其他商品和服务支出0万元、办公设备购置0万元、专用设备购置0万元、信息网络及软件购置更新0万元、其他资本性支出0万元等。</w:t>
      </w:r>
    </w:p>
    <w:p w14:paraId="66B59708">
      <w:pPr>
        <w:numPr>
          <w:ilvl w:val="0"/>
          <w:numId w:val="0"/>
        </w:numPr>
        <w:spacing w:line="600" w:lineRule="exact"/>
        <w:ind w:firstLine="640"/>
        <w:outlineLvl w:val="1"/>
        <w:rPr>
          <w:rStyle w:val="27"/>
          <w:rFonts w:ascii="黑体" w:hAnsi="黑体" w:eastAsia="黑体" w:cs="黑体"/>
          <w:b w:val="0"/>
          <w:color w:val="000000"/>
          <w:highlight w:val="none"/>
        </w:rPr>
      </w:pPr>
      <w:bookmarkStart w:id="18" w:name="__RefHeading___Toc31432"/>
      <w:bookmarkEnd w:id="18"/>
      <w:r>
        <w:rPr>
          <w:rFonts w:ascii="黑体" w:hAnsi="黑体" w:eastAsia="黑体"/>
          <w:color w:val="000000"/>
          <w:sz w:val="32"/>
          <w:szCs w:val="32"/>
        </w:rPr>
        <w:t>七、</w:t>
      </w:r>
      <w:r>
        <w:rPr>
          <w:rStyle w:val="27"/>
          <w:rFonts w:ascii="黑体" w:hAnsi="黑体" w:eastAsia="黑体" w:cs="黑体"/>
          <w:b w:val="0"/>
          <w:color w:val="000000"/>
        </w:rPr>
        <w:t>财政拨款</w:t>
      </w:r>
      <w:r>
        <w:rPr>
          <w:rStyle w:val="27"/>
          <w:rFonts w:ascii="黑体" w:hAnsi="黑体" w:eastAsia="黑体" w:cs="黑体"/>
          <w:color w:val="000000"/>
        </w:rPr>
        <w:t>“</w:t>
      </w:r>
      <w:r>
        <w:rPr>
          <w:rStyle w:val="27"/>
          <w:rFonts w:ascii="黑体" w:hAnsi="黑体" w:eastAsia="黑体" w:cs="黑体"/>
          <w:b w:val="0"/>
          <w:color w:val="000000"/>
        </w:rPr>
        <w:t>三公”经费支出决算情况说明</w:t>
      </w:r>
    </w:p>
    <w:p w14:paraId="0CE10B3E">
      <w:pPr>
        <w:numPr>
          <w:ilvl w:val="0"/>
          <w:numId w:val="0"/>
        </w:numPr>
        <w:spacing w:line="600" w:lineRule="exact"/>
        <w:ind w:firstLine="640"/>
        <w:outlineLvl w:val="2"/>
        <w:rPr>
          <w:rFonts w:ascii="仿宋" w:hAnsi="仿宋" w:eastAsia="仿宋" w:cs="仿宋"/>
          <w:b/>
          <w:color w:val="000000"/>
          <w:sz w:val="32"/>
          <w:szCs w:val="32"/>
          <w:highlight w:val="none"/>
        </w:rPr>
      </w:pPr>
      <w:bookmarkStart w:id="19" w:name="__RefHeading___Toc4050"/>
      <w:bookmarkEnd w:id="19"/>
      <w:r>
        <w:rPr>
          <w:rFonts w:ascii="仿宋" w:hAnsi="仿宋" w:eastAsia="仿宋" w:cs="仿宋"/>
          <w:b/>
          <w:color w:val="000000"/>
          <w:sz w:val="32"/>
          <w:szCs w:val="32"/>
        </w:rPr>
        <w:t>（一）“三公”经费财政拨款支出决算总体情况说明</w:t>
      </w:r>
    </w:p>
    <w:p w14:paraId="07AD09D7">
      <w:pPr>
        <w:spacing w:line="600" w:lineRule="exact"/>
        <w:ind w:firstLine="640"/>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eastAsia="zh-CN"/>
        </w:rPr>
        <w:t>2025年度“三公”经费财政拨款支出决算为0万元，完成预算100%，较2024年度增加0万元，增长0%。</w:t>
      </w:r>
    </w:p>
    <w:p w14:paraId="4149A46B">
      <w:pPr>
        <w:pStyle w:val="2"/>
        <w:bidi w:val="0"/>
        <w:ind w:firstLine="643"/>
        <w:jc w:val="left"/>
        <w:rPr>
          <w:lang w:val="en-US"/>
        </w:rPr>
      </w:pPr>
      <w:r>
        <w:rPr>
          <w:rFonts w:ascii="仿宋" w:hAnsi="仿宋" w:eastAsia="仿宋" w:cs="仿宋"/>
          <w:color w:val="000000"/>
          <w:sz w:val="32"/>
          <w:szCs w:val="32"/>
          <w:lang w:val="en-US" w:eastAsia="zh-CN"/>
        </w:rPr>
        <w:t>本单位不涉及此项经费</w:t>
      </w:r>
    </w:p>
    <w:p w14:paraId="20D1DFBE">
      <w:pPr>
        <w:numPr>
          <w:ilvl w:val="0"/>
          <w:numId w:val="0"/>
        </w:numPr>
        <w:spacing w:line="600" w:lineRule="exact"/>
        <w:ind w:firstLine="640"/>
        <w:outlineLvl w:val="2"/>
        <w:rPr>
          <w:rFonts w:ascii="仿宋" w:hAnsi="仿宋" w:eastAsia="仿宋" w:cs="仿宋"/>
          <w:b/>
          <w:color w:val="000000"/>
          <w:sz w:val="32"/>
          <w:szCs w:val="32"/>
          <w:highlight w:val="none"/>
        </w:rPr>
      </w:pPr>
      <w:bookmarkStart w:id="20" w:name="__RefHeading___Toc11142"/>
      <w:bookmarkEnd w:id="20"/>
      <w:r>
        <w:rPr>
          <w:rFonts w:ascii="仿宋" w:hAnsi="仿宋" w:eastAsia="仿宋" w:cs="仿宋"/>
          <w:b/>
          <w:color w:val="000000"/>
          <w:sz w:val="32"/>
          <w:szCs w:val="32"/>
        </w:rPr>
        <w:t>（二）“三公”经费财政拨款支出决算具体情况说明</w:t>
      </w:r>
    </w:p>
    <w:p w14:paraId="4203D3BA">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2025年度“三公”经费财政拨款支出决算中，因公出国（境）费支出决算0万元，占0.00%；公务用车购置及运行维护费支出决算0万元，占0%；公务接待费支出决0万元，占0%。具体情况如下：</w:t>
      </w:r>
    </w:p>
    <w:p w14:paraId="431F155F">
      <w:pPr>
        <w:pStyle w:val="2"/>
        <w:bidi w:val="0"/>
        <w:ind w:firstLine="643"/>
        <w:jc w:val="left"/>
        <w:rPr>
          <w:rFonts w:ascii="仿宋" w:hAnsi="仿宋" w:eastAsia="仿宋" w:cs="仿宋"/>
          <w:color w:val="000000"/>
          <w:sz w:val="32"/>
          <w:szCs w:val="32"/>
          <w:highlight w:val="none"/>
          <w:lang w:val="en-US" w:eastAsia="zh-CN"/>
        </w:rPr>
      </w:pPr>
      <w:r>
        <w:rPr>
          <w:rFonts w:ascii="仿宋" w:hAnsi="仿宋" w:eastAsia="仿宋" w:cs="仿宋"/>
          <w:color w:val="000000"/>
          <w:sz w:val="32"/>
          <w:szCs w:val="32"/>
          <w:lang w:val="en-US" w:eastAsia="zh-CN"/>
        </w:rPr>
        <w:t>本单位不涉及此项经费</w:t>
      </w:r>
    </w:p>
    <w:p w14:paraId="05D08C19">
      <w:pPr>
        <w:spacing w:line="600" w:lineRule="exact"/>
        <w:ind w:firstLine="640"/>
        <w:rPr>
          <w:rFonts w:ascii="仿宋_GB2312" w:hAnsi="仿宋_GB2312" w:eastAsia="仿宋_GB2312"/>
          <w:color w:val="000000"/>
          <w:sz w:val="32"/>
          <w:szCs w:val="32"/>
          <w:highlight w:val="none"/>
          <w:lang w:val="en-US" w:eastAsia="zh-CN"/>
        </w:rPr>
      </w:pPr>
      <w:r>
        <w:rPr>
          <w:rFonts w:ascii="仿宋_GB2312" w:hAnsi="仿宋_GB2312" w:eastAsia="仿宋_GB2312"/>
          <w:b/>
          <w:color w:val="000000"/>
          <w:sz w:val="32"/>
          <w:szCs w:val="32"/>
        </w:rPr>
        <w:t>1.因公出国（境）经费支出0万元，完成预算100%。全年安排因公出国（境）团组0次，出国（境）0人。因公出国（境）支出决算比2024年无变化</w:t>
      </w:r>
    </w:p>
    <w:p w14:paraId="0FFD9B48">
      <w:pPr>
        <w:spacing w:line="600" w:lineRule="exact"/>
        <w:ind w:firstLine="640"/>
        <w:rPr>
          <w:rFonts w:ascii="仿宋_GB2312" w:hAnsi="仿宋_GB2312" w:eastAsia="仿宋_GB2312"/>
          <w:b/>
          <w:color w:val="000000"/>
          <w:sz w:val="32"/>
          <w:szCs w:val="32"/>
          <w:highlight w:val="none"/>
          <w:lang w:val="en-US"/>
        </w:rPr>
      </w:pPr>
      <w:r>
        <w:rPr>
          <w:rFonts w:ascii="仿宋_GB2312" w:hAnsi="仿宋_GB2312" w:eastAsia="仿宋_GB2312"/>
          <w:b/>
          <w:color w:val="000000"/>
          <w:sz w:val="32"/>
          <w:szCs w:val="32"/>
        </w:rPr>
        <w:t>2.公务用车购置及运行维护费支出0万元,完成预算100%。公务用车购置及运行维护费支出决算比2024年度增加0万元，增长0%。主要原因是：无</w:t>
      </w:r>
    </w:p>
    <w:p w14:paraId="6218308C">
      <w:pPr>
        <w:spacing w:line="600" w:lineRule="exact"/>
        <w:ind w:firstLine="640"/>
        <w:rPr>
          <w:rFonts w:ascii="仿宋_GB2312" w:hAnsi="仿宋_GB2312" w:eastAsia="仿宋_GB2312"/>
          <w:b/>
          <w:color w:val="000000"/>
          <w:sz w:val="32"/>
          <w:szCs w:val="32"/>
          <w:highlight w:val="none"/>
        </w:rPr>
      </w:pPr>
      <w:r>
        <w:rPr>
          <w:rFonts w:ascii="仿宋_GB2312" w:hAnsi="仿宋_GB2312" w:eastAsia="仿宋_GB2312"/>
          <w:color w:val="000000"/>
          <w:sz w:val="32"/>
          <w:szCs w:val="32"/>
        </w:rPr>
        <w:t>其中：公务用车购置支出0万元。全年按规定更新购置公务用车0辆，其中：轿车0辆、金额0元，越野车0辆、金额0元，载客汽车0辆、金额0万元，主要用于应急保障。截至2025年12月31日，单位共有公务用车0辆，其中：轿车0辆、越野车0辆、载客汽车0辆。</w:t>
      </w:r>
    </w:p>
    <w:p w14:paraId="72DFD1EE">
      <w:pPr>
        <w:widowControl/>
        <w:spacing w:line="480" w:lineRule="atLeast"/>
        <w:ind w:firstLine="700"/>
        <w:rPr>
          <w:rFonts w:ascii="仿宋_GB2312" w:hAnsi="仿宋_GB2312" w:eastAsia="仿宋_GB2312"/>
          <w:color w:val="000000"/>
          <w:sz w:val="32"/>
          <w:szCs w:val="32"/>
        </w:rPr>
      </w:pPr>
      <w:r>
        <w:rPr>
          <w:rFonts w:ascii="仿宋_GB2312" w:hAnsi="仿宋_GB2312" w:eastAsia="仿宋_GB2312"/>
          <w:b/>
          <w:color w:val="000000"/>
          <w:sz w:val="32"/>
          <w:szCs w:val="32"/>
        </w:rPr>
        <w:t>公务用车运行维护费支出0万元。本单位无公务用车，不涉及公务用车运行维护费支出。</w:t>
      </w:r>
    </w:p>
    <w:p w14:paraId="63174C23">
      <w:pPr>
        <w:spacing w:line="600" w:lineRule="exact"/>
        <w:ind w:firstLine="640"/>
        <w:rPr>
          <w:rFonts w:ascii="仿宋_GB2312" w:hAnsi="仿宋_GB2312" w:eastAsia="仿宋_GB2312"/>
          <w:color w:val="000000"/>
          <w:sz w:val="32"/>
          <w:szCs w:val="32"/>
          <w:highlight w:val="none"/>
        </w:rPr>
      </w:pPr>
      <w:r>
        <w:rPr>
          <w:rFonts w:ascii="仿宋_GB2312" w:hAnsi="仿宋_GB2312" w:eastAsia="仿宋_GB2312"/>
          <w:b/>
          <w:color w:val="000000"/>
          <w:sz w:val="32"/>
          <w:szCs w:val="32"/>
        </w:rPr>
        <w:t>3.公务接待费支出0.0万元，完成预算100%。公务接待费支出决算比2024年度增加0.0万元，增长100%。主要原因是:2024年未安排公务接待费。其中：</w:t>
      </w:r>
    </w:p>
    <w:p w14:paraId="70AB14CC">
      <w:pPr>
        <w:spacing w:line="600" w:lineRule="exact"/>
        <w:ind w:firstLine="640"/>
        <w:rPr>
          <w:rFonts w:ascii="仿宋_GB2312" w:hAnsi="仿宋_GB2312" w:eastAsia="仿宋_GB2312"/>
          <w:color w:val="000000"/>
          <w:sz w:val="32"/>
          <w:szCs w:val="32"/>
          <w:highlight w:val="none"/>
        </w:rPr>
      </w:pPr>
      <w:r>
        <w:rPr>
          <w:rFonts w:ascii="仿宋" w:hAnsi="仿宋" w:eastAsia="仿宋" w:cs="仿宋"/>
          <w:b/>
          <w:color w:val="000000"/>
          <w:sz w:val="32"/>
          <w:szCs w:val="32"/>
        </w:rPr>
        <w:t>国内公务接待支出</w:t>
      </w:r>
      <w:r>
        <w:rPr>
          <w:rFonts w:ascii="仿宋" w:hAnsi="仿宋" w:eastAsia="仿宋" w:cs="仿宋"/>
          <w:color w:val="000000"/>
          <w:sz w:val="32"/>
          <w:szCs w:val="32"/>
          <w:lang w:val="en-US" w:eastAsia="zh-CN"/>
        </w:rPr>
        <w:t>0.0</w:t>
      </w:r>
      <w:r>
        <w:rPr>
          <w:rFonts w:ascii="仿宋_GB2312" w:hAnsi="仿宋_GB2312" w:eastAsia="仿宋_GB2312"/>
          <w:color w:val="000000"/>
          <w:sz w:val="32"/>
          <w:szCs w:val="32"/>
        </w:rPr>
        <w:t>万元，主要用于执行公务、开展业务活动开支的交通费、住宿费、用餐费等。国内公务接待</w:t>
      </w:r>
      <w:r>
        <w:rPr>
          <w:rFonts w:ascii="仿宋_GB2312" w:hAnsi="仿宋_GB2312" w:eastAsia="仿宋_GB2312"/>
          <w:color w:val="000000"/>
          <w:sz w:val="32"/>
          <w:szCs w:val="32"/>
          <w:lang w:val="en-US" w:eastAsia="zh-CN"/>
        </w:rPr>
        <w:t>0</w:t>
      </w:r>
      <w:r>
        <w:rPr>
          <w:rFonts w:ascii="仿宋_GB2312" w:hAnsi="仿宋_GB2312" w:eastAsia="仿宋_GB2312"/>
          <w:color w:val="000000"/>
          <w:sz w:val="32"/>
          <w:szCs w:val="32"/>
        </w:rPr>
        <w:t>批次，</w:t>
      </w:r>
      <w:r>
        <w:rPr>
          <w:rFonts w:ascii="仿宋_GB2312" w:hAnsi="仿宋_GB2312" w:eastAsia="仿宋_GB2312"/>
          <w:color w:val="000000"/>
          <w:sz w:val="32"/>
          <w:szCs w:val="32"/>
          <w:lang w:val="en-US" w:eastAsia="zh-CN"/>
        </w:rPr>
        <w:t>0</w:t>
      </w:r>
      <w:r>
        <w:rPr>
          <w:rFonts w:ascii="仿宋_GB2312" w:hAnsi="仿宋_GB2312" w:eastAsia="仿宋_GB2312"/>
          <w:color w:val="000000"/>
          <w:sz w:val="32"/>
          <w:szCs w:val="32"/>
        </w:rPr>
        <w:t>人次（不包括陪同人员），共计支出</w:t>
      </w:r>
      <w:r>
        <w:rPr>
          <w:rFonts w:ascii="仿宋_GB2312" w:hAnsi="仿宋_GB2312" w:eastAsia="仿宋_GB2312"/>
          <w:color w:val="000000"/>
          <w:sz w:val="32"/>
          <w:szCs w:val="32"/>
          <w:lang w:val="en-US" w:eastAsia="zh-CN"/>
        </w:rPr>
        <w:t>0.0</w:t>
      </w:r>
      <w:r>
        <w:rPr>
          <w:rFonts w:ascii="仿宋_GB2312" w:hAnsi="仿宋_GB2312" w:eastAsia="仿宋_GB2312"/>
          <w:color w:val="000000"/>
          <w:sz w:val="32"/>
          <w:szCs w:val="32"/>
        </w:rPr>
        <w:t>万元。</w:t>
      </w:r>
    </w:p>
    <w:p w14:paraId="79446FA4">
      <w:pPr>
        <w:spacing w:line="600" w:lineRule="exact"/>
        <w:ind w:firstLine="643"/>
        <w:rPr>
          <w:rFonts w:ascii="仿宋_GB2312" w:hAnsi="仿宋_GB2312" w:eastAsia="仿宋_GB2312"/>
          <w:color w:val="000000"/>
          <w:sz w:val="32"/>
          <w:szCs w:val="32"/>
          <w:highlight w:val="none"/>
        </w:rPr>
      </w:pPr>
      <w:r>
        <w:rPr>
          <w:rFonts w:ascii="仿宋" w:hAnsi="仿宋" w:eastAsia="仿宋" w:cs="仿宋"/>
          <w:b/>
          <w:color w:val="000000"/>
          <w:sz w:val="32"/>
          <w:szCs w:val="32"/>
        </w:rPr>
        <w:t>外事接待支出</w:t>
      </w:r>
      <w:r>
        <w:rPr>
          <w:rFonts w:ascii="仿宋" w:hAnsi="仿宋" w:eastAsia="仿宋" w:cs="仿宋"/>
          <w:color w:val="000000"/>
          <w:sz w:val="32"/>
          <w:szCs w:val="32"/>
          <w:lang w:val="en-US" w:eastAsia="zh-CN"/>
        </w:rPr>
        <w:t>0</w:t>
      </w:r>
      <w:r>
        <w:rPr>
          <w:rFonts w:ascii="仿宋_GB2312" w:hAnsi="仿宋_GB2312" w:eastAsia="仿宋_GB2312"/>
          <w:color w:val="000000"/>
          <w:sz w:val="32"/>
          <w:szCs w:val="32"/>
        </w:rPr>
        <w:t>万元，主要用于接待…（具体项目）</w:t>
      </w:r>
      <w:r>
        <w:rPr>
          <w:rFonts w:ascii="仿宋_GB2312" w:hAnsi="仿宋_GB2312" w:eastAsia="仿宋_GB2312"/>
          <w:color w:val="000000"/>
          <w:sz w:val="32"/>
          <w:szCs w:val="32"/>
          <w:lang w:eastAsia="zh-CN"/>
        </w:rPr>
        <w:t>。</w:t>
      </w:r>
      <w:r>
        <w:rPr>
          <w:rFonts w:ascii="仿宋_GB2312" w:hAnsi="仿宋_GB2312" w:eastAsia="仿宋_GB2312"/>
          <w:color w:val="000000"/>
          <w:sz w:val="32"/>
          <w:szCs w:val="32"/>
        </w:rPr>
        <w:t>外事接待</w:t>
      </w:r>
      <w:r>
        <w:rPr>
          <w:rFonts w:ascii="仿宋_GB2312" w:hAnsi="仿宋_GB2312" w:eastAsia="仿宋_GB2312"/>
          <w:color w:val="000000"/>
          <w:sz w:val="32"/>
          <w:szCs w:val="32"/>
          <w:lang w:val="en-US" w:eastAsia="zh-CN"/>
        </w:rPr>
        <w:t>0</w:t>
      </w:r>
      <w:r>
        <w:rPr>
          <w:rFonts w:ascii="仿宋_GB2312" w:hAnsi="仿宋_GB2312" w:eastAsia="仿宋_GB2312"/>
          <w:color w:val="000000"/>
          <w:sz w:val="32"/>
          <w:szCs w:val="32"/>
        </w:rPr>
        <w:t>批次，</w:t>
      </w:r>
      <w:r>
        <w:rPr>
          <w:rFonts w:ascii="仿宋_GB2312" w:hAnsi="仿宋_GB2312" w:eastAsia="仿宋_GB2312"/>
          <w:color w:val="000000"/>
          <w:sz w:val="32"/>
          <w:szCs w:val="32"/>
          <w:lang w:val="en-US" w:eastAsia="zh-CN"/>
        </w:rPr>
        <w:t>0</w:t>
      </w:r>
      <w:r>
        <w:rPr>
          <w:rFonts w:ascii="仿宋_GB2312" w:hAnsi="仿宋_GB2312" w:eastAsia="仿宋_GB2312"/>
          <w:color w:val="000000"/>
          <w:sz w:val="32"/>
          <w:szCs w:val="32"/>
        </w:rPr>
        <w:t>人</w:t>
      </w:r>
      <w:r>
        <w:rPr>
          <w:rFonts w:ascii="仿宋_GB2312" w:hAnsi="仿宋_GB2312" w:eastAsia="仿宋_GB2312"/>
          <w:color w:val="000000"/>
          <w:sz w:val="32"/>
          <w:szCs w:val="32"/>
          <w:lang w:eastAsia="zh-CN"/>
        </w:rPr>
        <w:t>次（不包括陪同人员）</w:t>
      </w:r>
      <w:r>
        <w:rPr>
          <w:rFonts w:ascii="仿宋_GB2312" w:hAnsi="仿宋_GB2312" w:eastAsia="仿宋_GB2312"/>
          <w:color w:val="000000"/>
          <w:sz w:val="32"/>
          <w:szCs w:val="32"/>
        </w:rPr>
        <w:t>，共计支出</w:t>
      </w:r>
      <w:r>
        <w:rPr>
          <w:rFonts w:ascii="仿宋_GB2312" w:hAnsi="仿宋_GB2312" w:eastAsia="仿宋_GB2312"/>
          <w:color w:val="000000"/>
          <w:sz w:val="32"/>
          <w:szCs w:val="32"/>
          <w:lang w:val="en-US" w:eastAsia="zh-CN"/>
        </w:rPr>
        <w:t>0</w:t>
      </w:r>
      <w:r>
        <w:rPr>
          <w:rFonts w:ascii="仿宋_GB2312" w:hAnsi="仿宋_GB2312" w:eastAsia="仿宋_GB2312"/>
          <w:color w:val="000000"/>
          <w:sz w:val="32"/>
          <w:szCs w:val="32"/>
        </w:rPr>
        <w:t>万元。</w:t>
      </w:r>
    </w:p>
    <w:p w14:paraId="3BB3FB98">
      <w:pPr>
        <w:spacing w:line="600" w:lineRule="exact"/>
        <w:ind w:firstLine="640"/>
        <w:rPr>
          <w:rFonts w:ascii="黑体" w:hAnsi="黑体" w:eastAsia="黑体"/>
          <w:color w:val="000000"/>
          <w:sz w:val="32"/>
          <w:szCs w:val="32"/>
          <w:highlight w:val="none"/>
        </w:rPr>
      </w:pPr>
      <w:r>
        <w:rPr>
          <w:rFonts w:ascii="仿宋_GB2312" w:hAnsi="仿宋_GB2312" w:eastAsia="仿宋_GB2312"/>
          <w:color w:val="000000"/>
          <w:sz w:val="32"/>
          <w:szCs w:val="32"/>
          <w:lang w:val="en-US" w:eastAsia="zh-CN"/>
        </w:rPr>
        <w:t>本项本单位不涉及</w:t>
      </w:r>
    </w:p>
    <w:p w14:paraId="6357D86B">
      <w:pPr>
        <w:numPr>
          <w:ilvl w:val="0"/>
          <w:numId w:val="0"/>
        </w:numPr>
        <w:spacing w:line="600" w:lineRule="exact"/>
        <w:ind w:firstLine="640"/>
        <w:outlineLvl w:val="1"/>
        <w:rPr>
          <w:rStyle w:val="27"/>
          <w:rFonts w:ascii="黑体" w:hAnsi="黑体" w:eastAsia="黑体" w:cs="黑体"/>
          <w:color w:val="000000"/>
          <w:highlight w:val="none"/>
        </w:rPr>
      </w:pPr>
      <w:bookmarkStart w:id="21" w:name="__RefHeading___Toc96"/>
      <w:bookmarkEnd w:id="21"/>
      <w:r>
        <w:rPr>
          <w:rFonts w:ascii="黑体" w:hAnsi="黑体" w:eastAsia="黑体"/>
          <w:color w:val="000000"/>
          <w:sz w:val="32"/>
          <w:szCs w:val="32"/>
        </w:rPr>
        <w:t>八、</w:t>
      </w:r>
      <w:r>
        <w:rPr>
          <w:rStyle w:val="27"/>
          <w:rFonts w:ascii="黑体" w:hAnsi="黑体" w:eastAsia="黑体" w:cs="黑体"/>
          <w:b w:val="0"/>
          <w:color w:val="000000"/>
        </w:rPr>
        <w:t>政府性基金预算支出决算情况说明</w:t>
      </w:r>
    </w:p>
    <w:p w14:paraId="110AA3CC">
      <w:pPr>
        <w:spacing w:line="600" w:lineRule="exact"/>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lang w:eastAsia="zh-CN"/>
        </w:rPr>
        <w:t>2025年度政府性基金预算财政拨款支出0万元。</w:t>
      </w:r>
    </w:p>
    <w:p w14:paraId="44A7B2A5">
      <w:pPr>
        <w:spacing w:line="600" w:lineRule="exact"/>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lang w:val="en-US" w:eastAsia="zh-CN"/>
        </w:rPr>
        <w:t>我单位没有使用政府性基金预算安排支出，故本表无数据。</w:t>
      </w:r>
    </w:p>
    <w:p w14:paraId="7EF719A1">
      <w:pPr>
        <w:numPr>
          <w:ilvl w:val="0"/>
          <w:numId w:val="4"/>
        </w:numPr>
        <w:spacing w:line="600" w:lineRule="exact"/>
        <w:ind w:left="0" w:firstLine="640"/>
        <w:outlineLvl w:val="1"/>
        <w:rPr>
          <w:rStyle w:val="27"/>
          <w:rFonts w:ascii="黑体" w:hAnsi="黑体" w:eastAsia="黑体" w:cs="黑体"/>
          <w:b w:val="0"/>
          <w:color w:val="000000"/>
          <w:highlight w:val="none"/>
        </w:rPr>
      </w:pPr>
      <w:bookmarkStart w:id="22" w:name="__RefHeading___Toc8351"/>
      <w:bookmarkEnd w:id="22"/>
      <w:r>
        <w:rPr>
          <w:rStyle w:val="27"/>
          <w:rFonts w:ascii="黑体" w:hAnsi="黑体" w:eastAsia="黑体" w:cs="黑体"/>
          <w:b w:val="0"/>
          <w:color w:val="000000"/>
        </w:rPr>
        <w:t>国有资本经营预算支出决算情况说明</w:t>
      </w:r>
    </w:p>
    <w:p w14:paraId="2C6AABBB">
      <w:pPr>
        <w:spacing w:line="600" w:lineRule="exact"/>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lang w:eastAsia="zh-CN"/>
        </w:rPr>
        <w:t>2025年度国有资本经营预算财政拨款支出0万元。</w:t>
      </w:r>
    </w:p>
    <w:p w14:paraId="5953D30A">
      <w:pPr>
        <w:spacing w:line="600" w:lineRule="exact"/>
        <w:ind w:firstLine="640"/>
        <w:rPr>
          <w:rFonts w:ascii="方正小标宋简体" w:hAnsi="方正小标宋简体" w:eastAsia="方正小标宋简体" w:cs="方正小标宋简体"/>
          <w:color w:val="000000"/>
          <w:sz w:val="44"/>
          <w:szCs w:val="44"/>
          <w:highlight w:val="none"/>
        </w:rPr>
      </w:pPr>
      <w:r>
        <w:rPr>
          <w:rFonts w:ascii="仿宋_GB2312" w:hAnsi="仿宋_GB2312" w:eastAsia="仿宋_GB2312"/>
          <w:color w:val="000000"/>
          <w:sz w:val="32"/>
          <w:szCs w:val="32"/>
          <w:lang w:val="en-US" w:eastAsia="zh-CN"/>
        </w:rPr>
        <w:t>我单位没有使用国有资本经营预算安排的支出，故本表无数据。</w:t>
      </w:r>
    </w:p>
    <w:p w14:paraId="7EEB717E">
      <w:pPr>
        <w:numPr>
          <w:ilvl w:val="0"/>
          <w:numId w:val="4"/>
        </w:numPr>
        <w:spacing w:line="600" w:lineRule="exact"/>
        <w:ind w:left="0" w:firstLine="640"/>
        <w:outlineLvl w:val="1"/>
        <w:rPr>
          <w:rStyle w:val="27"/>
          <w:rFonts w:ascii="黑体" w:hAnsi="黑体" w:eastAsia="黑体" w:cs="黑体"/>
          <w:b w:val="0"/>
          <w:color w:val="000000"/>
          <w:highlight w:val="none"/>
        </w:rPr>
      </w:pPr>
      <w:bookmarkStart w:id="23" w:name="__RefHeading___Toc24424"/>
      <w:bookmarkEnd w:id="23"/>
      <w:r>
        <w:rPr>
          <w:rStyle w:val="27"/>
          <w:rFonts w:ascii="黑体" w:hAnsi="黑体" w:eastAsia="黑体" w:cs="黑体"/>
          <w:b w:val="0"/>
          <w:color w:val="000000"/>
        </w:rPr>
        <w:t>其他重要事项的情况说明</w:t>
      </w:r>
    </w:p>
    <w:p w14:paraId="129CAC31">
      <w:pPr>
        <w:numPr>
          <w:ilvl w:val="0"/>
          <w:numId w:val="0"/>
        </w:numPr>
        <w:spacing w:line="600" w:lineRule="exact"/>
        <w:ind w:firstLine="643"/>
        <w:outlineLvl w:val="2"/>
        <w:rPr>
          <w:rFonts w:ascii="仿宋" w:hAnsi="仿宋" w:eastAsia="仿宋" w:cs="仿宋"/>
          <w:color w:val="000000"/>
          <w:sz w:val="32"/>
          <w:szCs w:val="32"/>
          <w:highlight w:val="none"/>
        </w:rPr>
      </w:pPr>
      <w:bookmarkStart w:id="24" w:name="__RefHeading___Toc4269"/>
      <w:bookmarkEnd w:id="24"/>
      <w:r>
        <w:rPr>
          <w:rFonts w:ascii="仿宋" w:hAnsi="仿宋" w:eastAsia="仿宋" w:cs="仿宋"/>
          <w:b/>
          <w:color w:val="000000"/>
          <w:sz w:val="32"/>
          <w:szCs w:val="32"/>
        </w:rPr>
        <w:t>（一）机关运行经费支出情况</w:t>
      </w:r>
    </w:p>
    <w:p w14:paraId="5B00A503">
      <w:pPr>
        <w:spacing w:line="600" w:lineRule="exact"/>
        <w:ind w:firstLine="640"/>
        <w:rPr>
          <w:rFonts w:ascii="仿宋_GB2312" w:hAnsi="仿宋_GB2312" w:eastAsia="仿宋_GB2312"/>
          <w:color w:val="000000"/>
          <w:sz w:val="32"/>
          <w:szCs w:val="32"/>
          <w:highlight w:val="none"/>
          <w:lang w:eastAsia="zh-CN"/>
        </w:rPr>
      </w:pPr>
      <w:r>
        <w:rPr>
          <w:rFonts w:ascii="仿宋_GB2312" w:hAnsi="仿宋_GB2312" w:eastAsia="仿宋_GB2312"/>
          <w:color w:val="000000"/>
          <w:sz w:val="32"/>
          <w:szCs w:val="32"/>
          <w:lang w:eastAsia="zh-CN"/>
        </w:rPr>
        <w:t>2025年度，小金县人大常委会办公室信息中心机关运行经费支出4.99万元，比2024年度增加4.99万元，增长100%。主要原因是：本年业务活动增加，差旅费及运行保障支出增加。</w:t>
      </w:r>
    </w:p>
    <w:p w14:paraId="262A5350">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bookmarkStart w:id="25" w:name="__RefHeading___Toc3952"/>
      <w:bookmarkEnd w:id="25"/>
      <w:r>
        <w:rPr>
          <w:rFonts w:ascii="仿宋" w:hAnsi="仿宋" w:eastAsia="仿宋" w:cs="仿宋"/>
          <w:b/>
          <w:color w:val="000000"/>
          <w:sz w:val="32"/>
          <w:szCs w:val="32"/>
        </w:rPr>
        <w:t>（二）政府采购支出情况</w:t>
      </w:r>
    </w:p>
    <w:p w14:paraId="4F22C0D5">
      <w:pPr>
        <w:spacing w:line="600" w:lineRule="exact"/>
        <w:ind w:firstLine="640"/>
        <w:rPr>
          <w:rFonts w:ascii="仿宋" w:hAnsi="仿宋" w:eastAsia="仿宋" w:cs="仿宋"/>
          <w:b/>
          <w:color w:val="000000"/>
          <w:sz w:val="32"/>
          <w:szCs w:val="32"/>
          <w:highlight w:val="none"/>
        </w:rPr>
      </w:pPr>
      <w:r>
        <w:rPr>
          <w:rFonts w:ascii="仿宋_GB2312" w:hAnsi="仿宋_GB2312" w:eastAsia="仿宋_GB2312"/>
          <w:color w:val="000000"/>
          <w:sz w:val="32"/>
          <w:szCs w:val="32"/>
          <w:lang w:eastAsia="zh-CN"/>
        </w:rPr>
        <w:t>2025年度，小金县人大常委会办公室信息中心政府采购支出总额0万元，其中：政府采购货物支出0万元、政府采购工程支出0万元、政府采购服务支出0万元。主要用于购买复印件0台。授予中小企业合同金额0万元，占政府采购支出总额的0%，其中：授予小微企业合同金额0万元，占政府采购支出总额的0%。</w:t>
      </w:r>
    </w:p>
    <w:p w14:paraId="4067E93C">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bookmarkStart w:id="26" w:name="__RefHeading___Toc2343"/>
      <w:bookmarkEnd w:id="26"/>
      <w:r>
        <w:rPr>
          <w:rFonts w:ascii="仿宋" w:hAnsi="仿宋" w:eastAsia="仿宋" w:cs="仿宋"/>
          <w:b/>
          <w:color w:val="000000"/>
          <w:sz w:val="32"/>
          <w:szCs w:val="32"/>
        </w:rPr>
        <w:t>（三）国有资产占有使用情况</w:t>
      </w:r>
    </w:p>
    <w:p w14:paraId="46EF4D5C">
      <w:pPr>
        <w:autoSpaceDE w:val="0"/>
        <w:spacing w:line="60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截至2025年12月31日，小金县人大常委会办公室信息中心共有车辆0辆，其中：主要领导干部用车0辆、机要通信用车0辆、应急保障用车0辆、其他用车0辆。单价100万元以上设备（不含车辆）0台（套）。</w:t>
      </w:r>
    </w:p>
    <w:p w14:paraId="2DF03FFE">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bookmarkStart w:id="27" w:name="__RefHeading___Toc28910"/>
      <w:bookmarkEnd w:id="27"/>
      <w:r>
        <w:rPr>
          <w:rFonts w:ascii="仿宋" w:hAnsi="仿宋" w:eastAsia="仿宋" w:cs="仿宋"/>
          <w:b/>
          <w:color w:val="000000"/>
          <w:sz w:val="32"/>
          <w:szCs w:val="32"/>
        </w:rPr>
        <w:t>（四）预算绩效管理情况</w:t>
      </w:r>
    </w:p>
    <w:p w14:paraId="495564EF">
      <w:pPr>
        <w:spacing w:line="580" w:lineRule="exact"/>
        <w:ind w:firstLine="640"/>
        <w:rPr>
          <w:rFonts w:ascii="仿宋_GB2312" w:hAnsi="仿宋_GB2312" w:eastAsia="仿宋_GB2312" w:cs="仿宋_GB2312"/>
          <w:color w:val="000000"/>
          <w:sz w:val="32"/>
          <w:szCs w:val="32"/>
          <w:highlight w:val="none"/>
          <w:lang w:eastAsia="zh-CN"/>
        </w:rPr>
      </w:pPr>
      <w:r>
        <w:rPr>
          <w:rFonts w:ascii="仿宋_GB2312" w:hAnsi="仿宋_GB2312" w:eastAsia="仿宋_GB2312" w:cs="仿宋_GB2312"/>
          <w:color w:val="000000"/>
          <w:sz w:val="32"/>
          <w:szCs w:val="32"/>
        </w:rPr>
        <w:t>根据预算绩效管理要求，本部门在2025年度预算编制阶段，组织对人大会议项目等0个项目开展了预算事前绩效评估，对0个项目编制了绩效目标，预算执行过程中，选取0个项目开展绩效监控。</w:t>
      </w:r>
    </w:p>
    <w:p w14:paraId="6AFF60EA">
      <w:pPr>
        <w:spacing w:line="580" w:lineRule="exact"/>
        <w:ind w:firstLine="640"/>
        <w:rPr>
          <w:rFonts w:ascii="仿宋_GB2312" w:hAnsi="仿宋_GB2312" w:eastAsia="仿宋_GB2312" w:cs="仿宋_GB2312"/>
          <w:color w:val="000000"/>
          <w:sz w:val="32"/>
          <w:szCs w:val="32"/>
          <w:highlight w:val="none"/>
          <w:lang w:val="en-US" w:eastAsia="zh-CN"/>
        </w:rPr>
      </w:pPr>
      <w:r>
        <w:rPr>
          <w:rFonts w:ascii="仿宋_GB2312" w:hAnsi="仿宋_GB2312" w:eastAsia="仿宋_GB2312" w:cs="仿宋_GB2312"/>
          <w:color w:val="000000"/>
          <w:sz w:val="32"/>
          <w:szCs w:val="32"/>
          <w:lang w:eastAsia="zh-CN"/>
        </w:rPr>
        <w:t>组织对2025年度一般公共预算、政府性基金预算、国有资本经营预算、社会保险基金预算以及资本资产、债券资金等全面开展绩效自评，形成小金县人大常委会办公室信息中心部门整体（含部门预算项目）绩效自评报告、XX等专项预算项目绩效自评报告，其中，小金县人大常委会办公室信息中心部门整体（含部门预算项目）绩效自评得分为XX分，绩效自评综述：......；XX专项预算项目绩效自评得分为XX分，绩效自评综述：......。绩效自评报告详见附件。（如不涉及，可根据实际修改表述。）</w:t>
      </w:r>
    </w:p>
    <w:p w14:paraId="7D4036B4">
      <w:pPr>
        <w:pStyle w:val="2"/>
        <w:bidi w:val="0"/>
        <w:jc w:val="left"/>
        <w:rPr>
          <w:lang w:val="en-US" w:eastAsia="zh-CN"/>
        </w:rPr>
      </w:pPr>
      <w:r>
        <w:rPr>
          <w:rFonts w:ascii="仿宋_GB2312" w:hAnsi="仿宋_GB2312" w:eastAsia="仿宋_GB2312" w:cs="仿宋_GB2312"/>
          <w:color w:val="000000"/>
          <w:sz w:val="32"/>
          <w:szCs w:val="32"/>
          <w:lang w:val="en-US" w:eastAsia="zh-CN"/>
        </w:rPr>
        <w:t xml:space="preserve">  本部门不涉及项目</w:t>
      </w:r>
    </w:p>
    <w:p w14:paraId="564F37E0">
      <w:pPr>
        <w:widowControl/>
        <w:ind w:firstLine="643"/>
        <w:jc w:val="left"/>
        <w:rPr>
          <w:rFonts w:ascii="仿宋_GB2312" w:hAnsi="仿宋_GB2312" w:eastAsia="仿宋_GB2312"/>
          <w:b/>
          <w:color w:val="000000"/>
          <w:sz w:val="32"/>
          <w:szCs w:val="32"/>
          <w:highlight w:val="none"/>
          <w:lang w:val="en-US" w:eastAsia="zh-CN"/>
        </w:rPr>
      </w:pPr>
    </w:p>
    <w:p w14:paraId="35BB9965">
      <w:pPr>
        <w:rPr>
          <w:rFonts w:ascii="仿宋_GB2312" w:hAnsi="仿宋_GB2312" w:eastAsia="仿宋_GB2312"/>
          <w:b/>
          <w:color w:val="000000"/>
          <w:sz w:val="32"/>
          <w:szCs w:val="32"/>
          <w:highlight w:val="none"/>
        </w:rPr>
      </w:pPr>
    </w:p>
    <w:p w14:paraId="5F79FB6D">
      <w:pPr>
        <w:numPr>
          <w:ilvl w:val="0"/>
          <w:numId w:val="5"/>
        </w:numPr>
        <w:spacing w:line="600" w:lineRule="exact"/>
        <w:ind w:left="0" w:firstLine="660"/>
        <w:jc w:val="center"/>
        <w:outlineLvl w:val="0"/>
        <w:rPr>
          <w:rStyle w:val="26"/>
          <w:rFonts w:ascii="黑体" w:hAnsi="黑体" w:eastAsia="黑体" w:cs="黑体"/>
          <w:b w:val="0"/>
          <w:color w:val="000000"/>
          <w:highlight w:val="none"/>
        </w:rPr>
      </w:pPr>
      <w:bookmarkStart w:id="28" w:name="__RefHeading___Toc22018"/>
      <w:bookmarkEnd w:id="28"/>
      <w:r>
        <w:rPr>
          <w:rFonts w:ascii="黑体" w:hAnsi="黑体" w:eastAsia="黑体" w:cs="黑体"/>
          <w:color w:val="000000"/>
          <w:sz w:val="44"/>
          <w:szCs w:val="44"/>
        </w:rPr>
        <w:t>名</w:t>
      </w:r>
      <w:r>
        <w:rPr>
          <w:rStyle w:val="26"/>
          <w:rFonts w:ascii="黑体" w:hAnsi="黑体" w:eastAsia="黑体" w:cs="黑体"/>
          <w:b w:val="0"/>
          <w:color w:val="000000"/>
        </w:rPr>
        <w:t>词解释</w:t>
      </w:r>
    </w:p>
    <w:p w14:paraId="3D6E1134">
      <w:pPr>
        <w:spacing w:line="600" w:lineRule="exact"/>
        <w:jc w:val="left"/>
        <w:rPr>
          <w:rStyle w:val="26"/>
          <w:rFonts w:ascii="宋体" w:hAnsi="宋体" w:eastAsia="黑体" w:cs="黑体"/>
          <w:b/>
          <w:color w:val="000000"/>
          <w:sz w:val="44"/>
          <w:szCs w:val="44"/>
          <w:highlight w:val="none"/>
        </w:rPr>
      </w:pPr>
    </w:p>
    <w:p w14:paraId="73930A81">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1.财政拨款收入：指单位从同级财政部门取得的财政预算资金。</w:t>
      </w:r>
    </w:p>
    <w:p w14:paraId="5CA14C09">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2.事业收入：指事业单位开展专业业务活动及辅助活动取得的收入。如…（二级预算单位事业收入情况）等。</w:t>
      </w:r>
    </w:p>
    <w:p w14:paraId="6D18C260">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3.经营收入：指事业单位在专业业务活动及其辅助活动之外开展非独立核算经营活动取得的收入。如…（二级预算单位经营收入情况）等。</w:t>
      </w:r>
    </w:p>
    <w:p w14:paraId="603CD437">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 xml:space="preserve">4.其他收入：指单位取得的除上述收入以外的各项收入。主要是…（收入类型）等。 </w:t>
      </w:r>
    </w:p>
    <w:p w14:paraId="28406F3B">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5.</w:t>
      </w:r>
      <w:r>
        <w:rPr>
          <w:rFonts w:ascii="仿宋_GB2312" w:hAnsi="仿宋_GB2312" w:eastAsia="仿宋_GB2312" w:cs="华文中宋;宋体"/>
          <w:sz w:val="32"/>
          <w:szCs w:val="32"/>
          <w:u w:val="none"/>
          <w:lang w:eastAsia="zh-CN"/>
        </w:rPr>
        <w:t>使用非财政拨款结余（含专用结余）</w:t>
      </w:r>
      <w:r>
        <w:rPr>
          <w:rFonts w:ascii="仿宋_GB2312" w:hAnsi="仿宋_GB2312" w:eastAsia="仿宋_GB2312"/>
          <w:color w:val="000000"/>
          <w:sz w:val="32"/>
          <w:szCs w:val="32"/>
        </w:rPr>
        <w:t>：指事业单位</w:t>
      </w:r>
      <w:r>
        <w:rPr>
          <w:rFonts w:ascii="仿宋_GB2312" w:hAnsi="仿宋_GB2312" w:eastAsia="仿宋_GB2312"/>
          <w:color w:val="000000"/>
          <w:sz w:val="32"/>
          <w:szCs w:val="32"/>
          <w:lang w:eastAsia="zh-CN"/>
        </w:rPr>
        <w:t>使用以前年度积累的非财政拨款结余弥补当年收支差额的金额。</w:t>
      </w:r>
      <w:r>
        <w:rPr>
          <w:rFonts w:ascii="仿宋_GB2312" w:hAnsi="仿宋_GB2312" w:eastAsia="仿宋_GB2312"/>
          <w:color w:val="000000"/>
          <w:sz w:val="32"/>
          <w:szCs w:val="32"/>
        </w:rPr>
        <w:t xml:space="preserve"> </w:t>
      </w:r>
    </w:p>
    <w:p w14:paraId="289A6425">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 xml:space="preserve">6.年初结转和结余：指以前年度尚未完成、结转到本年按有关规定继续使用的资金。 </w:t>
      </w:r>
    </w:p>
    <w:p w14:paraId="09576DE9">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7.结余分配：指事业单位按照会计制度规定</w:t>
      </w:r>
      <w:r>
        <w:rPr>
          <w:rFonts w:ascii="仿宋_GB2312" w:hAnsi="仿宋_GB2312" w:eastAsia="仿宋_GB2312"/>
          <w:color w:val="000000"/>
          <w:sz w:val="32"/>
          <w:szCs w:val="32"/>
          <w:lang w:eastAsia="zh-CN"/>
        </w:rPr>
        <w:t>缴纳的所得税、提取的专用结余以及转入非财政拨款结余的金额</w:t>
      </w:r>
      <w:r>
        <w:rPr>
          <w:rFonts w:ascii="仿宋_GB2312" w:hAnsi="仿宋_GB2312" w:eastAsia="仿宋_GB2312"/>
          <w:color w:val="000000"/>
          <w:sz w:val="32"/>
          <w:szCs w:val="32"/>
        </w:rPr>
        <w:t>等。</w:t>
      </w:r>
    </w:p>
    <w:p w14:paraId="5F4E97F7">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8</w:t>
      </w:r>
      <w:r>
        <w:rPr>
          <w:rFonts w:ascii="仿宋_GB2312" w:hAnsi="仿宋_GB2312" w:eastAsia="仿宋_GB2312"/>
          <w:color w:val="000000"/>
          <w:sz w:val="32"/>
          <w:szCs w:val="32"/>
          <w:lang w:val="en-US" w:eastAsia="zh-CN"/>
        </w:rPr>
        <w:t>.</w:t>
      </w:r>
      <w:r>
        <w:rPr>
          <w:rFonts w:ascii="仿宋_GB2312" w:hAnsi="仿宋_GB2312" w:eastAsia="仿宋_GB2312"/>
          <w:color w:val="000000"/>
          <w:sz w:val="32"/>
          <w:szCs w:val="32"/>
        </w:rPr>
        <w:t>年末结转和结余：指单位按有关规定结转到下年或以后年度继续使用的资金。</w:t>
      </w:r>
    </w:p>
    <w:p w14:paraId="571BC226">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9.一般公共服务（类）…（款）…（项）：指……。</w:t>
      </w:r>
    </w:p>
    <w:p w14:paraId="237A82FF">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10.外交（类）…（款）…（项）：指……。</w:t>
      </w:r>
    </w:p>
    <w:p w14:paraId="103A8867">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11.公共安全（类）…（款）…（项）：指……。</w:t>
      </w:r>
    </w:p>
    <w:p w14:paraId="47217A7C">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12.教育（类）…（款）…（项）：指……。</w:t>
      </w:r>
    </w:p>
    <w:p w14:paraId="0999ED05">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13.科学技术（类）…（款）…（项）：指……。</w:t>
      </w:r>
    </w:p>
    <w:p w14:paraId="4E82AC00">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14.文化</w:t>
      </w:r>
      <w:r>
        <w:rPr>
          <w:rFonts w:ascii="仿宋_GB2312" w:hAnsi="仿宋_GB2312" w:eastAsia="仿宋_GB2312"/>
          <w:color w:val="000000"/>
          <w:sz w:val="32"/>
          <w:szCs w:val="32"/>
          <w:lang w:eastAsia="zh-CN"/>
        </w:rPr>
        <w:t>旅游</w:t>
      </w:r>
      <w:r>
        <w:rPr>
          <w:rFonts w:ascii="仿宋_GB2312" w:hAnsi="仿宋_GB2312" w:eastAsia="仿宋_GB2312"/>
          <w:color w:val="000000"/>
          <w:sz w:val="32"/>
          <w:szCs w:val="32"/>
        </w:rPr>
        <w:t>体育与传媒（类）…（款）…（项）：指……。</w:t>
      </w:r>
    </w:p>
    <w:p w14:paraId="6DC99656">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15.社会保障和就业（类）…（款）…（项）：指……。</w:t>
      </w:r>
    </w:p>
    <w:p w14:paraId="6E9920F6">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16.</w:t>
      </w:r>
      <w:r>
        <w:rPr>
          <w:rFonts w:ascii="仿宋_GB2312" w:hAnsi="仿宋_GB2312" w:eastAsia="仿宋_GB2312"/>
          <w:color w:val="000000"/>
          <w:sz w:val="32"/>
          <w:szCs w:val="32"/>
          <w:lang w:eastAsia="zh-CN"/>
        </w:rPr>
        <w:t>卫生健康</w:t>
      </w:r>
      <w:r>
        <w:rPr>
          <w:rFonts w:ascii="仿宋_GB2312" w:hAnsi="仿宋_GB2312" w:eastAsia="仿宋_GB2312"/>
          <w:color w:val="000000"/>
          <w:sz w:val="32"/>
          <w:szCs w:val="32"/>
        </w:rPr>
        <w:t>（类）…（款）…（项）：指……。</w:t>
      </w:r>
    </w:p>
    <w:p w14:paraId="6F416058">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17.节能环保（类）…（款）…（项）：指……。</w:t>
      </w:r>
    </w:p>
    <w:p w14:paraId="5E125DF2">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18.城乡社区（类）…（款）…（项）：指……。</w:t>
      </w:r>
    </w:p>
    <w:p w14:paraId="20E0D621">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19.农林水（类）…（款）…（项）：指……。</w:t>
      </w:r>
    </w:p>
    <w:p w14:paraId="181E69D5">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20.交通运输（类）…（款）…（项）：指……。</w:t>
      </w:r>
    </w:p>
    <w:p w14:paraId="7744532B">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21.资源勘探</w:t>
      </w:r>
      <w:r>
        <w:rPr>
          <w:rFonts w:ascii="仿宋_GB2312" w:hAnsi="仿宋_GB2312" w:eastAsia="仿宋_GB2312"/>
          <w:color w:val="000000"/>
          <w:sz w:val="32"/>
          <w:szCs w:val="32"/>
          <w:lang w:eastAsia="zh-CN"/>
        </w:rPr>
        <w:t>工业</w:t>
      </w:r>
      <w:r>
        <w:rPr>
          <w:rFonts w:ascii="仿宋_GB2312" w:hAnsi="仿宋_GB2312" w:eastAsia="仿宋_GB2312"/>
          <w:color w:val="000000"/>
          <w:sz w:val="32"/>
          <w:szCs w:val="32"/>
        </w:rPr>
        <w:t>信息等（类）…（款）…（项）：指……。</w:t>
      </w:r>
    </w:p>
    <w:p w14:paraId="5B419160">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22.商业服务业（类）…（款）…（项）：指……。</w:t>
      </w:r>
    </w:p>
    <w:p w14:paraId="4BEB465B">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23.金融（类）…（款）…（项）：指……。</w:t>
      </w:r>
    </w:p>
    <w:p w14:paraId="0776597D">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24.</w:t>
      </w:r>
      <w:r>
        <w:rPr>
          <w:rFonts w:ascii="仿宋_GB2312" w:hAnsi="仿宋_GB2312" w:eastAsia="仿宋_GB2312"/>
          <w:color w:val="000000"/>
          <w:sz w:val="32"/>
          <w:szCs w:val="32"/>
          <w:lang w:eastAsia="zh-CN"/>
        </w:rPr>
        <w:t>自然资源</w:t>
      </w:r>
      <w:r>
        <w:rPr>
          <w:rFonts w:ascii="仿宋_GB2312" w:hAnsi="仿宋_GB2312" w:eastAsia="仿宋_GB2312"/>
          <w:color w:val="000000"/>
          <w:sz w:val="32"/>
          <w:szCs w:val="32"/>
        </w:rPr>
        <w:t>海洋气象等（类）…（款）…（项）：指……。</w:t>
      </w:r>
    </w:p>
    <w:p w14:paraId="37AFA241">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25.住房保障（类）…（款）…（项）：指……。</w:t>
      </w:r>
    </w:p>
    <w:p w14:paraId="2EDF469B">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26.粮油物资储备（类）…（款）…（项）：指……。</w:t>
      </w:r>
    </w:p>
    <w:p w14:paraId="0B87353A">
      <w:pPr>
        <w:ind w:firstLine="640"/>
        <w:rPr>
          <w:rFonts w:ascii="仿宋_GB2312" w:hAnsi="仿宋_GB2312" w:eastAsia="仿宋_GB2312"/>
          <w:color w:val="000000"/>
          <w:sz w:val="32"/>
          <w:szCs w:val="32"/>
          <w:highlight w:val="none"/>
        </w:rPr>
      </w:pPr>
      <w:r>
        <w:rPr>
          <w:rFonts w:ascii="仿宋_GB2312" w:hAnsi="仿宋_GB2312" w:eastAsia="仿宋_GB2312" w:cs="仿宋_GB2312"/>
          <w:color w:val="000000"/>
          <w:sz w:val="32"/>
          <w:szCs w:val="32"/>
        </w:rPr>
        <w:t>……</w:t>
      </w:r>
    </w:p>
    <w:p w14:paraId="38187C2C">
      <w:pPr>
        <w:ind w:firstLine="640"/>
        <w:rPr>
          <w:rFonts w:ascii="仿宋_GB2312" w:hAnsi="仿宋_GB2312" w:eastAsia="仿宋_GB2312"/>
          <w:color w:val="000000"/>
          <w:sz w:val="32"/>
          <w:szCs w:val="32"/>
          <w:highlight w:val="none"/>
        </w:rPr>
      </w:pPr>
      <w:r>
        <w:rPr>
          <w:rFonts w:ascii="仿宋_GB2312" w:hAnsi="仿宋_GB2312" w:eastAsia="仿宋_GB2312" w:cs="仿宋_GB2312"/>
          <w:color w:val="000000"/>
          <w:sz w:val="32"/>
          <w:szCs w:val="32"/>
        </w:rPr>
        <w:t>……</w:t>
      </w:r>
    </w:p>
    <w:p w14:paraId="6A75EB4B">
      <w:pPr>
        <w:ind w:firstLine="640"/>
        <w:rPr>
          <w:rFonts w:ascii="仿宋_GB2312" w:hAnsi="仿宋_GB2312" w:eastAsia="仿宋_GB2312"/>
          <w:color w:val="000000"/>
          <w:sz w:val="32"/>
          <w:szCs w:val="32"/>
          <w:highlight w:val="none"/>
        </w:rPr>
      </w:pPr>
      <w:r>
        <w:rPr>
          <w:rFonts w:ascii="仿宋_GB2312" w:hAnsi="仿宋_GB2312" w:eastAsia="仿宋_GB2312" w:cs="仿宋_GB2312"/>
          <w:color w:val="000000"/>
          <w:sz w:val="32"/>
          <w:szCs w:val="32"/>
        </w:rPr>
        <w:t>……</w:t>
      </w:r>
    </w:p>
    <w:p w14:paraId="47CBDBD6">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（解释本部门决算报表中</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全部功能分类科目至项级，</w:t>
      </w:r>
      <w:r>
        <w:rPr>
          <w:rFonts w:ascii="仿宋" w:hAnsi="仿宋" w:eastAsia="仿宋" w:cs="仿宋"/>
          <w:b/>
          <w:color w:val="000000"/>
          <w:sz w:val="32"/>
          <w:szCs w:val="32"/>
          <w:lang w:eastAsia="zh-CN"/>
        </w:rPr>
        <w:t>不涉及的科目请自行删除。</w:t>
      </w:r>
      <w:r>
        <w:rPr>
          <w:rFonts w:ascii="仿宋" w:hAnsi="仿宋" w:eastAsia="仿宋" w:cs="仿宋"/>
          <w:b/>
          <w:color w:val="000000"/>
          <w:sz w:val="32"/>
          <w:szCs w:val="32"/>
        </w:rPr>
        <w:t>请参照《</w:t>
      </w:r>
      <w:r>
        <w:rPr>
          <w:rFonts w:ascii="仿宋" w:hAnsi="仿宋" w:eastAsia="仿宋" w:cs="仿宋"/>
          <w:b/>
          <w:color w:val="000000"/>
          <w:sz w:val="32"/>
          <w:szCs w:val="32"/>
          <w:lang w:eastAsia="zh-CN"/>
        </w:rPr>
        <w:t>2023</w:t>
      </w:r>
      <w:r>
        <w:rPr>
          <w:rFonts w:ascii="仿宋" w:hAnsi="仿宋" w:eastAsia="仿宋" w:cs="仿宋"/>
          <w:b/>
          <w:color w:val="000000"/>
          <w:sz w:val="32"/>
          <w:szCs w:val="32"/>
        </w:rPr>
        <w:t>年政府收支分类科目》增减内容。）</w:t>
      </w:r>
    </w:p>
    <w:p w14:paraId="5CCC9537">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27.基本支出：指为保障机构正常运转、完成日常工作任务而发生的人员支出和公用支出。</w:t>
      </w:r>
    </w:p>
    <w:p w14:paraId="6EC1FD38">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 xml:space="preserve">28.项目支出：指在基本支出之外为完成特定行政任务和事业发展目标所发生的支出。 </w:t>
      </w:r>
    </w:p>
    <w:p w14:paraId="42A01001">
      <w:pPr>
        <w:ind w:firstLine="640"/>
        <w:rPr>
          <w:rFonts w:ascii="仿宋_GB2312" w:hAnsi="仿宋_GB2312" w:eastAsia="仿宋_GB2312"/>
          <w:color w:val="000000"/>
          <w:sz w:val="32"/>
          <w:szCs w:val="32"/>
          <w:highlight w:val="none"/>
        </w:rPr>
      </w:pPr>
      <w:r>
        <w:rPr>
          <w:rFonts w:ascii="仿宋_GB2312" w:hAnsi="仿宋_GB2312" w:eastAsia="仿宋_GB2312"/>
          <w:color w:val="000000"/>
          <w:sz w:val="32"/>
          <w:szCs w:val="32"/>
        </w:rPr>
        <w:t>29.经营支出：指事业单位在专业业务活动及其辅助活动之外开展非独立核算经营活动发生的支出。</w:t>
      </w:r>
    </w:p>
    <w:p w14:paraId="3CA2FCE5">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41ED082">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BD7824D">
      <w:pPr>
        <w:pStyle w:val="37"/>
        <w:bidi w:val="0"/>
        <w:spacing w:line="560" w:lineRule="exact"/>
        <w:ind w:firstLine="640"/>
        <w:jc w:val="left"/>
        <w:rPr>
          <w:rFonts w:ascii="仿宋_GB2312" w:hAnsi="仿宋_GB2312" w:eastAsia="仿宋_GB2312"/>
          <w:color w:val="000000"/>
          <w:sz w:val="32"/>
          <w:szCs w:val="32"/>
          <w:highlight w:val="none"/>
        </w:rPr>
      </w:pPr>
      <w:r>
        <w:rPr>
          <w:rFonts w:ascii="仿宋_GB2312" w:hAnsi="仿宋_GB2312" w:eastAsia="仿宋_GB2312"/>
          <w:color w:val="000000"/>
          <w:sz w:val="32"/>
          <w:szCs w:val="32"/>
        </w:rPr>
        <w:t>32.……。</w:t>
      </w:r>
    </w:p>
    <w:p w14:paraId="500E205F">
      <w:pPr>
        <w:pStyle w:val="37"/>
        <w:bidi w:val="0"/>
        <w:spacing w:line="560" w:lineRule="exact"/>
        <w:ind w:firstLine="640"/>
        <w:jc w:val="left"/>
        <w:rPr>
          <w:rFonts w:ascii="仿宋_GB2312" w:hAnsi="仿宋_GB2312" w:eastAsia="仿宋_GB2312" w:cs="黑体"/>
          <w:color w:val="000000"/>
          <w:sz w:val="32"/>
          <w:szCs w:val="32"/>
          <w:highlight w:val="none"/>
        </w:rPr>
      </w:pPr>
    </w:p>
    <w:p w14:paraId="0D4E5342">
      <w:pPr>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（名词解释部分请根据各部门实际列支情况罗列，并根据本部门职责职能增减名词解释内容。）</w:t>
      </w:r>
      <w:r>
        <w:br w:type="page"/>
      </w:r>
    </w:p>
    <w:p w14:paraId="284E4928">
      <w:pPr>
        <w:numPr>
          <w:ilvl w:val="0"/>
          <w:numId w:val="0"/>
        </w:numPr>
        <w:spacing w:line="600" w:lineRule="exact"/>
        <w:jc w:val="center"/>
        <w:outlineLvl w:val="0"/>
        <w:rPr>
          <w:rStyle w:val="26"/>
          <w:rFonts w:ascii="黑体" w:hAnsi="黑体" w:eastAsia="黑体" w:cs="黑体"/>
          <w:b w:val="0"/>
          <w:color w:val="000000"/>
          <w:highlight w:val="none"/>
          <w:lang w:eastAsia="zh-CN"/>
        </w:rPr>
      </w:pPr>
      <w:bookmarkStart w:id="29" w:name="__RefHeading___Toc16379"/>
      <w:bookmarkEnd w:id="29"/>
      <w:r>
        <w:rPr>
          <w:rFonts w:ascii="黑体" w:hAnsi="黑体" w:eastAsia="黑体" w:cs="黑体"/>
          <w:color w:val="000000"/>
          <w:sz w:val="44"/>
          <w:szCs w:val="44"/>
        </w:rPr>
        <w:t>第</w:t>
      </w:r>
      <w:r>
        <w:rPr>
          <w:rStyle w:val="26"/>
          <w:rFonts w:ascii="黑体" w:hAnsi="黑体" w:eastAsia="黑体" w:cs="黑体"/>
          <w:b w:val="0"/>
          <w:color w:val="000000"/>
        </w:rPr>
        <w:t>四部分 附件</w:t>
      </w:r>
    </w:p>
    <w:p w14:paraId="185D4368">
      <w:pPr>
        <w:keepNext w:val="0"/>
        <w:keepLines w:val="0"/>
        <w:pageBreakBefore w:val="0"/>
        <w:numPr>
          <w:ilvl w:val="0"/>
          <w:numId w:val="0"/>
        </w:numPr>
        <w:kinsoku/>
        <w:overflowPunct/>
        <w:autoSpaceDE/>
        <w:bidi w:val="0"/>
        <w:spacing w:line="572" w:lineRule="exact"/>
        <w:jc w:val="left"/>
        <w:textAlignment w:val="auto"/>
        <w:outlineLvl w:val="0"/>
        <w:rPr>
          <w:rStyle w:val="26"/>
          <w:rFonts w:ascii="黑体" w:hAnsi="黑体" w:eastAsia="黑体" w:cs="黑体"/>
          <w:b w:val="0"/>
          <w:color w:val="FF0000"/>
          <w:sz w:val="32"/>
          <w:szCs w:val="32"/>
          <w:highlight w:val="none"/>
          <w:lang w:eastAsia="zh-CN"/>
        </w:rPr>
      </w:pPr>
    </w:p>
    <w:p w14:paraId="68D0A0FA">
      <w:pPr>
        <w:keepNext w:val="0"/>
        <w:keepLines w:val="0"/>
        <w:pageBreakBefore w:val="0"/>
        <w:numPr>
          <w:ilvl w:val="0"/>
          <w:numId w:val="0"/>
        </w:numPr>
        <w:kinsoku/>
        <w:overflowPunct/>
        <w:autoSpaceDE/>
        <w:bidi w:val="0"/>
        <w:spacing w:line="572" w:lineRule="exact"/>
        <w:jc w:val="left"/>
        <w:textAlignment w:val="auto"/>
        <w:outlineLvl w:val="0"/>
        <w:rPr>
          <w:rFonts w:ascii="Times New Roman" w:hAnsi="Times New Roman" w:eastAsia="宋体" w:cs="Times New Roman"/>
          <w:b/>
          <w:sz w:val="44"/>
          <w:szCs w:val="44"/>
          <w:highlight w:val="none"/>
          <w:shd w:val="clear" w:fill="FFFFFF"/>
        </w:rPr>
      </w:pPr>
      <w:bookmarkStart w:id="30" w:name="__RefHeading___Toc11040"/>
      <w:bookmarkEnd w:id="30"/>
      <w:r>
        <w:rPr>
          <w:rFonts w:ascii="黑体" w:hAnsi="黑体" w:eastAsia="黑体" w:cs="黑体"/>
          <w:color w:val="000000"/>
          <w:sz w:val="32"/>
          <w:szCs w:val="32"/>
        </w:rPr>
        <w:t>附件</w:t>
      </w:r>
      <w:r>
        <w:rPr>
          <w:rFonts w:ascii="黑体" w:hAnsi="黑体" w:eastAsia="黑体" w:cs="黑体"/>
          <w:color w:val="000000"/>
          <w:sz w:val="32"/>
          <w:szCs w:val="32"/>
          <w:lang w:val="en-US" w:eastAsia="zh-CN"/>
        </w:rPr>
        <w:t>1</w:t>
      </w:r>
    </w:p>
    <w:p w14:paraId="54B9CC4E">
      <w:pPr>
        <w:rPr>
          <w:rFonts w:hint="default" w:ascii="仿宋" w:hAnsi="仿宋" w:eastAsia="仿宋" w:cs="仿宋"/>
          <w:b w:val="0"/>
          <w:bCs/>
          <w:color w:val="000000"/>
          <w:kern w:val="2"/>
          <w:sz w:val="32"/>
          <w:szCs w:val="32"/>
          <w:lang w:val="en-US" w:eastAsia="zh-CN" w:bidi="ar-SA"/>
        </w:rPr>
      </w:pPr>
      <w:r>
        <w:rPr>
          <w:rFonts w:hint="eastAsia" w:ascii="仿宋" w:hAnsi="仿宋" w:eastAsia="仿宋" w:cs="仿宋"/>
          <w:b w:val="0"/>
          <w:bCs/>
          <w:color w:val="000000"/>
          <w:kern w:val="2"/>
          <w:sz w:val="32"/>
          <w:szCs w:val="32"/>
          <w:lang w:val="en-US" w:eastAsia="zh-CN" w:bidi="ar-SA"/>
        </w:rPr>
        <w:t>本单位不涉及</w:t>
      </w:r>
    </w:p>
    <w:p w14:paraId="297FB6D1">
      <w:pPr>
        <w:widowControl/>
        <w:jc w:val="center"/>
        <w:rPr>
          <w:rFonts w:ascii="黑体" w:hAnsi="黑体" w:eastAsia="黑体" w:cs="黑体"/>
          <w:color w:val="000000"/>
          <w:sz w:val="44"/>
          <w:szCs w:val="44"/>
        </w:rPr>
      </w:pPr>
    </w:p>
    <w:p w14:paraId="30D8042C">
      <w:pPr>
        <w:widowControl/>
        <w:jc w:val="center"/>
        <w:rPr>
          <w:rFonts w:ascii="黑体" w:hAnsi="黑体" w:eastAsia="黑体" w:cs="黑体"/>
          <w:color w:val="000000"/>
          <w:sz w:val="44"/>
          <w:szCs w:val="44"/>
        </w:rPr>
      </w:pPr>
    </w:p>
    <w:p w14:paraId="17DF675C">
      <w:pPr>
        <w:widowControl/>
        <w:jc w:val="center"/>
        <w:rPr>
          <w:rFonts w:ascii="黑体" w:hAnsi="黑体" w:eastAsia="黑体" w:cs="黑体"/>
          <w:color w:val="000000"/>
          <w:sz w:val="44"/>
          <w:szCs w:val="44"/>
        </w:rPr>
      </w:pPr>
    </w:p>
    <w:p w14:paraId="0CAD92D1">
      <w:pPr>
        <w:widowControl/>
        <w:jc w:val="center"/>
        <w:rPr>
          <w:rFonts w:ascii="黑体" w:hAnsi="黑体" w:eastAsia="黑体" w:cs="黑体"/>
          <w:color w:val="000000"/>
          <w:sz w:val="44"/>
          <w:szCs w:val="44"/>
        </w:rPr>
      </w:pPr>
    </w:p>
    <w:p w14:paraId="102D10CC">
      <w:pPr>
        <w:widowControl/>
        <w:jc w:val="center"/>
        <w:rPr>
          <w:rFonts w:ascii="黑体" w:hAnsi="黑体" w:eastAsia="黑体" w:cs="黑体"/>
          <w:color w:val="000000"/>
          <w:sz w:val="44"/>
          <w:szCs w:val="44"/>
        </w:rPr>
      </w:pPr>
    </w:p>
    <w:p w14:paraId="683DF823">
      <w:pPr>
        <w:widowControl/>
        <w:jc w:val="center"/>
        <w:rPr>
          <w:rFonts w:ascii="黑体" w:hAnsi="黑体" w:eastAsia="黑体" w:cs="黑体"/>
          <w:color w:val="000000"/>
          <w:sz w:val="44"/>
          <w:szCs w:val="44"/>
        </w:rPr>
      </w:pPr>
    </w:p>
    <w:p w14:paraId="4DE644B5">
      <w:pPr>
        <w:widowControl/>
        <w:jc w:val="center"/>
        <w:rPr>
          <w:rFonts w:ascii="黑体" w:hAnsi="黑体" w:eastAsia="黑体" w:cs="黑体"/>
          <w:color w:val="000000"/>
          <w:sz w:val="44"/>
          <w:szCs w:val="44"/>
        </w:rPr>
      </w:pPr>
    </w:p>
    <w:p w14:paraId="491DD154">
      <w:pPr>
        <w:widowControl/>
        <w:jc w:val="center"/>
        <w:rPr>
          <w:rFonts w:ascii="黑体" w:hAnsi="黑体" w:eastAsia="黑体" w:cs="黑体"/>
          <w:color w:val="000000"/>
          <w:sz w:val="44"/>
          <w:szCs w:val="44"/>
        </w:rPr>
      </w:pPr>
    </w:p>
    <w:p w14:paraId="1CD2784E">
      <w:pPr>
        <w:widowControl/>
        <w:jc w:val="center"/>
        <w:rPr>
          <w:rFonts w:ascii="黑体" w:hAnsi="黑体" w:eastAsia="黑体" w:cs="黑体"/>
          <w:color w:val="000000"/>
          <w:sz w:val="44"/>
          <w:szCs w:val="44"/>
        </w:rPr>
      </w:pPr>
    </w:p>
    <w:p w14:paraId="3C001FA9">
      <w:pPr>
        <w:widowControl/>
        <w:jc w:val="center"/>
        <w:rPr>
          <w:rFonts w:ascii="黑体" w:hAnsi="黑体" w:eastAsia="黑体" w:cs="黑体"/>
          <w:color w:val="000000"/>
          <w:sz w:val="44"/>
          <w:szCs w:val="44"/>
        </w:rPr>
      </w:pPr>
    </w:p>
    <w:p w14:paraId="0A482634">
      <w:pPr>
        <w:widowControl/>
        <w:jc w:val="center"/>
        <w:rPr>
          <w:rFonts w:ascii="黑体" w:hAnsi="黑体" w:eastAsia="黑体" w:cs="黑体"/>
          <w:color w:val="000000"/>
          <w:sz w:val="44"/>
          <w:szCs w:val="44"/>
        </w:rPr>
      </w:pPr>
    </w:p>
    <w:p w14:paraId="6EC1F6AB">
      <w:pPr>
        <w:widowControl/>
        <w:jc w:val="center"/>
        <w:rPr>
          <w:rFonts w:ascii="黑体" w:hAnsi="黑体" w:eastAsia="黑体" w:cs="黑体"/>
          <w:color w:val="000000"/>
          <w:sz w:val="44"/>
          <w:szCs w:val="44"/>
        </w:rPr>
      </w:pPr>
    </w:p>
    <w:p w14:paraId="66FFB5CD">
      <w:pPr>
        <w:widowControl/>
        <w:jc w:val="center"/>
        <w:rPr>
          <w:rFonts w:ascii="黑体" w:hAnsi="黑体" w:eastAsia="黑体" w:cs="黑体"/>
          <w:color w:val="000000"/>
          <w:sz w:val="44"/>
          <w:szCs w:val="44"/>
        </w:rPr>
      </w:pPr>
    </w:p>
    <w:p w14:paraId="59C738C5">
      <w:pPr>
        <w:widowControl/>
        <w:jc w:val="center"/>
        <w:rPr>
          <w:rFonts w:ascii="黑体" w:hAnsi="黑体" w:eastAsia="黑体" w:cs="黑体"/>
          <w:color w:val="000000"/>
          <w:sz w:val="44"/>
          <w:szCs w:val="44"/>
        </w:rPr>
      </w:pPr>
    </w:p>
    <w:p w14:paraId="48D8FDF9">
      <w:pPr>
        <w:widowControl/>
        <w:jc w:val="center"/>
        <w:rPr>
          <w:rFonts w:ascii="黑体" w:hAnsi="黑体" w:eastAsia="黑体" w:cs="黑体"/>
          <w:color w:val="000000"/>
          <w:sz w:val="44"/>
          <w:szCs w:val="44"/>
        </w:rPr>
      </w:pPr>
    </w:p>
    <w:p w14:paraId="566CF601">
      <w:pPr>
        <w:widowControl/>
        <w:jc w:val="center"/>
        <w:rPr>
          <w:rFonts w:ascii="黑体" w:hAnsi="黑体" w:eastAsia="黑体" w:cs="黑体"/>
          <w:color w:val="000000"/>
          <w:sz w:val="44"/>
          <w:szCs w:val="44"/>
        </w:rPr>
      </w:pPr>
    </w:p>
    <w:p w14:paraId="4C95AEE3">
      <w:pPr>
        <w:widowControl/>
        <w:jc w:val="center"/>
        <w:rPr>
          <w:rFonts w:ascii="黑体" w:hAnsi="黑体" w:eastAsia="黑体" w:cs="黑体"/>
          <w:color w:val="000000"/>
          <w:sz w:val="44"/>
          <w:szCs w:val="44"/>
        </w:rPr>
      </w:pPr>
    </w:p>
    <w:p w14:paraId="4CE4638A">
      <w:pPr>
        <w:widowControl/>
        <w:jc w:val="center"/>
        <w:rPr>
          <w:rFonts w:ascii="黑体" w:hAnsi="黑体" w:eastAsia="黑体" w:cs="黑体"/>
          <w:color w:val="000000"/>
          <w:sz w:val="44"/>
          <w:szCs w:val="44"/>
        </w:rPr>
      </w:pPr>
    </w:p>
    <w:p w14:paraId="78B43CBB">
      <w:pPr>
        <w:widowControl/>
        <w:jc w:val="center"/>
        <w:rPr>
          <w:rFonts w:ascii="仿宋" w:hAnsi="仿宋" w:eastAsia="仿宋" w:cs="仿宋"/>
          <w:b w:val="0"/>
          <w:color w:val="000000"/>
          <w:highlight w:val="none"/>
        </w:rPr>
      </w:pPr>
      <w:r>
        <w:rPr>
          <w:rFonts w:ascii="黑体" w:hAnsi="黑体" w:eastAsia="黑体" w:cs="黑体"/>
          <w:color w:val="000000"/>
          <w:sz w:val="44"/>
          <w:szCs w:val="44"/>
        </w:rPr>
        <w:t>第</w:t>
      </w:r>
      <w:r>
        <w:rPr>
          <w:rStyle w:val="26"/>
          <w:rFonts w:ascii="黑体" w:hAnsi="黑体" w:eastAsia="黑体" w:cs="黑体"/>
          <w:b w:val="0"/>
          <w:color w:val="000000"/>
        </w:rPr>
        <w:t>五部分 附表</w:t>
      </w:r>
    </w:p>
    <w:p w14:paraId="4D0BDD7D">
      <w:pPr>
        <w:pStyle w:val="4"/>
        <w:rPr>
          <w:rFonts w:ascii="仿宋" w:hAnsi="仿宋" w:eastAsia="仿宋" w:cs="仿宋"/>
          <w:color w:val="000000"/>
          <w:highlight w:val="none"/>
        </w:rPr>
      </w:pPr>
      <w:bookmarkStart w:id="31" w:name="__RefHeading___Toc20596"/>
      <w:bookmarkEnd w:id="31"/>
      <w:r>
        <w:rPr>
          <w:rFonts w:ascii="仿宋" w:hAnsi="仿宋" w:eastAsia="仿宋" w:cs="仿宋"/>
          <w:b w:val="0"/>
          <w:color w:val="000000"/>
        </w:rPr>
        <w:t>一、收</w:t>
      </w:r>
      <w:r>
        <w:rPr>
          <w:rStyle w:val="27"/>
          <w:rFonts w:ascii="仿宋" w:hAnsi="仿宋" w:eastAsia="仿宋" w:cs="仿宋"/>
          <w:b w:val="0"/>
          <w:bCs w:val="0"/>
          <w:color w:val="000000"/>
        </w:rPr>
        <w:t>入支出决算总表</w:t>
      </w:r>
    </w:p>
    <w:p w14:paraId="432E721D">
      <w:pPr>
        <w:pStyle w:val="4"/>
        <w:rPr>
          <w:rFonts w:ascii="仿宋" w:hAnsi="仿宋" w:eastAsia="仿宋" w:cs="仿宋"/>
          <w:color w:val="000000"/>
          <w:highlight w:val="none"/>
        </w:rPr>
      </w:pPr>
      <w:bookmarkStart w:id="32" w:name="__RefHeading___Toc18021"/>
      <w:bookmarkEnd w:id="32"/>
      <w:r>
        <w:rPr>
          <w:rFonts w:ascii="仿宋" w:hAnsi="仿宋" w:eastAsia="仿宋" w:cs="仿宋"/>
          <w:b w:val="0"/>
          <w:color w:val="000000"/>
        </w:rPr>
        <w:t>二、收</w:t>
      </w:r>
      <w:r>
        <w:rPr>
          <w:rStyle w:val="27"/>
          <w:rFonts w:ascii="仿宋" w:hAnsi="仿宋" w:eastAsia="仿宋" w:cs="仿宋"/>
          <w:b w:val="0"/>
          <w:bCs w:val="0"/>
          <w:color w:val="000000"/>
        </w:rPr>
        <w:t>入决算表</w:t>
      </w:r>
    </w:p>
    <w:p w14:paraId="7F872B55">
      <w:pPr>
        <w:pStyle w:val="4"/>
        <w:rPr>
          <w:rFonts w:ascii="仿宋" w:hAnsi="仿宋" w:eastAsia="仿宋" w:cs="仿宋"/>
          <w:color w:val="000000"/>
          <w:highlight w:val="none"/>
        </w:rPr>
      </w:pPr>
      <w:bookmarkStart w:id="33" w:name="__RefHeading___Toc9272"/>
      <w:bookmarkEnd w:id="33"/>
      <w:r>
        <w:rPr>
          <w:rStyle w:val="27"/>
          <w:rFonts w:ascii="仿宋" w:hAnsi="仿宋" w:eastAsia="仿宋" w:cs="仿宋"/>
          <w:b w:val="0"/>
          <w:bCs w:val="0"/>
          <w:color w:val="000000"/>
        </w:rPr>
        <w:t>三、</w:t>
      </w:r>
      <w:r>
        <w:rPr>
          <w:rFonts w:ascii="仿宋" w:hAnsi="仿宋" w:eastAsia="仿宋" w:cs="仿宋"/>
          <w:b w:val="0"/>
          <w:color w:val="000000"/>
        </w:rPr>
        <w:t>支</w:t>
      </w:r>
      <w:r>
        <w:rPr>
          <w:rStyle w:val="27"/>
          <w:rFonts w:ascii="仿宋" w:hAnsi="仿宋" w:eastAsia="仿宋" w:cs="仿宋"/>
          <w:b w:val="0"/>
          <w:bCs w:val="0"/>
          <w:color w:val="000000"/>
        </w:rPr>
        <w:t>出决算表</w:t>
      </w:r>
    </w:p>
    <w:p w14:paraId="19F9B0EA">
      <w:pPr>
        <w:pStyle w:val="4"/>
        <w:rPr>
          <w:rFonts w:ascii="仿宋" w:hAnsi="仿宋" w:eastAsia="仿宋" w:cs="仿宋"/>
          <w:b w:val="0"/>
          <w:color w:val="000000"/>
          <w:highlight w:val="none"/>
        </w:rPr>
      </w:pPr>
      <w:bookmarkStart w:id="34" w:name="__RefHeading___Toc14202"/>
      <w:bookmarkEnd w:id="34"/>
      <w:r>
        <w:rPr>
          <w:rStyle w:val="27"/>
          <w:rFonts w:ascii="仿宋" w:hAnsi="仿宋" w:eastAsia="仿宋" w:cs="仿宋"/>
          <w:b w:val="0"/>
          <w:bCs w:val="0"/>
          <w:color w:val="000000"/>
        </w:rPr>
        <w:t>四、</w:t>
      </w:r>
      <w:r>
        <w:rPr>
          <w:rFonts w:ascii="仿宋" w:hAnsi="仿宋" w:eastAsia="仿宋" w:cs="仿宋"/>
          <w:b w:val="0"/>
          <w:color w:val="000000"/>
        </w:rPr>
        <w:t>财</w:t>
      </w:r>
      <w:r>
        <w:rPr>
          <w:rStyle w:val="27"/>
          <w:rFonts w:ascii="仿宋" w:hAnsi="仿宋" w:eastAsia="仿宋" w:cs="仿宋"/>
          <w:b w:val="0"/>
          <w:bCs w:val="0"/>
          <w:color w:val="000000"/>
        </w:rPr>
        <w:t>政拨款收入支出决算总表</w:t>
      </w:r>
    </w:p>
    <w:p w14:paraId="424845B9">
      <w:pPr>
        <w:pStyle w:val="4"/>
        <w:rPr>
          <w:rStyle w:val="27"/>
          <w:rFonts w:ascii="仿宋" w:hAnsi="仿宋" w:eastAsia="仿宋" w:cs="仿宋"/>
          <w:b w:val="0"/>
          <w:bCs w:val="0"/>
          <w:color w:val="000000"/>
          <w:highlight w:val="none"/>
        </w:rPr>
      </w:pPr>
      <w:bookmarkStart w:id="35" w:name="__RefHeading___Toc29811"/>
      <w:bookmarkEnd w:id="35"/>
      <w:r>
        <w:rPr>
          <w:rStyle w:val="27"/>
          <w:rFonts w:ascii="仿宋" w:hAnsi="仿宋" w:eastAsia="仿宋" w:cs="仿宋"/>
          <w:b w:val="0"/>
          <w:bCs w:val="0"/>
          <w:color w:val="000000"/>
        </w:rPr>
        <w:t>五、</w:t>
      </w:r>
      <w:r>
        <w:rPr>
          <w:rFonts w:ascii="仿宋" w:hAnsi="仿宋" w:eastAsia="仿宋" w:cs="仿宋"/>
          <w:b w:val="0"/>
          <w:color w:val="000000"/>
        </w:rPr>
        <w:t>财</w:t>
      </w:r>
      <w:r>
        <w:rPr>
          <w:rStyle w:val="27"/>
          <w:rFonts w:ascii="仿宋" w:hAnsi="仿宋" w:eastAsia="仿宋" w:cs="仿宋"/>
          <w:b w:val="0"/>
          <w:bCs w:val="0"/>
          <w:color w:val="000000"/>
        </w:rPr>
        <w:t>政拨款支出决算明细表</w:t>
      </w:r>
    </w:p>
    <w:p w14:paraId="234D40D6">
      <w:pPr>
        <w:pStyle w:val="4"/>
        <w:rPr>
          <w:rFonts w:ascii="仿宋" w:hAnsi="仿宋" w:eastAsia="仿宋" w:cs="仿宋"/>
          <w:color w:val="000000"/>
          <w:highlight w:val="none"/>
        </w:rPr>
      </w:pPr>
      <w:bookmarkStart w:id="36" w:name="__RefHeading___Toc8824"/>
      <w:bookmarkEnd w:id="36"/>
      <w:r>
        <w:rPr>
          <w:rStyle w:val="27"/>
          <w:rFonts w:ascii="仿宋" w:hAnsi="仿宋" w:eastAsia="仿宋" w:cs="仿宋"/>
          <w:b w:val="0"/>
          <w:bCs w:val="0"/>
          <w:color w:val="000000"/>
        </w:rPr>
        <w:t>六、</w:t>
      </w:r>
      <w:r>
        <w:rPr>
          <w:rFonts w:ascii="仿宋" w:hAnsi="仿宋" w:eastAsia="仿宋" w:cs="仿宋"/>
          <w:b w:val="0"/>
          <w:color w:val="000000"/>
        </w:rPr>
        <w:t>一</w:t>
      </w:r>
      <w:r>
        <w:rPr>
          <w:rStyle w:val="27"/>
          <w:rFonts w:ascii="仿宋" w:hAnsi="仿宋" w:eastAsia="仿宋" w:cs="仿宋"/>
          <w:b w:val="0"/>
          <w:bCs w:val="0"/>
          <w:color w:val="000000"/>
        </w:rPr>
        <w:t>般公共预算财政拨款支出决算表</w:t>
      </w:r>
    </w:p>
    <w:p w14:paraId="462302A2">
      <w:pPr>
        <w:pStyle w:val="4"/>
        <w:rPr>
          <w:rFonts w:ascii="仿宋" w:hAnsi="仿宋" w:eastAsia="仿宋" w:cs="仿宋"/>
          <w:color w:val="000000"/>
          <w:highlight w:val="none"/>
        </w:rPr>
      </w:pPr>
      <w:bookmarkStart w:id="37" w:name="__RefHeading___Toc19981"/>
      <w:bookmarkEnd w:id="37"/>
      <w:r>
        <w:rPr>
          <w:rStyle w:val="27"/>
          <w:rFonts w:ascii="仿宋" w:hAnsi="仿宋" w:eastAsia="仿宋" w:cs="仿宋"/>
          <w:b w:val="0"/>
          <w:bCs w:val="0"/>
          <w:color w:val="000000"/>
        </w:rPr>
        <w:t>七、</w:t>
      </w:r>
      <w:r>
        <w:rPr>
          <w:rFonts w:ascii="仿宋" w:hAnsi="仿宋" w:eastAsia="仿宋" w:cs="仿宋"/>
          <w:b w:val="0"/>
          <w:color w:val="000000"/>
        </w:rPr>
        <w:t>一</w:t>
      </w:r>
      <w:r>
        <w:rPr>
          <w:rStyle w:val="27"/>
          <w:rFonts w:ascii="仿宋" w:hAnsi="仿宋" w:eastAsia="仿宋" w:cs="仿宋"/>
          <w:b w:val="0"/>
          <w:bCs w:val="0"/>
          <w:color w:val="000000"/>
        </w:rPr>
        <w:t>般公共预算财政拨款支出决算明细表</w:t>
      </w:r>
    </w:p>
    <w:p w14:paraId="27DD7F53">
      <w:pPr>
        <w:pStyle w:val="4"/>
        <w:rPr>
          <w:rFonts w:ascii="仿宋" w:hAnsi="仿宋" w:eastAsia="仿宋" w:cs="仿宋"/>
          <w:color w:val="000000"/>
          <w:highlight w:val="none"/>
        </w:rPr>
      </w:pPr>
      <w:bookmarkStart w:id="38" w:name="__RefHeading___Toc15632"/>
      <w:bookmarkEnd w:id="38"/>
      <w:r>
        <w:rPr>
          <w:rStyle w:val="27"/>
          <w:rFonts w:ascii="仿宋" w:hAnsi="仿宋" w:eastAsia="仿宋" w:cs="仿宋"/>
          <w:b w:val="0"/>
          <w:bCs w:val="0"/>
          <w:color w:val="000000"/>
        </w:rPr>
        <w:t>八、</w:t>
      </w:r>
      <w:r>
        <w:rPr>
          <w:rFonts w:ascii="仿宋" w:hAnsi="仿宋" w:eastAsia="仿宋" w:cs="仿宋"/>
          <w:b w:val="0"/>
          <w:color w:val="000000"/>
        </w:rPr>
        <w:t>一</w:t>
      </w:r>
      <w:r>
        <w:rPr>
          <w:rStyle w:val="27"/>
          <w:rFonts w:ascii="仿宋" w:hAnsi="仿宋" w:eastAsia="仿宋" w:cs="仿宋"/>
          <w:b w:val="0"/>
          <w:bCs w:val="0"/>
          <w:color w:val="000000"/>
        </w:rPr>
        <w:t>般公共预算财政拨款基本支出决算表</w:t>
      </w:r>
    </w:p>
    <w:p w14:paraId="1AE06962">
      <w:pPr>
        <w:pStyle w:val="4"/>
        <w:rPr>
          <w:rFonts w:ascii="仿宋" w:hAnsi="仿宋" w:eastAsia="仿宋" w:cs="仿宋"/>
          <w:color w:val="000000"/>
          <w:highlight w:val="none"/>
        </w:rPr>
      </w:pPr>
      <w:bookmarkStart w:id="39" w:name="__RefHeading___Toc8883"/>
      <w:bookmarkEnd w:id="39"/>
      <w:r>
        <w:rPr>
          <w:rStyle w:val="27"/>
          <w:rFonts w:ascii="仿宋" w:hAnsi="仿宋" w:eastAsia="仿宋" w:cs="仿宋"/>
          <w:b w:val="0"/>
          <w:bCs w:val="0"/>
          <w:color w:val="000000"/>
        </w:rPr>
        <w:t>九、</w:t>
      </w:r>
      <w:r>
        <w:rPr>
          <w:rFonts w:ascii="仿宋" w:hAnsi="仿宋" w:eastAsia="仿宋" w:cs="仿宋"/>
          <w:b w:val="0"/>
          <w:color w:val="000000"/>
        </w:rPr>
        <w:t>一</w:t>
      </w:r>
      <w:r>
        <w:rPr>
          <w:rStyle w:val="27"/>
          <w:rFonts w:ascii="仿宋" w:hAnsi="仿宋" w:eastAsia="仿宋" w:cs="仿宋"/>
          <w:b w:val="0"/>
          <w:bCs w:val="0"/>
          <w:color w:val="000000"/>
        </w:rPr>
        <w:t>般公共预算财政拨款项目支出决算表</w:t>
      </w:r>
    </w:p>
    <w:p w14:paraId="5EC4F93B">
      <w:pPr>
        <w:pStyle w:val="4"/>
        <w:rPr>
          <w:rFonts w:ascii="仿宋" w:hAnsi="仿宋" w:eastAsia="仿宋" w:cs="仿宋"/>
          <w:color w:val="000000"/>
          <w:highlight w:val="none"/>
        </w:rPr>
      </w:pPr>
      <w:bookmarkStart w:id="40" w:name="__RefHeading___Toc502"/>
      <w:bookmarkEnd w:id="40"/>
      <w:r>
        <w:rPr>
          <w:rStyle w:val="27"/>
          <w:rFonts w:ascii="仿宋" w:hAnsi="仿宋" w:eastAsia="仿宋" w:cs="仿宋"/>
          <w:b w:val="0"/>
          <w:bCs w:val="0"/>
          <w:color w:val="000000"/>
        </w:rPr>
        <w:t>十、</w:t>
      </w:r>
      <w:r>
        <w:rPr>
          <w:rFonts w:ascii="仿宋" w:hAnsi="仿宋" w:eastAsia="仿宋" w:cs="仿宋"/>
          <w:b w:val="0"/>
          <w:color w:val="000000"/>
        </w:rPr>
        <w:t>政</w:t>
      </w:r>
      <w:r>
        <w:rPr>
          <w:rStyle w:val="27"/>
          <w:rFonts w:ascii="仿宋" w:hAnsi="仿宋" w:eastAsia="仿宋" w:cs="仿宋"/>
          <w:b w:val="0"/>
          <w:bCs w:val="0"/>
          <w:color w:val="000000"/>
        </w:rPr>
        <w:t>府性基金预算财政拨款收入支出决算表</w:t>
      </w:r>
    </w:p>
    <w:p w14:paraId="5A39DFD5">
      <w:pPr>
        <w:pStyle w:val="4"/>
        <w:rPr>
          <w:rFonts w:ascii="仿宋" w:hAnsi="仿宋" w:eastAsia="仿宋" w:cs="仿宋"/>
          <w:color w:val="000000"/>
          <w:highlight w:val="none"/>
        </w:rPr>
      </w:pPr>
      <w:bookmarkStart w:id="41" w:name="__RefHeading___Toc31514"/>
      <w:bookmarkEnd w:id="41"/>
      <w:r>
        <w:rPr>
          <w:rStyle w:val="27"/>
          <w:rFonts w:ascii="仿宋" w:hAnsi="仿宋" w:eastAsia="仿宋" w:cs="仿宋"/>
          <w:b w:val="0"/>
          <w:bCs w:val="0"/>
          <w:color w:val="000000"/>
        </w:rPr>
        <w:t>十一、</w:t>
      </w:r>
      <w:r>
        <w:rPr>
          <w:rFonts w:ascii="仿宋" w:hAnsi="仿宋" w:eastAsia="仿宋" w:cs="仿宋"/>
          <w:b w:val="0"/>
          <w:color w:val="000000"/>
        </w:rPr>
        <w:t>国</w:t>
      </w:r>
      <w:r>
        <w:rPr>
          <w:rStyle w:val="27"/>
          <w:rFonts w:ascii="仿宋" w:hAnsi="仿宋" w:eastAsia="仿宋" w:cs="仿宋"/>
          <w:b w:val="0"/>
          <w:bCs w:val="0"/>
          <w:color w:val="000000"/>
        </w:rPr>
        <w:t>有资本经营预算</w:t>
      </w:r>
      <w:r>
        <w:rPr>
          <w:rStyle w:val="27"/>
          <w:rFonts w:ascii="仿宋" w:hAnsi="仿宋" w:eastAsia="仿宋" w:cs="仿宋"/>
          <w:b w:val="0"/>
          <w:bCs w:val="0"/>
          <w:color w:val="000000"/>
          <w:lang w:eastAsia="zh-CN"/>
        </w:rPr>
        <w:t>财政拨款收入</w:t>
      </w:r>
      <w:r>
        <w:rPr>
          <w:rStyle w:val="27"/>
          <w:rFonts w:ascii="仿宋" w:hAnsi="仿宋" w:eastAsia="仿宋" w:cs="仿宋"/>
          <w:b w:val="0"/>
          <w:bCs w:val="0"/>
          <w:color w:val="000000"/>
        </w:rPr>
        <w:t>支出决算表</w:t>
      </w:r>
    </w:p>
    <w:p w14:paraId="14241009">
      <w:pPr>
        <w:pStyle w:val="4"/>
        <w:rPr>
          <w:rFonts w:ascii="仿宋" w:hAnsi="仿宋" w:eastAsia="仿宋" w:cs="仿宋"/>
          <w:color w:val="000000"/>
          <w:highlight w:val="none"/>
        </w:rPr>
      </w:pPr>
      <w:bookmarkStart w:id="42" w:name="__RefHeading___Toc13459"/>
      <w:bookmarkEnd w:id="42"/>
      <w:r>
        <w:rPr>
          <w:rStyle w:val="27"/>
          <w:rFonts w:ascii="仿宋" w:hAnsi="仿宋" w:eastAsia="仿宋" w:cs="仿宋"/>
          <w:b w:val="0"/>
          <w:bCs w:val="0"/>
          <w:color w:val="000000"/>
        </w:rPr>
        <w:t>十二、</w:t>
      </w:r>
      <w:r>
        <w:rPr>
          <w:rStyle w:val="27"/>
          <w:rFonts w:ascii="仿宋" w:hAnsi="仿宋" w:eastAsia="仿宋" w:cs="仿宋"/>
          <w:b w:val="0"/>
          <w:bCs w:val="0"/>
          <w:color w:val="000000"/>
          <w:lang w:eastAsia="zh-CN"/>
        </w:rPr>
        <w:t>国有资本经营预算财政拨款支出决算表</w:t>
      </w:r>
    </w:p>
    <w:p w14:paraId="6407A792">
      <w:pPr>
        <w:pStyle w:val="4"/>
        <w:rPr>
          <w:rStyle w:val="27"/>
          <w:rFonts w:ascii="仿宋" w:hAnsi="仿宋" w:eastAsia="仿宋" w:cs="仿宋"/>
          <w:b w:val="0"/>
          <w:bCs w:val="0"/>
          <w:color w:val="000000"/>
          <w:highlight w:val="none"/>
          <w:lang w:eastAsia="zh-CN"/>
        </w:rPr>
      </w:pPr>
      <w:bookmarkStart w:id="43" w:name="__RefHeading___Toc7275"/>
      <w:bookmarkEnd w:id="43"/>
      <w:r>
        <w:rPr>
          <w:rStyle w:val="27"/>
          <w:rFonts w:ascii="仿宋" w:hAnsi="仿宋" w:eastAsia="仿宋" w:cs="仿宋"/>
          <w:b w:val="0"/>
          <w:bCs w:val="0"/>
          <w:color w:val="000000"/>
        </w:rPr>
        <w:t>十三、</w:t>
      </w:r>
      <w:r>
        <w:rPr>
          <w:rStyle w:val="27"/>
          <w:rFonts w:ascii="仿宋" w:hAnsi="仿宋" w:eastAsia="仿宋" w:cs="仿宋"/>
          <w:b w:val="0"/>
          <w:bCs w:val="0"/>
          <w:color w:val="000000"/>
          <w:lang w:eastAsia="zh-CN"/>
        </w:rPr>
        <w:t>财政拨款“三公”经费支出决算表</w:t>
      </w:r>
    </w:p>
    <w:p w14:paraId="5A21EE63">
      <w:pPr>
        <w:widowControl/>
        <w:spacing w:line="440" w:lineRule="exact"/>
        <w:jc w:val="left"/>
        <w:rPr>
          <w:rStyle w:val="27"/>
          <w:rFonts w:ascii="仿宋" w:hAnsi="仿宋" w:eastAsia="仿宋" w:cs="仿宋"/>
          <w:b w:val="0"/>
          <w:bCs/>
          <w:color w:val="000000"/>
          <w:kern w:val="2"/>
          <w:sz w:val="24"/>
          <w:highlight w:val="none"/>
          <w:lang w:eastAsia="zh-CN"/>
        </w:rPr>
      </w:pPr>
    </w:p>
    <w:p w14:paraId="0A593585">
      <w:pPr>
        <w:rPr>
          <w:rFonts w:ascii="仿宋" w:hAnsi="仿宋" w:eastAsia="仿宋" w:cs="仿宋"/>
          <w:bCs/>
          <w:color w:val="000000"/>
          <w:kern w:val="2"/>
          <w:sz w:val="24"/>
          <w:highlight w:val="none"/>
        </w:rPr>
      </w:pPr>
    </w:p>
    <w:sectPr>
      <w:headerReference r:id="rId5" w:type="default"/>
      <w:footerReference r:id="rId6" w:type="default"/>
      <w:pgSz w:w="11906" w:h="16838"/>
      <w:pgMar w:top="1440" w:right="1800" w:bottom="1440" w:left="1800" w:header="720" w:footer="72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Times New Roman">
    <w:altName w:val="FFont-Family"/>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华文中宋;宋体">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9AF36">
    <w:pPr>
      <w:pStyle w:val="9"/>
    </w:pPr>
  </w:p>
  <w:p w14:paraId="115C1D9E">
    <w:pPr>
      <w:pStyle w:val="9"/>
      <w:rPr>
        <w:sz w:val="18"/>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690" cy="115570"/>
              <wp:effectExtent l="0" t="0" r="0" b="0"/>
              <wp:wrapNone/>
              <wp:docPr id="1" name="Frame1"/>
              <wp:cNvGraphicFramePr/>
              <a:graphic xmlns:a="http://schemas.openxmlformats.org/drawingml/2006/main">
                <a:graphicData uri="http://schemas.microsoft.com/office/word/2010/wordprocessingShape">
                  <wps:wsp>
                    <wps:cNvSpPr txBox="1"/>
                    <wps:spPr>
                      <a:xfrm>
                        <a:off x="0" y="0"/>
                        <a:ext cx="59690" cy="115570"/>
                      </a:xfrm>
                      <a:prstGeom prst="rect">
                        <a:avLst/>
                      </a:prstGeom>
                      <a:solidFill>
                        <a:srgbClr val="FFFFFF">
                          <a:alpha val="0"/>
                        </a:srgbClr>
                      </a:solidFill>
                    </wps:spPr>
                    <wps:txbx>
                      <w:txbxContent>
                        <w:p w14:paraId="0DC713AF">
                          <w:pPr>
                            <w:pStyle w:val="9"/>
                          </w:pPr>
                          <w:r>
                            <w:fldChar w:fldCharType="begin"/>
                          </w:r>
                          <w:r>
                            <w:instrText xml:space="preserve"> PAGE </w:instrText>
                          </w:r>
                          <w:r>
                            <w:fldChar w:fldCharType="separate"/>
                          </w:r>
                          <w:r>
                            <w:t>3</w:t>
                          </w:r>
                          <w:r>
                            <w:fldChar w:fldCharType="end"/>
                          </w:r>
                        </w:p>
                      </w:txbxContent>
                    </wps:txbx>
                    <wps:bodyPr lIns="635" tIns="635" rIns="635" bIns="635" anchor="t">
                      <a:spAutoFit/>
                    </wps:bodyPr>
                  </wps:wsp>
                </a:graphicData>
              </a:graphic>
            </wp:anchor>
          </w:drawing>
        </mc:Choice>
        <mc:Fallback>
          <w:pict>
            <v:shape id="Frame1" o:spid="_x0000_s1026" o:spt="202" type="#_x0000_t202" style="position:absolute;left:0pt;margin-top:0.05pt;height:9.1pt;width:4.7pt;mso-position-horizontal:center;mso-position-horizontal-relative:margin;z-index:-251657216;mso-width-relative:page;mso-height-relative:page;" fillcolor="#FFFFFF" filled="t" stroked="f" coordsize="21600,21600" o:allowincell="f" o:gfxdata="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KP6jA9EAAAACAQAADwAAAAAAAAABACAAAAAiAAAAZHJzL2Rvd25yZXYu&#10;eG1sUEsBAhQAFAAAAAgAh07iQKSoVaPJAQAAugMAAA4AAAAAAAAAAQAgAAAAIAEAAGRycy9lMm9E&#10;b2MueG1sUEsFBgAAAAAGAAYAWQEAAFsFAAAAAA==&#10;">
              <v:fill on="t" opacity="0f" focussize="0,0"/>
              <v:stroke on="f"/>
              <v:imagedata o:title=""/>
              <o:lock v:ext="edit" aspectratio="f"/>
              <v:textbox inset="0.05pt,0.05pt,0.05pt,0.05pt" style="mso-fit-shape-to-text:t;">
                <w:txbxContent>
                  <w:p w14:paraId="0DC713AF">
                    <w:pPr>
                      <w:pStyle w:val="9"/>
                    </w:pPr>
                    <w:r>
                      <w:fldChar w:fldCharType="begin"/>
                    </w:r>
                    <w:r>
                      <w:instrText xml:space="preserve"> PAGE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FA82">
    <w:pPr>
      <w:pStyle w:val="9"/>
    </w:pPr>
  </w:p>
  <w:p w14:paraId="6B7CD1CD">
    <w:pPr>
      <w:pStyle w:val="9"/>
      <w:rPr>
        <w:sz w:val="18"/>
      </w:rPr>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17475" cy="115570"/>
              <wp:effectExtent l="0" t="0" r="0" b="0"/>
              <wp:wrapNone/>
              <wp:docPr id="5" name="Frame2"/>
              <wp:cNvGraphicFramePr/>
              <a:graphic xmlns:a="http://schemas.openxmlformats.org/drawingml/2006/main">
                <a:graphicData uri="http://schemas.microsoft.com/office/word/2010/wordprocessingShape">
                  <wps:wsp>
                    <wps:cNvSpPr txBox="1"/>
                    <wps:spPr>
                      <a:xfrm>
                        <a:off x="0" y="0"/>
                        <a:ext cx="117475" cy="115570"/>
                      </a:xfrm>
                      <a:prstGeom prst="rect">
                        <a:avLst/>
                      </a:prstGeom>
                      <a:solidFill>
                        <a:srgbClr val="FFFFFF">
                          <a:alpha val="0"/>
                        </a:srgbClr>
                      </a:solidFill>
                    </wps:spPr>
                    <wps:txbx>
                      <w:txbxContent>
                        <w:p w14:paraId="478D0C09">
                          <w:pPr>
                            <w:pStyle w:val="9"/>
                          </w:pPr>
                          <w:r>
                            <w:fldChar w:fldCharType="begin"/>
                          </w:r>
                          <w:r>
                            <w:instrText xml:space="preserve"> PAGE </w:instrText>
                          </w:r>
                          <w:r>
                            <w:fldChar w:fldCharType="separate"/>
                          </w:r>
                          <w:r>
                            <w:t>37</w:t>
                          </w:r>
                          <w: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9.1pt;width:9.25pt;mso-position-horizontal:center;mso-position-horizontal-relative:margin;z-index:-251657216;mso-width-relative:page;mso-height-relative:page;" fillcolor="#FFFFFF" filled="t" stroked="f" coordsize="21600,21600" o:allowincell="f" o:gfxdata="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dmL5M0gAAAAMBAAAPAAAAAAAAAAEAIAAAACIAAABkcnMvZG93bnJl&#10;di54bWxQSwECFAAUAAAACACHTuJAfWYedcoBAAC7AwAADgAAAAAAAAABACAAAAAhAQAAZHJzL2Uy&#10;b0RvYy54bWxQSwUGAAAAAAYABgBZAQAAXQUAAAAA&#10;">
              <v:fill on="t" opacity="0f" focussize="0,0"/>
              <v:stroke on="f"/>
              <v:imagedata o:title=""/>
              <o:lock v:ext="edit" aspectratio="f"/>
              <v:textbox inset="0.05pt,0.05pt,0.05pt,0.05pt" style="mso-fit-shape-to-text:t;">
                <w:txbxContent>
                  <w:p w14:paraId="478D0C09">
                    <w:pPr>
                      <w:pStyle w:val="9"/>
                    </w:pPr>
                    <w:r>
                      <w:fldChar w:fldCharType="begin"/>
                    </w:r>
                    <w:r>
                      <w:instrText xml:space="preserve"> PAGE </w:instrText>
                    </w:r>
                    <w:r>
                      <w:fldChar w:fldCharType="separate"/>
                    </w:r>
                    <w:r>
                      <w:t>37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04DE3">
    <w:pPr>
      <w:pStyle w:val="10"/>
    </w:pPr>
  </w:p>
  <w:p w14:paraId="55A0D2AE">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ACA9E">
    <w:pPr>
      <w:pStyle w:val="10"/>
    </w:pPr>
  </w:p>
  <w:p w14:paraId="0CF83EBF">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singleLevel"/>
    <w:tmpl w:val="B5E306ED"/>
    <w:lvl w:ilvl="0" w:tentative="0">
      <w:start w:val="3"/>
      <w:numFmt w:val="chineseCountingThousand"/>
      <w:suff w:val="space"/>
      <w:lvlText w:val="第%1部分"/>
      <w:lvlJc w:val="left"/>
      <w:pPr>
        <w:tabs>
          <w:tab w:val="left" w:pos="0"/>
        </w:tabs>
        <w:ind w:left="0" w:firstLine="0"/>
      </w:pPr>
    </w:lvl>
  </w:abstractNum>
  <w:abstractNum w:abstractNumId="1">
    <w:nsid w:val="BF205925"/>
    <w:multiLevelType w:val="singleLevel"/>
    <w:tmpl w:val="BF205925"/>
    <w:lvl w:ilvl="0" w:tentative="0">
      <w:start w:val="9"/>
      <w:numFmt w:val="chineseCountingThousand"/>
      <w:suff w:val="nothing"/>
      <w:lvlText w:val="%1、"/>
      <w:lvlJc w:val="left"/>
      <w:pPr>
        <w:tabs>
          <w:tab w:val="left" w:pos="0"/>
        </w:tabs>
        <w:ind w:left="0" w:firstLine="0"/>
      </w:pPr>
    </w:lvl>
  </w:abstractNum>
  <w:abstractNum w:abstractNumId="2">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3">
    <w:nsid w:val="0053208E"/>
    <w:multiLevelType w:val="multilevel"/>
    <w:tmpl w:val="0053208E"/>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59ADCABA"/>
    <w:multiLevelType w:val="multilevel"/>
    <w:tmpl w:val="59ADCABA"/>
    <w:lvl w:ilvl="0" w:tentative="0">
      <w:start w:val="1"/>
      <w:numFmt w:val="chineseCountingThousand"/>
      <w:lvlText w:val="%1、"/>
      <w:lvlJc w:val="left"/>
      <w:pPr>
        <w:tabs>
          <w:tab w:val="left" w:pos="0"/>
        </w:tabs>
        <w:ind w:left="1360" w:hanging="720"/>
      </w:pPr>
      <w:rPr>
        <w:b w:val="0"/>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documentProtection w:enforcement="0"/>
  <w:defaultTabStop w:val="420"/>
  <w:autoHyphenation/>
  <w:compat>
    <w:noLeading/>
    <w:doNotExpandShiftReturn/>
    <w:useFELayout/>
    <w:compatSetting w:name="compatibilityMode" w:uri="http://schemas.microsoft.com/office/word" w:val="14"/>
  </w:compat>
  <w:rsids>
    <w:rsidRoot w:val="00000000"/>
    <w:rsid w:val="08ED725D"/>
    <w:rsid w:val="0FCF4A91"/>
    <w:rsid w:val="14804B61"/>
    <w:rsid w:val="469C1E07"/>
    <w:rsid w:val="49CE06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4">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7">
    <w:name w:val="Default Paragraph Font"/>
    <w:semiHidden/>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uppressAutoHyphens/>
      <w:bidi w:val="0"/>
      <w:spacing w:before="280" w:after="156" w:line="376" w:lineRule="auto"/>
      <w:outlineLvl w:val="4"/>
    </w:pPr>
    <w:rPr>
      <w:rFonts w:ascii="Arial" w:hAnsi="Arial" w:eastAsia="黑体" w:cs="Times New Roman"/>
      <w:b/>
      <w:color w:val="auto"/>
      <w:kern w:val="2"/>
      <w:sz w:val="24"/>
      <w:szCs w:val="28"/>
      <w:lang w:val="en-US" w:eastAsia="zh-CN" w:bidi="ar-SA"/>
    </w:rPr>
  </w:style>
  <w:style w:type="paragraph" w:styleId="5">
    <w:name w:val="caption"/>
    <w:basedOn w:val="1"/>
    <w:qFormat/>
    <w:uiPriority w:val="0"/>
    <w:pPr>
      <w:suppressLineNumbers/>
      <w:spacing w:before="120" w:after="120"/>
    </w:pPr>
    <w:rPr>
      <w:rFonts w:cs="Lohit Devanagari"/>
      <w:i/>
      <w:iCs/>
      <w:sz w:val="24"/>
      <w:szCs w:val="24"/>
    </w:rPr>
  </w:style>
  <w:style w:type="paragraph" w:styleId="6">
    <w:name w:val="Body Text"/>
    <w:basedOn w:val="1"/>
    <w:qFormat/>
    <w:uiPriority w:val="0"/>
    <w:pPr>
      <w:spacing w:before="0" w:after="140" w:line="276" w:lineRule="auto"/>
    </w:pPr>
  </w:style>
  <w:style w:type="paragraph" w:styleId="7">
    <w:name w:val="Body Text Indent"/>
    <w:basedOn w:val="1"/>
    <w:uiPriority w:val="0"/>
    <w:pPr>
      <w:spacing w:before="0" w:after="120"/>
    </w:pPr>
    <w:rPr>
      <w:rFonts w:ascii="仿宋_GB2312" w:hAnsi="仿宋_GB2312"/>
      <w:szCs w:val="32"/>
    </w:rPr>
  </w:style>
  <w:style w:type="paragraph" w:styleId="8">
    <w:name w:val="toc 3"/>
    <w:basedOn w:val="1"/>
    <w:next w:val="1"/>
    <w:qFormat/>
    <w:uiPriority w:val="0"/>
    <w:pPr>
      <w:ind w:left="840" w:firstLine="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tabs>
        <w:tab w:val="center" w:pos="4153"/>
        <w:tab w:val="right" w:pos="8306"/>
      </w:tabs>
      <w:snapToGrid w:val="0"/>
      <w:spacing w:line="240" w:lineRule="auto"/>
      <w:jc w:val="both"/>
    </w:pPr>
    <w:rPr>
      <w:sz w:val="18"/>
    </w:rPr>
  </w:style>
  <w:style w:type="paragraph" w:styleId="11">
    <w:name w:val="toc 1"/>
    <w:basedOn w:val="1"/>
    <w:next w:val="1"/>
    <w:qFormat/>
    <w:uiPriority w:val="0"/>
    <w:pPr>
      <w:tabs>
        <w:tab w:val="right" w:leader="dot" w:pos="8296"/>
      </w:tabs>
      <w:spacing w:before="93" w:after="0"/>
      <w:jc w:val="center"/>
    </w:pPr>
    <w:rPr>
      <w:rFonts w:ascii="仿宋" w:hAnsi="仿宋" w:eastAsia="仿宋" w:cs="仿宋"/>
      <w:sz w:val="28"/>
      <w:szCs w:val="28"/>
    </w:rPr>
  </w:style>
  <w:style w:type="paragraph" w:styleId="12">
    <w:name w:val="List"/>
    <w:basedOn w:val="6"/>
    <w:qFormat/>
    <w:uiPriority w:val="0"/>
  </w:style>
  <w:style w:type="paragraph" w:styleId="13">
    <w:name w:val="footnote text"/>
    <w:basedOn w:val="1"/>
    <w:next w:val="14"/>
    <w:qFormat/>
    <w:uiPriority w:val="0"/>
    <w:pPr>
      <w:snapToGrid w:val="0"/>
      <w:jc w:val="left"/>
    </w:pPr>
    <w:rPr>
      <w:sz w:val="18"/>
      <w:szCs w:val="18"/>
    </w:rPr>
  </w:style>
  <w:style w:type="paragraph" w:customStyle="1" w:styleId="14">
    <w:name w:val="正文首行缩进 21"/>
    <w:basedOn w:val="7"/>
    <w:qFormat/>
    <w:uiPriority w:val="0"/>
    <w:pPr>
      <w:ind w:firstLine="420"/>
    </w:pPr>
  </w:style>
  <w:style w:type="paragraph" w:styleId="15">
    <w:name w:val="toc 2"/>
    <w:basedOn w:val="1"/>
    <w:next w:val="1"/>
    <w:qFormat/>
    <w:uiPriority w:val="0"/>
    <w:pPr>
      <w:tabs>
        <w:tab w:val="right" w:leader="dot" w:pos="8296"/>
      </w:tabs>
      <w:ind w:left="420" w:firstLine="0"/>
    </w:pPr>
  </w:style>
  <w:style w:type="character" w:styleId="18">
    <w:name w:val="Hyperlink"/>
    <w:qFormat/>
    <w:uiPriority w:val="0"/>
    <w:rPr>
      <w:color w:val="000080"/>
      <w:u w:val="single"/>
    </w:rPr>
  </w:style>
  <w:style w:type="character" w:customStyle="1" w:styleId="19">
    <w:name w:val="WW8Num2z0"/>
    <w:qFormat/>
    <w:uiPriority w:val="0"/>
  </w:style>
  <w:style w:type="character" w:customStyle="1" w:styleId="20">
    <w:name w:val="WW8Num4z0"/>
    <w:qFormat/>
    <w:uiPriority w:val="0"/>
  </w:style>
  <w:style w:type="character" w:customStyle="1" w:styleId="21">
    <w:name w:val="WW8Num5z0"/>
    <w:qFormat/>
    <w:uiPriority w:val="0"/>
  </w:style>
  <w:style w:type="character" w:customStyle="1" w:styleId="22">
    <w:name w:val="WW8Num6z0"/>
    <w:qFormat/>
    <w:uiPriority w:val="0"/>
  </w:style>
  <w:style w:type="character" w:customStyle="1" w:styleId="23">
    <w:name w:val="WW8Num7z0"/>
    <w:qFormat/>
    <w:uiPriority w:val="0"/>
  </w:style>
  <w:style w:type="character" w:customStyle="1" w:styleId="24">
    <w:name w:val="WW8Num8z0"/>
    <w:qFormat/>
    <w:uiPriority w:val="0"/>
  </w:style>
  <w:style w:type="character" w:customStyle="1" w:styleId="25">
    <w:name w:val="默认段落字体11"/>
    <w:qFormat/>
    <w:uiPriority w:val="0"/>
  </w:style>
  <w:style w:type="character" w:customStyle="1" w:styleId="26">
    <w:name w:val="标题 1 Char"/>
    <w:basedOn w:val="25"/>
    <w:qFormat/>
    <w:uiPriority w:val="0"/>
    <w:rPr>
      <w:b/>
      <w:bCs/>
      <w:kern w:val="2"/>
      <w:sz w:val="44"/>
      <w:szCs w:val="44"/>
    </w:rPr>
  </w:style>
  <w:style w:type="character" w:customStyle="1" w:styleId="27">
    <w:name w:val="标题 2 Char"/>
    <w:basedOn w:val="25"/>
    <w:qFormat/>
    <w:uiPriority w:val="0"/>
    <w:rPr>
      <w:rFonts w:ascii="Cambria" w:hAnsi="Cambria" w:eastAsia="宋体" w:cs="Times New Roman"/>
      <w:b/>
      <w:bCs/>
      <w:sz w:val="32"/>
      <w:szCs w:val="32"/>
    </w:rPr>
  </w:style>
  <w:style w:type="character" w:customStyle="1" w:styleId="28">
    <w:name w:val="Strong Emphasis"/>
    <w:basedOn w:val="25"/>
    <w:qFormat/>
    <w:uiPriority w:val="0"/>
    <w:rPr>
      <w:b/>
    </w:rPr>
  </w:style>
  <w:style w:type="character" w:customStyle="1" w:styleId="29">
    <w:name w:val="默认段落字体1"/>
    <w:qFormat/>
    <w:uiPriority w:val="0"/>
  </w:style>
  <w:style w:type="character" w:customStyle="1" w:styleId="30">
    <w:name w:val="Index Link"/>
    <w:qFormat/>
    <w:uiPriority w:val="0"/>
  </w:style>
  <w:style w:type="paragraph" w:customStyle="1" w:styleId="31">
    <w:name w:val="Heading"/>
    <w:basedOn w:val="1"/>
    <w:next w:val="6"/>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32">
    <w:name w:val="Index"/>
    <w:basedOn w:val="1"/>
    <w:qFormat/>
    <w:uiPriority w:val="0"/>
    <w:pPr>
      <w:widowControl w:val="0"/>
      <w:suppressLineNumbers/>
      <w:suppressAutoHyphens/>
    </w:pPr>
  </w:style>
  <w:style w:type="paragraph" w:customStyle="1" w:styleId="33">
    <w:name w:val="题注1"/>
    <w:basedOn w:val="1"/>
    <w:qFormat/>
    <w:uiPriority w:val="0"/>
    <w:pPr>
      <w:widowControl w:val="0"/>
      <w:suppressLineNumbers/>
      <w:suppressAutoHyphens/>
      <w:spacing w:before="120" w:after="120"/>
    </w:pPr>
    <w:rPr>
      <w:i/>
      <w:iCs/>
      <w:sz w:val="24"/>
      <w:szCs w:val="24"/>
    </w:rPr>
  </w:style>
  <w:style w:type="paragraph" w:customStyle="1" w:styleId="34">
    <w:name w:val="Header and Footer"/>
    <w:basedOn w:val="1"/>
    <w:qFormat/>
    <w:uiPriority w:val="0"/>
    <w:pPr>
      <w:suppressLineNumbers/>
      <w:tabs>
        <w:tab w:val="center" w:pos="4986"/>
        <w:tab w:val="right" w:pos="9972"/>
      </w:tabs>
    </w:pPr>
  </w:style>
  <w:style w:type="paragraph" w:customStyle="1" w:styleId="35">
    <w:name w:val="普通(网站)1"/>
    <w:basedOn w:val="1"/>
    <w:qFormat/>
    <w:uiPriority w:val="0"/>
    <w:pPr>
      <w:widowControl/>
      <w:spacing w:before="100" w:after="100"/>
      <w:jc w:val="left"/>
    </w:pPr>
    <w:rPr>
      <w:rFonts w:ascii="宋体" w:hAnsi="宋体" w:eastAsia="宋体" w:cs="宋体"/>
      <w:kern w:val="0"/>
      <w:sz w:val="24"/>
    </w:rPr>
  </w:style>
  <w:style w:type="paragraph" w:styleId="36">
    <w:name w:val="List Paragraph"/>
    <w:basedOn w:val="1"/>
    <w:qFormat/>
    <w:uiPriority w:val="0"/>
    <w:pPr>
      <w:ind w:firstLine="420"/>
    </w:pPr>
  </w:style>
  <w:style w:type="paragraph" w:customStyle="1" w:styleId="37">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customStyle="1" w:styleId="38">
    <w:name w:val="四号正文"/>
    <w:basedOn w:val="1"/>
    <w:qFormat/>
    <w:uiPriority w:val="0"/>
    <w:pPr>
      <w:spacing w:line="360" w:lineRule="auto"/>
    </w:pPr>
    <w:rPr>
      <w:rFonts w:ascii="??;Times New Roman" w:hAnsi="??;Times New Roman" w:eastAsia="宋体" w:cs="??;Times New Roman"/>
      <w:color w:val="000000"/>
      <w:kern w:val="0"/>
      <w:sz w:val="28"/>
      <w:szCs w:val="21"/>
      <w:lang w:val="zh-CN" w:eastAsia="zh-CN"/>
    </w:rPr>
  </w:style>
  <w:style w:type="paragraph" w:customStyle="1" w:styleId="39">
    <w:name w:val="Table Contents"/>
    <w:basedOn w:val="1"/>
    <w:qFormat/>
    <w:uiPriority w:val="0"/>
    <w:pPr>
      <w:widowControl w:val="0"/>
      <w:suppressLineNumbers/>
    </w:pPr>
  </w:style>
  <w:style w:type="paragraph" w:customStyle="1" w:styleId="40">
    <w:name w:val="Table Heading"/>
    <w:basedOn w:val="39"/>
    <w:qFormat/>
    <w:uiPriority w:val="0"/>
    <w:pPr>
      <w:suppressLineNumbers/>
      <w:jc w:val="center"/>
    </w:pPr>
    <w:rPr>
      <w:b/>
      <w:bCs/>
    </w:rPr>
  </w:style>
  <w:style w:type="paragraph" w:customStyle="1" w:styleId="41">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chart" Target="charts/chart2.xml"/><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4037;&#20316;&#34920;%20&#22312;%20&#23567;&#37329;&#21439;&#20154;&#22823;&#24120;&#22996;&#20250;&#21150;&#20844;&#23460;&#20449;&#24687;&#20013;&#24515;2025&#24180;&#24230;&#21333;&#20301;&#20915;&#31639;&#20844;&#24320;&#32534;&#21046;&#24773;&#20917;&#35828;&#26126;%20(1).doc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24037;&#20316;&#34920;%20&#22312;%20&#23567;&#37329;&#21439;&#20154;&#22823;&#24120;&#22996;&#20250;&#21150;&#20844;&#23460;&#20449;&#24687;&#20013;&#24515;2025&#24180;&#24230;&#21333;&#20301;&#20915;&#31639;&#20844;&#24320;&#32534;&#21046;&#24773;&#20917;&#35828;&#26126;%20(1).doc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1" baseline="0">
                <a:solidFill>
                  <a:srgbClr val="333333"/>
                </a:solidFill>
                <a:latin typeface="宋体" panose="02010600030101010101" charset="-122"/>
                <a:ea typeface="宋体" panose="02010600030101010101" charset="-122"/>
                <a:cs typeface="+mn-cs"/>
              </a:defRPr>
            </a:pPr>
            <a:r>
              <a:rPr sz="1400" b="0" strike="noStrike" spc="-1">
                <a:solidFill>
                  <a:srgbClr val="333333"/>
                </a:solidFill>
                <a:latin typeface="宋体" panose="02010600030101010101" charset="-122"/>
                <a:ea typeface="宋体" panose="02010600030101010101" charset="-122"/>
              </a:rPr>
              <a:t>收支对比图</a:t>
            </a:r>
            <a:endParaRPr sz="1400" b="0" strike="noStrike" spc="-1">
              <a:solidFill>
                <a:srgbClr val="333333"/>
              </a:solidFill>
              <a:latin typeface="宋体" panose="02010600030101010101" charset="-122"/>
              <a:ea typeface="宋体" panose="02010600030101010101" charset="-122"/>
            </a:endParaRPr>
          </a:p>
        </c:rich>
      </c:tx>
      <c:layout/>
      <c:overlay val="0"/>
      <c:spPr>
        <a:noFill/>
        <a:ln w="0">
          <a:noFill/>
        </a:ln>
      </c:spPr>
    </c:title>
    <c:autoTitleDeleted val="0"/>
    <c:plotArea>
      <c:layout>
        <c:manualLayout>
          <c:xMode val="edge"/>
          <c:yMode val="edge"/>
          <c:x val="0.101680672268908"/>
          <c:y val="0.19750656167979"/>
          <c:w val="0.868417366946779"/>
          <c:h val="0.599737532808399"/>
        </c:manualLayout>
      </c:layout>
      <c:barChart>
        <c:barDir val="col"/>
        <c:grouping val="clustered"/>
        <c:varyColors val="0"/>
        <c:ser>
          <c:idx val="0"/>
          <c:order val="0"/>
          <c:tx>
            <c:strRef>
              <c:f>'[工作表 在 小金县人大常委会办公室信息中心2025年度单位决算公开编制情况说明 (1).docx]Sheet1'!$B$3</c:f>
              <c:strCache>
                <c:ptCount val="1"/>
                <c:pt idx="0">
                  <c:v>2024</c:v>
                </c:pt>
              </c:strCache>
            </c:strRef>
          </c:tx>
          <c:spPr>
            <a:solidFill>
              <a:srgbClr val="4874CB"/>
            </a:solidFill>
            <a:ln w="0">
              <a:noFill/>
            </a:ln>
          </c:spPr>
          <c:invertIfNegative val="0"/>
          <c:dLbls>
            <c:spPr>
              <a:noFill/>
              <a:ln>
                <a:noFill/>
              </a:ln>
              <a:effectLst/>
            </c:spPr>
            <c:txPr>
              <a:bodyPr rot="0" spcFirstLastPara="0" vertOverflow="ellipsis" vert="horz" wrap="none" lIns="38100" tIns="19050" rIns="38100" bIns="19050" anchor="ctr" anchorCtr="1"/>
              <a:lstStyle/>
              <a:p>
                <a:pPr>
                  <a:defRPr lang="zh-CN" sz="1000" b="0" i="0" u="none" strike="noStrike" kern="1200" spc="-1" baseline="0">
                    <a:solidFill>
                      <a:schemeClr val="tx1"/>
                    </a:solidFill>
                    <a:latin typeface="Arial" panose="020B0604020202020204" pitchFamily="2"/>
                    <a:ea typeface="+mn-ea"/>
                    <a:cs typeface="+mn-cs"/>
                  </a:defRPr>
                </a:pPr>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layout/>
                <c15:showLeaderLines val="1"/>
                <c15:leaderLines/>
              </c:ext>
            </c:extLst>
          </c:dLbls>
          <c:cat>
            <c:strRef>
              <c:f>'[工作表 在 小金县人大常委会办公室信息中心2025年度单位决算公开编制情况说明 (1).docx]Sheet1'!$C$2:$F$2</c:f>
              <c:strCache>
                <c:ptCount val="4"/>
                <c:pt idx="0">
                  <c:v>收入</c:v>
                </c:pt>
                <c:pt idx="1">
                  <c:v>支出</c:v>
                </c:pt>
              </c:strCache>
            </c:strRef>
          </c:cat>
          <c:val>
            <c:numRef>
              <c:f>'[工作表 在 小金县人大常委会办公室信息中心2025年度单位决算公开编制情况说明 (1).docx]Sheet1'!$C$3:$F$3</c:f>
              <c:numCache>
                <c:formatCode>General</c:formatCode>
                <c:ptCount val="4"/>
                <c:pt idx="0">
                  <c:v>71.47</c:v>
                </c:pt>
                <c:pt idx="1">
                  <c:v>71.47</c:v>
                </c:pt>
              </c:numCache>
            </c:numRef>
          </c:val>
        </c:ser>
        <c:ser>
          <c:idx val="1"/>
          <c:order val="1"/>
          <c:tx>
            <c:strRef>
              <c:f>'[工作表 在 小金县人大常委会办公室信息中心2025年度单位决算公开编制情况说明 (1).docx]Sheet1'!$B$4</c:f>
              <c:strCache>
                <c:ptCount val="1"/>
                <c:pt idx="0">
                  <c:v>2025</c:v>
                </c:pt>
              </c:strCache>
            </c:strRef>
          </c:tx>
          <c:spPr>
            <a:solidFill>
              <a:srgbClr val="EE822F"/>
            </a:solidFill>
            <a:ln w="0">
              <a:noFill/>
            </a:ln>
          </c:spPr>
          <c:invertIfNegative val="0"/>
          <c:dLbls>
            <c:spPr>
              <a:noFill/>
              <a:ln>
                <a:noFill/>
              </a:ln>
              <a:effectLst/>
            </c:spPr>
            <c:txPr>
              <a:bodyPr rot="0" spcFirstLastPara="0" vertOverflow="ellipsis" vert="horz" wrap="none" lIns="38100" tIns="19050" rIns="38100" bIns="19050" anchor="ctr" anchorCtr="1"/>
              <a:lstStyle/>
              <a:p>
                <a:pPr>
                  <a:defRPr lang="zh-CN" sz="1000" b="0" i="0" u="none" strike="noStrike" kern="1200" spc="-1" baseline="0">
                    <a:solidFill>
                      <a:schemeClr val="tx1"/>
                    </a:solidFill>
                    <a:latin typeface="Arial" panose="020B0604020202020204" pitchFamily="2"/>
                    <a:ea typeface="+mn-ea"/>
                    <a:cs typeface="+mn-cs"/>
                  </a:defRPr>
                </a:pPr>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layout/>
                <c15:showLeaderLines val="1"/>
                <c15:leaderLines/>
              </c:ext>
            </c:extLst>
          </c:dLbls>
          <c:cat>
            <c:strRef>
              <c:f>'[工作表 在 小金县人大常委会办公室信息中心2025年度单位决算公开编制情况说明 (1).docx]Sheet1'!$C$2:$F$2</c:f>
              <c:strCache>
                <c:ptCount val="4"/>
                <c:pt idx="0">
                  <c:v>收入</c:v>
                </c:pt>
                <c:pt idx="1">
                  <c:v>支出</c:v>
                </c:pt>
              </c:strCache>
            </c:strRef>
          </c:cat>
          <c:val>
            <c:numRef>
              <c:f>[0037f7261]Sheet1!$C$4:$F$4</c:f>
              <c:numCache>
                <c:formatCode>General</c:formatCode>
                <c:ptCount val="4"/>
                <c:pt idx="0">
                  <c:v>58.1</c:v>
                </c:pt>
                <c:pt idx="1">
                  <c:v>58.1</c:v>
                </c:pt>
              </c:numCache>
            </c:numRef>
          </c:val>
        </c:ser>
        <c:ser>
          <c:idx val="2"/>
          <c:order val="2"/>
          <c:tx>
            <c:strRef>
              <c:f>'[工作表 在 小金县人大常委会办公室信息中心2025年度单位决算公开编制情况说明 (1).docx]Sheet1'!$B$5</c:f>
              <c:strCache>
                <c:ptCount val="1"/>
                <c:pt idx="0">
                  <c:v/>
                </c:pt>
              </c:strCache>
            </c:strRef>
          </c:tx>
          <c:spPr>
            <a:solidFill>
              <a:srgbClr val="F2BA02"/>
            </a:solidFill>
            <a:ln w="0">
              <a:noFill/>
            </a:ln>
          </c:spPr>
          <c:invertIfNegative val="0"/>
          <c:dLbls>
            <c:spPr>
              <a:noFill/>
              <a:ln>
                <a:noFill/>
              </a:ln>
              <a:effectLst/>
            </c:spPr>
            <c:txPr>
              <a:bodyPr rot="0" spcFirstLastPara="0" vertOverflow="ellipsis" vert="horz" wrap="none" lIns="38100" tIns="19050" rIns="38100" bIns="19050" anchor="ctr" anchorCtr="1"/>
              <a:lstStyle/>
              <a:p>
                <a:pPr>
                  <a:defRPr lang="zh-CN" sz="1000" b="0" i="0" u="none" strike="noStrike" kern="1200" spc="-1" baseline="0">
                    <a:solidFill>
                      <a:schemeClr val="tx1"/>
                    </a:solidFill>
                    <a:latin typeface="Arial" panose="020B0604020202020204" pitchFamily="2"/>
                    <a:ea typeface="+mn-ea"/>
                    <a:cs typeface="+mn-cs"/>
                  </a:defRPr>
                </a:pPr>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layout/>
                <c15:showLeaderLines val="1"/>
                <c15:leaderLines/>
              </c:ext>
            </c:extLst>
          </c:dLbls>
          <c:cat>
            <c:strRef>
              <c:f>'[工作表 在 小金县人大常委会办公室信息中心2025年度单位决算公开编制情况说明 (1).docx]Sheet1'!$C$2:$F$2</c:f>
              <c:strCache>
                <c:ptCount val="4"/>
                <c:pt idx="0">
                  <c:v>收入</c:v>
                </c:pt>
                <c:pt idx="1">
                  <c:v>支出</c:v>
                </c:pt>
              </c:strCache>
            </c:strRef>
          </c:cat>
          <c:val>
            <c:numRef>
              <c:f>[0037f7261]Sheet1!$C$5:$F$5</c:f>
              <c:numCache>
                <c:formatCode>General</c:formatCode>
                <c:ptCount val="4"/>
              </c:numCache>
            </c:numRef>
          </c:val>
        </c:ser>
        <c:dLbls>
          <c:showLegendKey val="0"/>
          <c:showVal val="0"/>
          <c:showCatName val="0"/>
          <c:showSerName val="0"/>
          <c:showPercent val="0"/>
          <c:showBubbleSize val="1"/>
        </c:dLbls>
        <c:gapWidth val="219"/>
        <c:overlap val="-27"/>
        <c:axId val="97596058"/>
        <c:axId val="38553553"/>
      </c:barChart>
      <c:catAx>
        <c:axId val="97596058"/>
        <c:scaling>
          <c:orientation val="minMax"/>
        </c:scaling>
        <c:delete val="0"/>
        <c:axPos val="b"/>
        <c:numFmt formatCode="General" sourceLinked="1"/>
        <c:majorTickMark val="none"/>
        <c:minorTickMark val="none"/>
        <c:tickLblPos val="nextTo"/>
        <c:spPr>
          <a:ln w="0" cap="flat" cmpd="sng" algn="ctr">
            <a:solidFill>
              <a:srgbClr val="C0C0C0"/>
            </a:solidFill>
            <a:prstDash val="solid"/>
            <a:round/>
          </a:ln>
        </c:spPr>
        <c:txPr>
          <a:bodyPr rot="-60000000" spcFirstLastPara="0" vertOverflow="ellipsis" vert="horz" wrap="square" anchor="ctr" anchorCtr="1"/>
          <a:lstStyle/>
          <a:p>
            <a:pPr>
              <a:defRPr lang="zh-CN" sz="900" b="0" i="0" u="none" strike="noStrike" kern="1200" spc="-1" baseline="0">
                <a:solidFill>
                  <a:srgbClr val="333333"/>
                </a:solidFill>
                <a:latin typeface="宋体" panose="02010600030101010101" charset="-122"/>
                <a:ea typeface="宋体" panose="02010600030101010101" charset="-122"/>
                <a:cs typeface="+mn-cs"/>
              </a:defRPr>
            </a:pPr>
          </a:p>
        </c:txPr>
        <c:crossAx val="38553553"/>
        <c:crossesAt val="0"/>
        <c:auto val="1"/>
        <c:lblAlgn val="ctr"/>
        <c:lblOffset val="100"/>
        <c:noMultiLvlLbl val="0"/>
      </c:catAx>
      <c:valAx>
        <c:axId val="38553553"/>
        <c:scaling>
          <c:orientation val="minMax"/>
        </c:scaling>
        <c:delete val="0"/>
        <c:axPos val="l"/>
        <c:majorGridlines>
          <c:spPr>
            <a:ln w="0" cap="flat" cmpd="sng" algn="ctr">
              <a:solidFill>
                <a:srgbClr val="C0C0C0"/>
              </a:solidFill>
              <a:prstDash val="solid"/>
              <a:round/>
            </a:ln>
          </c:spPr>
        </c:majorGridlines>
        <c:numFmt formatCode="General" sourceLinked="1"/>
        <c:majorTickMark val="none"/>
        <c:minorTickMark val="none"/>
        <c:tickLblPos val="nextTo"/>
        <c:spPr>
          <a:ln w="0" cap="flat" cmpd="sng" algn="ctr">
            <a:noFill/>
            <a:prstDash val="solid"/>
            <a:round/>
          </a:ln>
        </c:spPr>
        <c:txPr>
          <a:bodyPr rot="-60000000" spcFirstLastPara="0" vertOverflow="ellipsis" vert="horz" wrap="square" anchor="ctr" anchorCtr="1"/>
          <a:lstStyle/>
          <a:p>
            <a:pPr>
              <a:defRPr lang="zh-CN" sz="900" b="0" i="0" u="none" strike="noStrike" kern="1200" spc="-1" baseline="0">
                <a:solidFill>
                  <a:srgbClr val="333333"/>
                </a:solidFill>
                <a:latin typeface="宋体" panose="02010600030101010101" charset="-122"/>
                <a:ea typeface="宋体" panose="02010600030101010101" charset="-122"/>
                <a:cs typeface="+mn-cs"/>
              </a:defRPr>
            </a:pPr>
          </a:p>
        </c:txPr>
        <c:crossAx val="97596058"/>
        <c:crossesAt val="1"/>
        <c:crossBetween val="midCat"/>
      </c:valAx>
      <c:dTable>
        <c:showHorzBorder val="0"/>
        <c:showVertBorder val="0"/>
        <c:showOutline val="0"/>
        <c:showKeys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w="0">
          <a:noFill/>
        </a:ln>
      </c:spPr>
    </c:plotArea>
    <c:legend>
      <c:legendPos val="r"/>
      <c:layout>
        <c:manualLayout>
          <c:xMode val="edge"/>
          <c:yMode val="edge"/>
          <c:x val="0.399859943977591"/>
          <c:y val="0.868635170603675"/>
        </c:manualLayout>
      </c:layout>
      <c:overlay val="0"/>
      <c:spPr>
        <a:noFill/>
        <a:ln w="0">
          <a:noFill/>
        </a:ln>
      </c:spPr>
      <c:txPr>
        <a:bodyPr rot="0" spcFirstLastPara="0" vertOverflow="ellipsis" vert="horz" wrap="square" anchor="ctr" anchorCtr="1"/>
        <a:lstStyle/>
        <a:p>
          <a:pPr>
            <a:defRPr lang="zh-CN" sz="900" b="0" i="0" u="none" strike="noStrike" kern="1200" spc="-1" baseline="0">
              <a:solidFill>
                <a:srgbClr val="333333"/>
              </a:solidFill>
              <a:latin typeface="宋体" panose="02010600030101010101" charset="-122"/>
              <a:ea typeface="宋体" panose="02010600030101010101" charset="-122"/>
              <a:cs typeface="+mn-cs"/>
            </a:defRPr>
          </a:pPr>
        </a:p>
      </c:txPr>
    </c:legend>
    <c:plotVisOnly val="1"/>
    <c:dispBlanksAs val="gap"/>
    <c:showDLblsOverMax val="0"/>
    <c:extLst>
      <c:ext uri="{0b15fc19-7d7d-44ad-8c2d-2c3a37ce22c3}">
        <chartProps xmlns="https://web.wps.cn/et/2018/main" chartId="{a536cfcf-2234-45ca-84b9-1e31036a3dd9}"/>
      </c:ext>
    </c:extLst>
  </c:chart>
  <c:spPr>
    <a:solidFill>
      <a:srgbClr val="FFFFFF"/>
    </a:solidFill>
    <a:ln w="0" cap="flat" cmpd="sng" algn="ctr">
      <a:solidFill>
        <a:srgbClr val="C0C0C0"/>
      </a:solidFill>
      <a:prstDash val="solid"/>
      <a:round/>
    </a:ln>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1" baseline="0">
                <a:solidFill>
                  <a:srgbClr val="333333"/>
                </a:solidFill>
                <a:latin typeface="宋体" panose="02010600030101010101" charset="-122"/>
                <a:ea typeface="宋体" panose="02010600030101010101" charset="-122"/>
                <a:cs typeface="+mn-cs"/>
              </a:defRPr>
            </a:pPr>
            <a:r>
              <a:rPr sz="1400" b="0" strike="noStrike" spc="-1">
                <a:solidFill>
                  <a:srgbClr val="333333"/>
                </a:solidFill>
                <a:latin typeface="宋体" panose="02010600030101010101" charset="-122"/>
                <a:ea typeface="宋体" panose="02010600030101010101" charset="-122"/>
              </a:rPr>
              <a:t>收支对比图</a:t>
            </a:r>
            <a:endParaRPr sz="1400" b="0" strike="noStrike" spc="-1">
              <a:solidFill>
                <a:srgbClr val="333333"/>
              </a:solidFill>
              <a:latin typeface="宋体" panose="02010600030101010101" charset="-122"/>
              <a:ea typeface="宋体" panose="02010600030101010101" charset="-122"/>
            </a:endParaRPr>
          </a:p>
        </c:rich>
      </c:tx>
      <c:layout/>
      <c:overlay val="0"/>
      <c:spPr>
        <a:noFill/>
        <a:ln w="0">
          <a:noFill/>
        </a:ln>
      </c:spPr>
    </c:title>
    <c:autoTitleDeleted val="0"/>
    <c:plotArea>
      <c:layout>
        <c:manualLayout>
          <c:xMode val="edge"/>
          <c:yMode val="edge"/>
          <c:x val="0.101680672268908"/>
          <c:y val="0.19750656167979"/>
          <c:w val="0.868417366946779"/>
          <c:h val="0.599737532808399"/>
        </c:manualLayout>
      </c:layout>
      <c:barChart>
        <c:barDir val="col"/>
        <c:grouping val="clustered"/>
        <c:varyColors val="0"/>
        <c:ser>
          <c:idx val="0"/>
          <c:order val="0"/>
          <c:tx>
            <c:strRef>
              <c:f>'[工作表 在 小金县人大常委会办公室信息中心2025年度单位决算公开编制情况说明 (1).docx]Sheet1'!$B$3</c:f>
              <c:strCache>
                <c:ptCount val="1"/>
                <c:pt idx="0">
                  <c:v>2024</c:v>
                </c:pt>
              </c:strCache>
            </c:strRef>
          </c:tx>
          <c:spPr>
            <a:solidFill>
              <a:srgbClr val="4874CB"/>
            </a:solidFill>
            <a:ln w="0">
              <a:noFill/>
            </a:ln>
          </c:spPr>
          <c:invertIfNegative val="0"/>
          <c:dLbls>
            <c:spPr>
              <a:noFill/>
              <a:ln>
                <a:noFill/>
              </a:ln>
              <a:effectLst/>
            </c:spPr>
            <c:txPr>
              <a:bodyPr rot="0" spcFirstLastPara="0" vertOverflow="ellipsis" vert="horz" wrap="none" lIns="38100" tIns="19050" rIns="38100" bIns="19050" anchor="ctr" anchorCtr="1"/>
              <a:lstStyle/>
              <a:p>
                <a:pPr>
                  <a:defRPr lang="zh-CN" sz="1000" b="0" i="0" u="none" strike="noStrike" kern="1200" spc="-1" baseline="0">
                    <a:solidFill>
                      <a:schemeClr val="tx1"/>
                    </a:solidFill>
                    <a:latin typeface="Arial" panose="020B0604020202020204" pitchFamily="2"/>
                    <a:ea typeface="+mn-ea"/>
                    <a:cs typeface="+mn-cs"/>
                  </a:defRPr>
                </a:pPr>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layout/>
                <c15:showLeaderLines val="1"/>
                <c15:leaderLines/>
              </c:ext>
            </c:extLst>
          </c:dLbls>
          <c:cat>
            <c:strRef>
              <c:f>'[工作表 在 小金县人大常委会办公室信息中心2025年度单位决算公开编制情况说明 (1).docx]Sheet1'!$C$2:$F$2</c:f>
              <c:strCache>
                <c:ptCount val="4"/>
                <c:pt idx="0">
                  <c:v>收入</c:v>
                </c:pt>
                <c:pt idx="1">
                  <c:v>支出</c:v>
                </c:pt>
              </c:strCache>
            </c:strRef>
          </c:cat>
          <c:val>
            <c:numRef>
              <c:f>'[工作表 在 小金县人大常委会办公室信息中心2025年度单位决算公开编制情况说明 (1).docx]Sheet1'!$C$3:$F$3</c:f>
              <c:numCache>
                <c:formatCode>General</c:formatCode>
                <c:ptCount val="4"/>
                <c:pt idx="0">
                  <c:v>71.47</c:v>
                </c:pt>
                <c:pt idx="1">
                  <c:v>71.47</c:v>
                </c:pt>
              </c:numCache>
            </c:numRef>
          </c:val>
        </c:ser>
        <c:ser>
          <c:idx val="1"/>
          <c:order val="1"/>
          <c:tx>
            <c:strRef>
              <c:f>'[工作表 在 小金县人大常委会办公室信息中心2025年度单位决算公开编制情况说明 (1).docx]Sheet1'!$B$4</c:f>
              <c:strCache>
                <c:ptCount val="1"/>
                <c:pt idx="0">
                  <c:v>2025</c:v>
                </c:pt>
              </c:strCache>
            </c:strRef>
          </c:tx>
          <c:spPr>
            <a:solidFill>
              <a:srgbClr val="EE822F"/>
            </a:solidFill>
            <a:ln w="0">
              <a:noFill/>
            </a:ln>
          </c:spPr>
          <c:invertIfNegative val="0"/>
          <c:dLbls>
            <c:spPr>
              <a:noFill/>
              <a:ln>
                <a:noFill/>
              </a:ln>
              <a:effectLst/>
            </c:spPr>
            <c:txPr>
              <a:bodyPr rot="0" spcFirstLastPara="0" vertOverflow="ellipsis" vert="horz" wrap="none" lIns="38100" tIns="19050" rIns="38100" bIns="19050" anchor="ctr" anchorCtr="1"/>
              <a:lstStyle/>
              <a:p>
                <a:pPr>
                  <a:defRPr lang="zh-CN" sz="1000" b="0" i="0" u="none" strike="noStrike" kern="1200" spc="-1" baseline="0">
                    <a:solidFill>
                      <a:schemeClr val="tx1"/>
                    </a:solidFill>
                    <a:latin typeface="Arial" panose="020B0604020202020204" pitchFamily="2"/>
                    <a:ea typeface="+mn-ea"/>
                    <a:cs typeface="+mn-cs"/>
                  </a:defRPr>
                </a:pPr>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layout/>
                <c15:showLeaderLines val="1"/>
                <c15:leaderLines/>
              </c:ext>
            </c:extLst>
          </c:dLbls>
          <c:cat>
            <c:strRef>
              <c:f>'[工作表 在 小金县人大常委会办公室信息中心2025年度单位决算公开编制情况说明 (1).docx]Sheet1'!$C$2:$F$2</c:f>
              <c:strCache>
                <c:ptCount val="4"/>
                <c:pt idx="0">
                  <c:v>收入</c:v>
                </c:pt>
                <c:pt idx="1">
                  <c:v>支出</c:v>
                </c:pt>
              </c:strCache>
            </c:strRef>
          </c:cat>
          <c:val>
            <c:numRef>
              <c:f>[0037f7261]Sheet1!$C$4:$F$4</c:f>
              <c:numCache>
                <c:formatCode>General</c:formatCode>
                <c:ptCount val="4"/>
                <c:pt idx="0">
                  <c:v>58.1</c:v>
                </c:pt>
                <c:pt idx="1">
                  <c:v>58.1</c:v>
                </c:pt>
              </c:numCache>
            </c:numRef>
          </c:val>
        </c:ser>
        <c:ser>
          <c:idx val="2"/>
          <c:order val="2"/>
          <c:tx>
            <c:strRef>
              <c:f>'[工作表 在 小金县人大常委会办公室信息中心2025年度单位决算公开编制情况说明 (1).docx]Sheet1'!$B$5</c:f>
              <c:strCache>
                <c:ptCount val="1"/>
                <c:pt idx="0">
                  <c:v/>
                </c:pt>
              </c:strCache>
            </c:strRef>
          </c:tx>
          <c:spPr>
            <a:solidFill>
              <a:srgbClr val="F2BA02"/>
            </a:solidFill>
            <a:ln w="0">
              <a:noFill/>
            </a:ln>
          </c:spPr>
          <c:invertIfNegative val="0"/>
          <c:dLbls>
            <c:spPr>
              <a:noFill/>
              <a:ln>
                <a:noFill/>
              </a:ln>
              <a:effectLst/>
            </c:spPr>
            <c:txPr>
              <a:bodyPr rot="0" spcFirstLastPara="0" vertOverflow="ellipsis" vert="horz" wrap="none" lIns="38100" tIns="19050" rIns="38100" bIns="19050" anchor="ctr" anchorCtr="1"/>
              <a:lstStyle/>
              <a:p>
                <a:pPr>
                  <a:defRPr lang="zh-CN" sz="1000" b="0" i="0" u="none" strike="noStrike" kern="1200" spc="-1" baseline="0">
                    <a:solidFill>
                      <a:schemeClr val="tx1"/>
                    </a:solidFill>
                    <a:latin typeface="Arial" panose="020B0604020202020204" pitchFamily="2"/>
                    <a:ea typeface="+mn-ea"/>
                    <a:cs typeface="+mn-cs"/>
                  </a:defRPr>
                </a:pPr>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layout/>
                <c15:showLeaderLines val="1"/>
                <c15:leaderLines/>
              </c:ext>
            </c:extLst>
          </c:dLbls>
          <c:cat>
            <c:strRef>
              <c:f>'[工作表 在 小金县人大常委会办公室信息中心2025年度单位决算公开编制情况说明 (1).docx]Sheet1'!$C$2:$F$2</c:f>
              <c:strCache>
                <c:ptCount val="4"/>
                <c:pt idx="0">
                  <c:v>收入</c:v>
                </c:pt>
                <c:pt idx="1">
                  <c:v>支出</c:v>
                </c:pt>
              </c:strCache>
            </c:strRef>
          </c:cat>
          <c:val>
            <c:numRef>
              <c:f>[0037f7261]Sheet1!$C$5:$F$5</c:f>
              <c:numCache>
                <c:formatCode>General</c:formatCode>
                <c:ptCount val="4"/>
              </c:numCache>
            </c:numRef>
          </c:val>
        </c:ser>
        <c:dLbls>
          <c:showLegendKey val="0"/>
          <c:showVal val="0"/>
          <c:showCatName val="0"/>
          <c:showSerName val="0"/>
          <c:showPercent val="0"/>
          <c:showBubbleSize val="1"/>
        </c:dLbls>
        <c:gapWidth val="219"/>
        <c:overlap val="-27"/>
        <c:axId val="97596058"/>
        <c:axId val="38553553"/>
      </c:barChart>
      <c:catAx>
        <c:axId val="97596058"/>
        <c:scaling>
          <c:orientation val="minMax"/>
        </c:scaling>
        <c:delete val="0"/>
        <c:axPos val="b"/>
        <c:numFmt formatCode="General" sourceLinked="1"/>
        <c:majorTickMark val="none"/>
        <c:minorTickMark val="none"/>
        <c:tickLblPos val="nextTo"/>
        <c:spPr>
          <a:ln w="0" cap="flat" cmpd="sng" algn="ctr">
            <a:solidFill>
              <a:srgbClr val="C0C0C0"/>
            </a:solidFill>
            <a:prstDash val="solid"/>
            <a:round/>
          </a:ln>
        </c:spPr>
        <c:txPr>
          <a:bodyPr rot="-60000000" spcFirstLastPara="0" vertOverflow="ellipsis" vert="horz" wrap="square" anchor="ctr" anchorCtr="1"/>
          <a:lstStyle/>
          <a:p>
            <a:pPr>
              <a:defRPr lang="zh-CN" sz="900" b="0" i="0" u="none" strike="noStrike" kern="1200" spc="-1" baseline="0">
                <a:solidFill>
                  <a:srgbClr val="333333"/>
                </a:solidFill>
                <a:latin typeface="宋体" panose="02010600030101010101" charset="-122"/>
                <a:ea typeface="宋体" panose="02010600030101010101" charset="-122"/>
                <a:cs typeface="+mn-cs"/>
              </a:defRPr>
            </a:pPr>
          </a:p>
        </c:txPr>
        <c:crossAx val="38553553"/>
        <c:crossesAt val="0"/>
        <c:auto val="1"/>
        <c:lblAlgn val="ctr"/>
        <c:lblOffset val="100"/>
        <c:noMultiLvlLbl val="0"/>
      </c:catAx>
      <c:valAx>
        <c:axId val="38553553"/>
        <c:scaling>
          <c:orientation val="minMax"/>
        </c:scaling>
        <c:delete val="0"/>
        <c:axPos val="l"/>
        <c:majorGridlines>
          <c:spPr>
            <a:ln w="0" cap="flat" cmpd="sng" algn="ctr">
              <a:solidFill>
                <a:srgbClr val="C0C0C0"/>
              </a:solidFill>
              <a:prstDash val="solid"/>
              <a:round/>
            </a:ln>
          </c:spPr>
        </c:majorGridlines>
        <c:numFmt formatCode="General" sourceLinked="1"/>
        <c:majorTickMark val="none"/>
        <c:minorTickMark val="none"/>
        <c:tickLblPos val="nextTo"/>
        <c:spPr>
          <a:ln w="0" cap="flat" cmpd="sng" algn="ctr">
            <a:noFill/>
            <a:prstDash val="solid"/>
            <a:round/>
          </a:ln>
        </c:spPr>
        <c:txPr>
          <a:bodyPr rot="-60000000" spcFirstLastPara="0" vertOverflow="ellipsis" vert="horz" wrap="square" anchor="ctr" anchorCtr="1"/>
          <a:lstStyle/>
          <a:p>
            <a:pPr>
              <a:defRPr lang="zh-CN" sz="900" b="0" i="0" u="none" strike="noStrike" kern="1200" spc="-1" baseline="0">
                <a:solidFill>
                  <a:srgbClr val="333333"/>
                </a:solidFill>
                <a:latin typeface="宋体" panose="02010600030101010101" charset="-122"/>
                <a:ea typeface="宋体" panose="02010600030101010101" charset="-122"/>
                <a:cs typeface="+mn-cs"/>
              </a:defRPr>
            </a:pPr>
          </a:p>
        </c:txPr>
        <c:crossAx val="97596058"/>
        <c:crossesAt val="1"/>
        <c:crossBetween val="midCat"/>
      </c:valAx>
      <c:dTable>
        <c:showHorzBorder val="0"/>
        <c:showVertBorder val="0"/>
        <c:showOutline val="0"/>
        <c:showKeys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dTable>
      <c:spPr>
        <a:noFill/>
        <a:ln w="0">
          <a:noFill/>
        </a:ln>
      </c:spPr>
    </c:plotArea>
    <c:legend>
      <c:legendPos val="r"/>
      <c:layout>
        <c:manualLayout>
          <c:xMode val="edge"/>
          <c:yMode val="edge"/>
          <c:x val="0.399859943977591"/>
          <c:y val="0.868635170603675"/>
        </c:manualLayout>
      </c:layout>
      <c:overlay val="0"/>
      <c:spPr>
        <a:noFill/>
        <a:ln w="0">
          <a:noFill/>
        </a:ln>
      </c:spPr>
      <c:txPr>
        <a:bodyPr rot="0" spcFirstLastPara="0" vertOverflow="ellipsis" vert="horz" wrap="square" anchor="ctr" anchorCtr="1"/>
        <a:lstStyle/>
        <a:p>
          <a:pPr>
            <a:defRPr lang="zh-CN" sz="900" b="0" i="0" u="none" strike="noStrike" kern="1200" spc="-1" baseline="0">
              <a:solidFill>
                <a:srgbClr val="333333"/>
              </a:solidFill>
              <a:latin typeface="宋体" panose="02010600030101010101" charset="-122"/>
              <a:ea typeface="宋体" panose="02010600030101010101" charset="-122"/>
              <a:cs typeface="+mn-cs"/>
            </a:defRPr>
          </a:pPr>
        </a:p>
      </c:txPr>
    </c:legend>
    <c:plotVisOnly val="1"/>
    <c:dispBlanksAs val="gap"/>
    <c:showDLblsOverMax val="0"/>
    <c:extLst>
      <c:ext uri="{0b15fc19-7d7d-44ad-8c2d-2c3a37ce22c3}">
        <chartProps xmlns="https://web.wps.cn/et/2018/main" chartId="{a536cfcf-2234-45ca-84b9-1e31036a3dd9}"/>
      </c:ext>
    </c:extLst>
  </c:chart>
  <c:spPr>
    <a:solidFill>
      <a:srgbClr val="FFFFFF"/>
    </a:solidFill>
    <a:ln w="0" cap="flat" cmpd="sng" algn="ctr">
      <a:solidFill>
        <a:srgbClr val="C0C0C0"/>
      </a:solidFill>
      <a:prstDash val="solid"/>
      <a:round/>
    </a:ln>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6289</Words>
  <Characters>6938</Characters>
  <TotalTime>2</TotalTime>
  <ScaleCrop>false</ScaleCrop>
  <LinksUpToDate>false</LinksUpToDate>
  <CharactersWithSpaces>7001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我是谁</cp:lastModifiedBy>
  <cp:lastPrinted>2026-10-12T02:20:00Z</cp:lastPrinted>
  <dcterms:modified xsi:type="dcterms:W3CDTF">2026-10-12T02:45:47Z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F36CD25B47A747D4A4008254CA8A0460_13</vt:lpwstr>
  </property>
  <property fmtid="{D5CDD505-2E9C-101B-9397-08002B2CF9AE}" pid="3" name="KSOProductBuildVer">
    <vt:lpwstr>2052-12.1.0.28505</vt:lpwstr>
  </property>
  <property fmtid="{D5CDD505-2E9C-101B-9397-08002B2CF9AE}" pid="4" name="KSOTemplateDocerSaveRecord">
    <vt:lpwstr>eyJoZGlkIjoiZDQyZGYyNGYyYzk1ZmMzNTMwYWFkYWQ1YWFjZWE5NGQiLCJ1c2VySWQiOiIzMzM0MTQxODYifQ==</vt:lpwstr>
  </property>
</Properties>
</file>