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C7287">
      <w:pPr>
        <w:spacing w:line="600" w:lineRule="exact"/>
        <w:jc w:val="center"/>
        <w:outlineLvl w:val="0"/>
        <w:rPr>
          <w:rFonts w:ascii="方正小标宋简体" w:hAnsi="宋体" w:eastAsia="方正小标宋简体"/>
          <w:color w:val="auto"/>
          <w:sz w:val="72"/>
          <w:szCs w:val="72"/>
          <w:highlight w:val="none"/>
        </w:rPr>
      </w:pPr>
      <w:bookmarkStart w:id="0" w:name="_Toc15377425"/>
      <w:bookmarkStart w:id="1" w:name="_Toc15396597"/>
      <w:bookmarkStart w:id="2" w:name="_Toc15377193"/>
      <w:bookmarkStart w:id="3" w:name="_Toc15378441"/>
      <w:bookmarkStart w:id="4" w:name="_Toc15396475"/>
      <w:bookmarkStart w:id="5" w:name="_Toc15306267"/>
    </w:p>
    <w:p w14:paraId="795CEF50">
      <w:pPr>
        <w:spacing w:line="600" w:lineRule="exact"/>
        <w:jc w:val="center"/>
        <w:outlineLvl w:val="0"/>
        <w:rPr>
          <w:rFonts w:ascii="方正小标宋简体" w:hAnsi="宋体" w:eastAsia="方正小标宋简体"/>
          <w:color w:val="auto"/>
          <w:sz w:val="72"/>
          <w:szCs w:val="72"/>
          <w:highlight w:val="none"/>
        </w:rPr>
      </w:pPr>
    </w:p>
    <w:p w14:paraId="52CEECFD">
      <w:pPr>
        <w:spacing w:line="600" w:lineRule="exact"/>
        <w:jc w:val="center"/>
        <w:outlineLvl w:val="0"/>
        <w:rPr>
          <w:rFonts w:ascii="方正小标宋简体" w:hAnsi="宋体" w:eastAsia="方正小标宋简体"/>
          <w:color w:val="auto"/>
          <w:sz w:val="72"/>
          <w:szCs w:val="72"/>
          <w:highlight w:val="none"/>
        </w:rPr>
      </w:pPr>
    </w:p>
    <w:p w14:paraId="6A44C4A5">
      <w:pPr>
        <w:adjustRightInd w:val="0"/>
        <w:snapToGrid w:val="0"/>
        <w:spacing w:line="360" w:lineRule="auto"/>
        <w:jc w:val="center"/>
        <w:outlineLvl w:val="0"/>
        <w:rPr>
          <w:rFonts w:hint="eastAsia" w:ascii="方正小标宋简体" w:hAnsi="方正小标宋简体" w:eastAsia="方正小标宋简体" w:cs="方正小标宋简体"/>
          <w:color w:val="auto"/>
          <w:sz w:val="56"/>
          <w:szCs w:val="56"/>
          <w:highlight w:val="none"/>
        </w:rPr>
      </w:pPr>
      <w:r>
        <w:rPr>
          <w:rFonts w:hint="eastAsia" w:ascii="方正小标宋简体" w:hAnsi="方正小标宋简体" w:eastAsia="方正小标宋简体" w:cs="方正小标宋简体"/>
          <w:color w:val="auto"/>
          <w:sz w:val="56"/>
          <w:szCs w:val="56"/>
          <w:highlight w:val="none"/>
        </w:rPr>
        <w:t>20</w:t>
      </w:r>
      <w:r>
        <w:rPr>
          <w:rFonts w:hint="eastAsia" w:ascii="方正小标宋简体" w:hAnsi="方正小标宋简体" w:eastAsia="方正小标宋简体" w:cs="方正小标宋简体"/>
          <w:color w:val="auto"/>
          <w:sz w:val="56"/>
          <w:szCs w:val="56"/>
          <w:highlight w:val="none"/>
          <w:lang w:val="en-US" w:eastAsia="zh-CN"/>
        </w:rPr>
        <w:t>25</w:t>
      </w:r>
      <w:r>
        <w:rPr>
          <w:rFonts w:hint="eastAsia" w:ascii="方正小标宋简体" w:hAnsi="方正小标宋简体" w:eastAsia="方正小标宋简体" w:cs="方正小标宋简体"/>
          <w:color w:val="auto"/>
          <w:sz w:val="56"/>
          <w:szCs w:val="56"/>
          <w:highlight w:val="none"/>
        </w:rPr>
        <w:t>年度</w:t>
      </w:r>
      <w:bookmarkEnd w:id="0"/>
      <w:bookmarkEnd w:id="1"/>
      <w:bookmarkEnd w:id="2"/>
      <w:bookmarkEnd w:id="3"/>
      <w:bookmarkEnd w:id="4"/>
    </w:p>
    <w:p w14:paraId="51271D38">
      <w:pPr>
        <w:adjustRightInd w:val="0"/>
        <w:snapToGrid w:val="0"/>
        <w:spacing w:line="360" w:lineRule="auto"/>
        <w:jc w:val="center"/>
        <w:outlineLvl w:val="0"/>
        <w:rPr>
          <w:rFonts w:hint="default" w:ascii="方正小标宋简体" w:hAnsi="方正小标宋简体" w:eastAsia="方正小标宋简体" w:cs="方正小标宋简体"/>
          <w:color w:val="auto"/>
          <w:sz w:val="56"/>
          <w:szCs w:val="56"/>
          <w:highlight w:val="none"/>
          <w:lang w:val="en-US" w:eastAsia="zh-CN"/>
        </w:rPr>
      </w:pPr>
      <w:bookmarkStart w:id="6" w:name="_Toc15377194"/>
      <w:bookmarkStart w:id="7" w:name="_Toc15396476"/>
      <w:bookmarkStart w:id="8" w:name="_Toc15378442"/>
      <w:bookmarkStart w:id="9" w:name="_Toc15396598"/>
      <w:bookmarkStart w:id="10" w:name="_Toc15377426"/>
      <w:r>
        <w:rPr>
          <w:rFonts w:hint="eastAsia" w:ascii="方正小标宋简体" w:hAnsi="方正小标宋简体" w:eastAsia="方正小标宋简体" w:cs="方正小标宋简体"/>
          <w:color w:val="auto"/>
          <w:sz w:val="56"/>
          <w:szCs w:val="56"/>
          <w:highlight w:val="none"/>
        </w:rPr>
        <w:t>四川省</w:t>
      </w:r>
      <w:bookmarkEnd w:id="5"/>
      <w:bookmarkStart w:id="11" w:name="_Toc15306268"/>
      <w:r>
        <w:rPr>
          <w:rFonts w:hint="eastAsia" w:ascii="方正小标宋简体" w:hAnsi="方正小标宋简体" w:eastAsia="方正小标宋简体" w:cs="方正小标宋简体"/>
          <w:color w:val="auto"/>
          <w:sz w:val="56"/>
          <w:szCs w:val="56"/>
          <w:highlight w:val="none"/>
          <w:lang w:val="en-US" w:eastAsia="zh-CN"/>
        </w:rPr>
        <w:t>小金县信访接待中</w:t>
      </w:r>
    </w:p>
    <w:p w14:paraId="0CB585B7">
      <w:pPr>
        <w:adjustRightInd w:val="0"/>
        <w:snapToGrid w:val="0"/>
        <w:spacing w:line="360" w:lineRule="auto"/>
        <w:jc w:val="center"/>
        <w:outlineLvl w:val="0"/>
        <w:rPr>
          <w:rFonts w:hint="eastAsia" w:ascii="方正小标宋简体" w:hAnsi="方正小标宋简体" w:eastAsia="方正小标宋简体" w:cs="方正小标宋简体"/>
          <w:color w:val="auto"/>
          <w:sz w:val="56"/>
          <w:szCs w:val="56"/>
          <w:highlight w:val="none"/>
        </w:rPr>
      </w:pPr>
      <w:r>
        <w:rPr>
          <w:rFonts w:hint="eastAsia" w:ascii="方正小标宋简体" w:hAnsi="方正小标宋简体" w:eastAsia="方正小标宋简体" w:cs="方正小标宋简体"/>
          <w:color w:val="auto"/>
          <w:sz w:val="56"/>
          <w:szCs w:val="56"/>
          <w:highlight w:val="none"/>
        </w:rPr>
        <w:t>部门决算</w:t>
      </w:r>
      <w:bookmarkEnd w:id="6"/>
      <w:bookmarkEnd w:id="7"/>
      <w:bookmarkEnd w:id="8"/>
      <w:bookmarkEnd w:id="9"/>
      <w:bookmarkEnd w:id="10"/>
      <w:bookmarkEnd w:id="11"/>
    </w:p>
    <w:p w14:paraId="09DB0A24">
      <w:pPr>
        <w:pStyle w:val="6"/>
        <w:rPr>
          <w:rFonts w:hint="default" w:eastAsia="方正小标宋简体"/>
          <w:lang w:val="en-US" w:eastAsia="zh-CN"/>
        </w:rPr>
      </w:pPr>
      <w:r>
        <w:rPr>
          <w:rFonts w:hint="eastAsia" w:ascii="方正小标宋简体" w:hAnsi="方正小标宋简体" w:eastAsia="方正小标宋简体" w:cs="方正小标宋简体"/>
          <w:color w:val="auto"/>
          <w:sz w:val="56"/>
          <w:szCs w:val="56"/>
          <w:highlight w:val="none"/>
          <w:lang w:val="en-US" w:eastAsia="zh-CN"/>
        </w:rPr>
        <w:t xml:space="preserve">            </w:t>
      </w:r>
      <w:r>
        <w:rPr>
          <w:rFonts w:hint="eastAsia" w:ascii="方正小标宋简体" w:hAnsi="方正小标宋简体" w:eastAsia="方正小标宋简体" w:cs="方正小标宋简体"/>
          <w:color w:val="auto"/>
          <w:sz w:val="48"/>
          <w:szCs w:val="48"/>
          <w:highlight w:val="none"/>
          <w:lang w:val="en-US" w:eastAsia="zh-CN"/>
        </w:rPr>
        <w:t>（事业）</w:t>
      </w:r>
    </w:p>
    <w:p w14:paraId="3CF8AC06">
      <w:pPr>
        <w:pStyle w:val="6"/>
        <w:rPr>
          <w:rFonts w:hint="eastAsia"/>
        </w:rPr>
      </w:pPr>
    </w:p>
    <w:p w14:paraId="49A3CFF9">
      <w:pPr>
        <w:widowControl/>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279650BE">
      <w:pPr>
        <w:widowControl/>
        <w:jc w:val="center"/>
        <w:rPr>
          <w:rFonts w:ascii="黑体" w:hAnsi="黑体" w:eastAsia="黑体" w:cstheme="minorBidi"/>
          <w:color w:val="auto"/>
          <w:sz w:val="28"/>
          <w:szCs w:val="28"/>
          <w:highlight w:val="none"/>
        </w:rPr>
      </w:pPr>
    </w:p>
    <w:p w14:paraId="1B5DCB38">
      <w:pPr>
        <w:pStyle w:val="14"/>
        <w:rPr>
          <w:rFonts w:hint="default"/>
          <w:color w:val="auto"/>
          <w:highlight w:val="none"/>
          <w:lang w:val="en-US"/>
        </w:rPr>
      </w:pPr>
      <w:r>
        <w:rPr>
          <w:rFonts w:hint="eastAsia"/>
          <w:color w:val="auto"/>
          <w:highlight w:val="none"/>
        </w:rPr>
        <w:t>公开时间：20</w:t>
      </w:r>
      <w:r>
        <w:rPr>
          <w:rFonts w:hint="eastAsia"/>
          <w:color w:val="auto"/>
          <w:highlight w:val="none"/>
          <w:lang w:val="en-US" w:eastAsia="zh-CN"/>
        </w:rPr>
        <w:t>26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 xml:space="preserve"> 16日</w:t>
      </w:r>
    </w:p>
    <w:sdt>
      <w:sdtPr>
        <w:rPr>
          <w:rFonts w:ascii="宋体" w:hAnsi="宋体" w:eastAsia="宋体" w:cs="Times New Roman"/>
          <w:kern w:val="2"/>
          <w:sz w:val="21"/>
          <w:szCs w:val="24"/>
          <w:lang w:val="en-US" w:eastAsia="zh-CN" w:bidi="ar-SA"/>
        </w:rPr>
        <w:id w:val="147461448"/>
        <w15:color w:val="DBDBDB"/>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55C0EE14">
          <w:pPr>
            <w:spacing w:before="0" w:beforeLines="0" w:after="0" w:afterLines="0" w:line="240" w:lineRule="auto"/>
            <w:ind w:left="0" w:leftChars="0" w:right="0" w:rightChars="0" w:firstLine="0" w:firstLineChars="0"/>
            <w:jc w:val="center"/>
          </w:pPr>
          <w:bookmarkStart w:id="12" w:name="_Toc13791_WPSOffice_Type2"/>
          <w:r>
            <w:rPr>
              <w:rFonts w:ascii="宋体" w:hAnsi="宋体" w:eastAsia="宋体"/>
              <w:sz w:val="21"/>
            </w:rPr>
            <w:t>目录</w:t>
          </w:r>
        </w:p>
        <w:p w14:paraId="26D2F588">
          <w:pPr>
            <w:pStyle w:val="38"/>
            <w:tabs>
              <w:tab w:val="right" w:leader="dot" w:pos="8306"/>
            </w:tabs>
          </w:pPr>
          <w:r>
            <w:rPr>
              <w:b/>
              <w:bCs/>
            </w:rPr>
            <w:fldChar w:fldCharType="begin"/>
          </w:r>
          <w:r>
            <w:instrText xml:space="preserve"> HYPERLINK \l _Toc20630_WPSOffice_Level1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2612"/>
              <w:placeholder>
                <w:docPart w:val="{38ecef94-5902-4523-ae8d-f3dcdc281b52}"/>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第一部分 部门概况</w:t>
              </w:r>
            </w:sdtContent>
          </w:sdt>
          <w:r>
            <w:rPr>
              <w:b/>
              <w:bCs/>
            </w:rPr>
            <w:tab/>
          </w:r>
          <w:r>
            <w:rPr>
              <w:rFonts w:hint="eastAsia"/>
              <w:b/>
              <w:bCs/>
              <w:lang w:val="en-US" w:eastAsia="zh-CN"/>
            </w:rPr>
            <w:t>3</w:t>
          </w:r>
          <w:r>
            <w:rPr>
              <w:b/>
              <w:bCs/>
            </w:rPr>
            <w:fldChar w:fldCharType="end"/>
          </w:r>
        </w:p>
        <w:p w14:paraId="4AB15DE6">
          <w:pPr>
            <w:pStyle w:val="39"/>
            <w:tabs>
              <w:tab w:val="right" w:leader="dot" w:pos="8306"/>
            </w:tabs>
          </w:pPr>
          <w:r>
            <w:fldChar w:fldCharType="begin"/>
          </w:r>
          <w:r>
            <w:instrText xml:space="preserve"> HYPERLINK \l _Toc13791_WPSOffice_Level2 </w:instrText>
          </w:r>
          <w:r>
            <w:fldChar w:fldCharType="separate"/>
          </w:r>
          <w:sdt>
            <w:sdtPr>
              <w:rPr>
                <w:rFonts w:ascii="Times New Roman" w:hAnsi="Times New Roman" w:eastAsia="宋体" w:cs="Times New Roman"/>
                <w:kern w:val="2"/>
                <w:sz w:val="21"/>
                <w:szCs w:val="24"/>
                <w:lang w:val="en-US" w:eastAsia="zh-CN" w:bidi="ar-SA"/>
              </w:rPr>
              <w:id w:val="147451939"/>
              <w:placeholder>
                <w:docPart w:val="{38e32eca-91db-48bb-a838-1acefd3d438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一、部门职责</w:t>
              </w:r>
            </w:sdtContent>
          </w:sdt>
          <w:r>
            <w:tab/>
          </w:r>
          <w:r>
            <w:rPr>
              <w:rFonts w:hint="eastAsia"/>
              <w:lang w:val="en-US" w:eastAsia="zh-CN"/>
            </w:rPr>
            <w:t>3</w:t>
          </w:r>
          <w:r>
            <w:fldChar w:fldCharType="end"/>
          </w:r>
        </w:p>
        <w:p w14:paraId="49994A15">
          <w:pPr>
            <w:pStyle w:val="39"/>
            <w:tabs>
              <w:tab w:val="right" w:leader="dot" w:pos="8306"/>
            </w:tabs>
          </w:pPr>
          <w:r>
            <w:fldChar w:fldCharType="begin"/>
          </w:r>
          <w:r>
            <w:instrText xml:space="preserve"> HYPERLINK \l _Toc20630_WPSOffice_Level2 </w:instrText>
          </w:r>
          <w:r>
            <w:fldChar w:fldCharType="separate"/>
          </w:r>
          <w:sdt>
            <w:sdtPr>
              <w:rPr>
                <w:rFonts w:ascii="Times New Roman" w:hAnsi="Times New Roman" w:eastAsia="宋体" w:cs="Times New Roman"/>
                <w:kern w:val="2"/>
                <w:sz w:val="21"/>
                <w:szCs w:val="24"/>
                <w:lang w:val="en-US" w:eastAsia="zh-CN" w:bidi="ar-SA"/>
              </w:rPr>
              <w:id w:val="147458632"/>
              <w:placeholder>
                <w:docPart w:val="{0d276873-cbb3-43e0-9b1e-96ff4242519b}"/>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eastAsia="黑体" w:hAnsiTheme="majorHAnsi" w:cstheme="majorBidi"/>
                </w:rPr>
                <w:t>二、</w:t>
              </w:r>
              <w:r>
                <w:rPr>
                  <w:rFonts w:hint="eastAsia" w:ascii="黑体" w:hAnsi="黑体" w:eastAsia="黑体" w:cstheme="majorBidi"/>
                </w:rPr>
                <w:t>机构设置</w:t>
              </w:r>
            </w:sdtContent>
          </w:sdt>
          <w:r>
            <w:tab/>
          </w:r>
          <w:r>
            <w:rPr>
              <w:rFonts w:hint="eastAsia"/>
              <w:lang w:val="en-US" w:eastAsia="zh-CN"/>
            </w:rPr>
            <w:t>3</w:t>
          </w:r>
          <w:r>
            <w:fldChar w:fldCharType="end"/>
          </w:r>
        </w:p>
        <w:p w14:paraId="3A3F5404">
          <w:pPr>
            <w:pStyle w:val="38"/>
            <w:tabs>
              <w:tab w:val="right" w:leader="dot" w:pos="8306"/>
            </w:tabs>
          </w:pPr>
          <w:r>
            <w:rPr>
              <w:b/>
              <w:bCs/>
            </w:rPr>
            <w:fldChar w:fldCharType="begin"/>
          </w:r>
          <w:r>
            <w:instrText xml:space="preserve"> HYPERLINK \l _Toc6457_WPSOffice_Level1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8300"/>
              <w:placeholder>
                <w:docPart w:val="{c635b9b5-8dd0-403f-98db-945bc351bcdf}"/>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第二部分 202</w:t>
              </w:r>
              <w:r>
                <w:rPr>
                  <w:rFonts w:hint="eastAsia" w:ascii="黑体" w:hAnsi="黑体" w:eastAsia="黑体" w:cs="Times New Roman"/>
                  <w:b/>
                  <w:bCs/>
                  <w:lang w:val="en-US" w:eastAsia="zh-CN"/>
                </w:rPr>
                <w:t>5</w:t>
              </w:r>
              <w:r>
                <w:rPr>
                  <w:rFonts w:hint="eastAsia" w:ascii="黑体" w:hAnsi="黑体" w:eastAsia="黑体" w:cs="Times New Roman"/>
                  <w:b/>
                  <w:bCs/>
                </w:rPr>
                <w:t>年度部门决算情况说明</w:t>
              </w:r>
            </w:sdtContent>
          </w:sdt>
          <w:r>
            <w:rPr>
              <w:b/>
              <w:bCs/>
            </w:rPr>
            <w:tab/>
          </w:r>
          <w:r>
            <w:rPr>
              <w:rFonts w:hint="eastAsia"/>
              <w:b/>
              <w:bCs/>
              <w:lang w:val="en-US" w:eastAsia="zh-CN"/>
            </w:rPr>
            <w:t>3</w:t>
          </w:r>
          <w:r>
            <w:rPr>
              <w:b/>
              <w:bCs/>
            </w:rPr>
            <w:fldChar w:fldCharType="end"/>
          </w:r>
        </w:p>
        <w:p w14:paraId="35E10237">
          <w:pPr>
            <w:pStyle w:val="39"/>
            <w:tabs>
              <w:tab w:val="right" w:leader="dot" w:pos="8306"/>
            </w:tabs>
          </w:pPr>
          <w:r>
            <w:fldChar w:fldCharType="begin"/>
          </w:r>
          <w:r>
            <w:instrText xml:space="preserve"> HYPERLINK \l _Toc6457_WPSOffice_Level2 </w:instrText>
          </w:r>
          <w:r>
            <w:fldChar w:fldCharType="separate"/>
          </w:r>
          <w:sdt>
            <w:sdtPr>
              <w:rPr>
                <w:rFonts w:ascii="Times New Roman" w:hAnsi="Times New Roman" w:eastAsia="宋体" w:cs="Times New Roman"/>
                <w:kern w:val="2"/>
                <w:sz w:val="21"/>
                <w:szCs w:val="24"/>
                <w:lang w:val="en-US" w:eastAsia="zh-CN" w:bidi="ar-SA"/>
              </w:rPr>
              <w:id w:val="147480388"/>
              <w:placeholder>
                <w:docPart w:val="{752c8316-53dd-4c39-bb90-2668de07c0ac}"/>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一、 </w:t>
              </w:r>
              <w:r>
                <w:rPr>
                  <w:rFonts w:hint="eastAsia" w:ascii="黑体" w:hAnsi="黑体" w:eastAsia="黑体" w:cs="Times New Roman"/>
                </w:rPr>
                <w:t>收</w:t>
              </w:r>
              <w:r>
                <w:rPr>
                  <w:rFonts w:hint="eastAsia" w:ascii="黑体" w:hAnsi="黑体" w:eastAsia="黑体" w:cstheme="majorBidi"/>
                </w:rPr>
                <w:t>入支出决算总体情况说明</w:t>
              </w:r>
            </w:sdtContent>
          </w:sdt>
          <w:r>
            <w:tab/>
          </w:r>
          <w:r>
            <w:rPr>
              <w:rFonts w:hint="eastAsia"/>
              <w:lang w:val="en-US" w:eastAsia="zh-CN"/>
            </w:rPr>
            <w:t>3</w:t>
          </w:r>
          <w:r>
            <w:fldChar w:fldCharType="end"/>
          </w:r>
        </w:p>
        <w:p w14:paraId="568610CF">
          <w:pPr>
            <w:pStyle w:val="39"/>
            <w:tabs>
              <w:tab w:val="right" w:leader="dot" w:pos="8306"/>
            </w:tabs>
          </w:pPr>
          <w:r>
            <w:fldChar w:fldCharType="begin"/>
          </w:r>
          <w:r>
            <w:instrText xml:space="preserve"> HYPERLINK \l _Toc5354_WPSOffice_Level2 </w:instrText>
          </w:r>
          <w:r>
            <w:fldChar w:fldCharType="separate"/>
          </w:r>
          <w:sdt>
            <w:sdtPr>
              <w:rPr>
                <w:rFonts w:ascii="Times New Roman" w:hAnsi="Times New Roman" w:eastAsia="宋体" w:cs="Times New Roman"/>
                <w:kern w:val="2"/>
                <w:sz w:val="21"/>
                <w:szCs w:val="24"/>
                <w:lang w:val="en-US" w:eastAsia="zh-CN" w:bidi="ar-SA"/>
              </w:rPr>
              <w:id w:val="147453906"/>
              <w:placeholder>
                <w:docPart w:val="{faeecf69-7122-467a-9ef9-ce31c8566b8c}"/>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二、 </w:t>
              </w:r>
              <w:r>
                <w:rPr>
                  <w:rFonts w:hint="eastAsia" w:ascii="黑体" w:hAnsi="黑体" w:eastAsia="黑体" w:cs="Times New Roman"/>
                </w:rPr>
                <w:t>收</w:t>
              </w:r>
              <w:r>
                <w:rPr>
                  <w:rFonts w:hint="eastAsia" w:ascii="黑体" w:hAnsi="黑体" w:eastAsia="黑体" w:cstheme="majorBidi"/>
                </w:rPr>
                <w:t>入决算情况说明</w:t>
              </w:r>
            </w:sdtContent>
          </w:sdt>
          <w:r>
            <w:tab/>
          </w:r>
          <w:r>
            <w:rPr>
              <w:rFonts w:hint="eastAsia"/>
              <w:lang w:val="en-US" w:eastAsia="zh-CN"/>
            </w:rPr>
            <w:t>4</w:t>
          </w:r>
          <w:r>
            <w:fldChar w:fldCharType="end"/>
          </w:r>
        </w:p>
        <w:p w14:paraId="7E865F96">
          <w:pPr>
            <w:pStyle w:val="39"/>
            <w:tabs>
              <w:tab w:val="right" w:leader="dot" w:pos="8306"/>
            </w:tabs>
          </w:pPr>
          <w:r>
            <w:fldChar w:fldCharType="begin"/>
          </w:r>
          <w:r>
            <w:instrText xml:space="preserve"> HYPERLINK \l _Toc313_WPSOffice_Level2 </w:instrText>
          </w:r>
          <w:r>
            <w:fldChar w:fldCharType="separate"/>
          </w:r>
          <w:sdt>
            <w:sdtPr>
              <w:rPr>
                <w:rFonts w:ascii="Times New Roman" w:hAnsi="Times New Roman" w:eastAsia="宋体" w:cs="Times New Roman"/>
                <w:kern w:val="2"/>
                <w:sz w:val="21"/>
                <w:szCs w:val="24"/>
                <w:lang w:val="en-US" w:eastAsia="zh-CN" w:bidi="ar-SA"/>
              </w:rPr>
              <w:id w:val="147481670"/>
              <w:placeholder>
                <w:docPart w:val="{d4da7243-0be9-4322-bb4e-14408e3c21cb}"/>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黑体" w:hAnsi="黑体" w:eastAsia="黑体" w:cstheme="majorBidi"/>
                </w:rPr>
                <w:t xml:space="preserve">三、 </w:t>
              </w:r>
              <w:r>
                <w:rPr>
                  <w:rFonts w:hint="eastAsia" w:ascii="黑体" w:hAnsi="黑体" w:eastAsia="黑体" w:cs="Times New Roman"/>
                </w:rPr>
                <w:t>支</w:t>
              </w:r>
              <w:r>
                <w:rPr>
                  <w:rFonts w:hint="eastAsia" w:ascii="黑体" w:hAnsi="黑体" w:eastAsia="黑体" w:cstheme="majorBidi"/>
                </w:rPr>
                <w:t>出决算情况说明</w:t>
              </w:r>
            </w:sdtContent>
          </w:sdt>
          <w:r>
            <w:tab/>
          </w:r>
          <w:r>
            <w:rPr>
              <w:rFonts w:hint="eastAsia"/>
              <w:lang w:val="en-US" w:eastAsia="zh-CN"/>
            </w:rPr>
            <w:t>4</w:t>
          </w:r>
          <w:r>
            <w:fldChar w:fldCharType="end"/>
          </w:r>
        </w:p>
        <w:p w14:paraId="425A98C6">
          <w:pPr>
            <w:pStyle w:val="39"/>
            <w:tabs>
              <w:tab w:val="right" w:leader="dot" w:pos="8306"/>
            </w:tabs>
          </w:pPr>
          <w:r>
            <w:fldChar w:fldCharType="begin"/>
          </w:r>
          <w:r>
            <w:instrText xml:space="preserve"> HYPERLINK \l _Toc15769_WPSOffice_Level2 </w:instrText>
          </w:r>
          <w:r>
            <w:fldChar w:fldCharType="separate"/>
          </w:r>
          <w:sdt>
            <w:sdtPr>
              <w:rPr>
                <w:rFonts w:ascii="Times New Roman" w:hAnsi="Times New Roman" w:eastAsia="宋体" w:cs="Times New Roman"/>
                <w:kern w:val="2"/>
                <w:sz w:val="21"/>
                <w:szCs w:val="24"/>
                <w:lang w:val="en-US" w:eastAsia="zh-CN" w:bidi="ar-SA"/>
              </w:rPr>
              <w:id w:val="147465120"/>
              <w:placeholder>
                <w:docPart w:val="{45c74954-a477-443e-8719-5583d091caed}"/>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四、财</w:t>
              </w:r>
              <w:r>
                <w:rPr>
                  <w:rFonts w:hint="eastAsia" w:ascii="黑体" w:hAnsi="黑体" w:eastAsia="黑体" w:cstheme="majorBidi"/>
                </w:rPr>
                <w:t>政拨款收入支出决算总体情况说明</w:t>
              </w:r>
            </w:sdtContent>
          </w:sdt>
          <w:r>
            <w:tab/>
          </w:r>
          <w:r>
            <w:rPr>
              <w:rFonts w:hint="eastAsia"/>
              <w:lang w:val="en-US" w:eastAsia="zh-CN"/>
            </w:rPr>
            <w:t>4</w:t>
          </w:r>
          <w:r>
            <w:fldChar w:fldCharType="end"/>
          </w:r>
        </w:p>
        <w:p w14:paraId="44C58D2A">
          <w:pPr>
            <w:pStyle w:val="39"/>
            <w:tabs>
              <w:tab w:val="right" w:leader="dot" w:pos="8306"/>
            </w:tabs>
          </w:pPr>
          <w:r>
            <w:fldChar w:fldCharType="begin"/>
          </w:r>
          <w:r>
            <w:instrText xml:space="preserve"> HYPERLINK \l _Toc26178_WPSOffice_Level2 </w:instrText>
          </w:r>
          <w:r>
            <w:fldChar w:fldCharType="separate"/>
          </w:r>
          <w:sdt>
            <w:sdtPr>
              <w:rPr>
                <w:rFonts w:ascii="Times New Roman" w:hAnsi="Times New Roman" w:eastAsia="宋体" w:cs="Times New Roman"/>
                <w:kern w:val="2"/>
                <w:sz w:val="21"/>
                <w:szCs w:val="24"/>
                <w:lang w:val="en-US" w:eastAsia="zh-CN" w:bidi="ar-SA"/>
              </w:rPr>
              <w:id w:val="147464773"/>
              <w:placeholder>
                <w:docPart w:val="{a9e5c1c2-89ec-4c7b-827a-f97a0463f76b}"/>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五、一</w:t>
              </w:r>
              <w:r>
                <w:rPr>
                  <w:rFonts w:hint="eastAsia" w:ascii="黑体" w:hAnsi="黑体" w:eastAsia="黑体" w:cstheme="majorBidi"/>
                </w:rPr>
                <w:t>般公共预算财政拨款支出决算情况说明</w:t>
              </w:r>
            </w:sdtContent>
          </w:sdt>
          <w:r>
            <w:tab/>
          </w:r>
          <w:r>
            <w:rPr>
              <w:rFonts w:hint="eastAsia"/>
              <w:lang w:val="en-US" w:eastAsia="zh-CN"/>
            </w:rPr>
            <w:t>4</w:t>
          </w:r>
          <w:r>
            <w:fldChar w:fldCharType="end"/>
          </w:r>
        </w:p>
        <w:p w14:paraId="73A15DA9">
          <w:pPr>
            <w:pStyle w:val="39"/>
            <w:tabs>
              <w:tab w:val="right" w:leader="dot" w:pos="8306"/>
            </w:tabs>
            <w:rPr>
              <w:rFonts w:hint="eastAsia" w:eastAsia="宋体"/>
              <w:lang w:val="en-US" w:eastAsia="zh-CN"/>
            </w:rPr>
          </w:pPr>
          <w:r>
            <w:fldChar w:fldCharType="begin"/>
          </w:r>
          <w:r>
            <w:instrText xml:space="preserve"> HYPERLINK \l _Toc28123_WPSOffice_Level2 </w:instrText>
          </w:r>
          <w:r>
            <w:fldChar w:fldCharType="separate"/>
          </w:r>
          <w:sdt>
            <w:sdtPr>
              <w:rPr>
                <w:rFonts w:ascii="Times New Roman" w:hAnsi="Times New Roman" w:eastAsia="宋体" w:cs="Times New Roman"/>
                <w:kern w:val="2"/>
                <w:sz w:val="21"/>
                <w:szCs w:val="24"/>
                <w:lang w:val="en-US" w:eastAsia="zh-CN" w:bidi="ar-SA"/>
              </w:rPr>
              <w:id w:val="147476428"/>
              <w:placeholder>
                <w:docPart w:val="{a93befac-47f5-473e-8443-49bda7671bd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六、</w:t>
              </w:r>
              <w:r>
                <w:rPr>
                  <w:rFonts w:hint="eastAsia" w:ascii="黑体" w:hAnsi="黑体" w:eastAsia="黑体" w:cs="Times New Roman"/>
                </w:rPr>
                <w:t>一</w:t>
              </w:r>
              <w:r>
                <w:rPr>
                  <w:rFonts w:hint="eastAsia" w:ascii="黑体" w:hAnsi="黑体" w:eastAsia="黑体" w:cstheme="majorBidi"/>
                </w:rPr>
                <w:t>般公共预算财政拨款基本支出决算情况说明</w:t>
              </w:r>
            </w:sdtContent>
          </w:sdt>
          <w:r>
            <w:tab/>
          </w:r>
          <w:r>
            <w:rPr>
              <w:rFonts w:hint="eastAsia"/>
              <w:lang w:val="en-US" w:eastAsia="zh-CN"/>
            </w:rPr>
            <w:t>5</w:t>
          </w:r>
          <w:r>
            <w:fldChar w:fldCharType="end"/>
          </w:r>
        </w:p>
        <w:p w14:paraId="014D8447">
          <w:pPr>
            <w:pStyle w:val="39"/>
            <w:tabs>
              <w:tab w:val="right" w:leader="dot" w:pos="8306"/>
            </w:tabs>
          </w:pPr>
          <w:r>
            <w:fldChar w:fldCharType="begin"/>
          </w:r>
          <w:r>
            <w:instrText xml:space="preserve"> HYPERLINK \l _Toc16777_WPSOffice_Level2 </w:instrText>
          </w:r>
          <w:r>
            <w:fldChar w:fldCharType="separate"/>
          </w:r>
          <w:sdt>
            <w:sdtPr>
              <w:rPr>
                <w:rFonts w:ascii="Times New Roman" w:hAnsi="Times New Roman" w:eastAsia="宋体" w:cs="Times New Roman"/>
                <w:kern w:val="2"/>
                <w:sz w:val="21"/>
                <w:szCs w:val="24"/>
                <w:lang w:val="en-US" w:eastAsia="zh-CN" w:bidi="ar-SA"/>
              </w:rPr>
              <w:id w:val="147450911"/>
              <w:placeholder>
                <w:docPart w:val="{337801bc-72e2-409e-9b2a-b3135f0dba1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七、</w:t>
              </w:r>
              <w:r>
                <w:rPr>
                  <w:rFonts w:hint="eastAsia" w:ascii="黑体" w:hAnsi="黑体" w:eastAsia="黑体" w:cstheme="majorBidi"/>
                </w:rPr>
                <w:t>财政拨款“三公”经费支出决算情况说明</w:t>
              </w:r>
            </w:sdtContent>
          </w:sdt>
          <w:r>
            <w:tab/>
          </w:r>
          <w:r>
            <w:rPr>
              <w:rFonts w:hint="eastAsia"/>
              <w:lang w:val="en-US" w:eastAsia="zh-CN"/>
            </w:rPr>
            <w:t>6</w:t>
          </w:r>
          <w:r>
            <w:fldChar w:fldCharType="end"/>
          </w:r>
        </w:p>
        <w:p w14:paraId="49A6E052">
          <w:pPr>
            <w:pStyle w:val="39"/>
            <w:tabs>
              <w:tab w:val="right" w:leader="dot" w:pos="8306"/>
            </w:tabs>
          </w:pPr>
          <w:r>
            <w:fldChar w:fldCharType="begin"/>
          </w:r>
          <w:r>
            <w:instrText xml:space="preserve"> HYPERLINK \l _Toc31105_WPSOffice_Level2 </w:instrText>
          </w:r>
          <w:r>
            <w:fldChar w:fldCharType="separate"/>
          </w:r>
          <w:sdt>
            <w:sdtPr>
              <w:rPr>
                <w:rFonts w:ascii="Times New Roman" w:hAnsi="Times New Roman" w:eastAsia="宋体" w:cs="Times New Roman"/>
                <w:kern w:val="2"/>
                <w:sz w:val="21"/>
                <w:szCs w:val="24"/>
                <w:lang w:val="en-US" w:eastAsia="zh-CN" w:bidi="ar-SA"/>
              </w:rPr>
              <w:id w:val="147457151"/>
              <w:placeholder>
                <w:docPart w:val="{6f341652-f6fc-403c-bd63-fda70a847a0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Times New Roman" w:eastAsia="黑体" w:cs="Times New Roman"/>
                </w:rPr>
                <w:t>八、</w:t>
              </w:r>
              <w:r>
                <w:rPr>
                  <w:rFonts w:hint="eastAsia" w:ascii="黑体" w:hAnsi="黑体" w:eastAsia="黑体" w:cstheme="majorBidi"/>
                </w:rPr>
                <w:t>政府性基金预算支出决算情况说明</w:t>
              </w:r>
            </w:sdtContent>
          </w:sdt>
          <w:r>
            <w:tab/>
          </w:r>
          <w:r>
            <w:rPr>
              <w:rFonts w:hint="eastAsia"/>
              <w:lang w:val="en-US" w:eastAsia="zh-CN"/>
            </w:rPr>
            <w:t>7</w:t>
          </w:r>
          <w:r>
            <w:fldChar w:fldCharType="end"/>
          </w:r>
        </w:p>
        <w:p w14:paraId="425A4A74">
          <w:pPr>
            <w:pStyle w:val="39"/>
            <w:tabs>
              <w:tab w:val="right" w:leader="dot" w:pos="8306"/>
            </w:tabs>
          </w:pPr>
          <w:r>
            <w:fldChar w:fldCharType="begin"/>
          </w:r>
          <w:r>
            <w:instrText xml:space="preserve"> HYPERLINK \l _Toc8514_WPSOffice_Level2 </w:instrText>
          </w:r>
          <w:r>
            <w:fldChar w:fldCharType="separate"/>
          </w:r>
          <w:sdt>
            <w:sdtPr>
              <w:rPr>
                <w:rFonts w:ascii="Times New Roman" w:hAnsi="Times New Roman" w:eastAsia="宋体" w:cs="Times New Roman"/>
                <w:kern w:val="2"/>
                <w:sz w:val="21"/>
                <w:szCs w:val="24"/>
                <w:lang w:val="en-US" w:eastAsia="zh-CN" w:bidi="ar-SA"/>
              </w:rPr>
              <w:id w:val="147463973"/>
              <w:placeholder>
                <w:docPart w:val="{0e4bfcc7-53b1-48f4-846c-abc92f584d68}"/>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九、 国有资本经营预算支出决算情况说明</w:t>
              </w:r>
            </w:sdtContent>
          </w:sdt>
          <w:r>
            <w:tab/>
          </w:r>
          <w:r>
            <w:rPr>
              <w:rFonts w:hint="eastAsia"/>
              <w:lang w:val="en-US" w:eastAsia="zh-CN"/>
            </w:rPr>
            <w:t>7</w:t>
          </w:r>
          <w:r>
            <w:fldChar w:fldCharType="end"/>
          </w:r>
        </w:p>
        <w:p w14:paraId="072B74DC">
          <w:pPr>
            <w:pStyle w:val="39"/>
            <w:tabs>
              <w:tab w:val="right" w:leader="dot" w:pos="8306"/>
            </w:tabs>
          </w:pPr>
          <w:r>
            <w:fldChar w:fldCharType="begin"/>
          </w:r>
          <w:r>
            <w:instrText xml:space="preserve"> HYPERLINK \l _Toc16629_WPSOffice_Level2 </w:instrText>
          </w:r>
          <w:r>
            <w:fldChar w:fldCharType="separate"/>
          </w:r>
          <w:sdt>
            <w:sdtPr>
              <w:rPr>
                <w:rFonts w:ascii="Times New Roman" w:hAnsi="Times New Roman" w:eastAsia="宋体" w:cs="Times New Roman"/>
                <w:kern w:val="2"/>
                <w:sz w:val="21"/>
                <w:szCs w:val="24"/>
                <w:lang w:val="en-US" w:eastAsia="zh-CN" w:bidi="ar-SA"/>
              </w:rPr>
              <w:id w:val="147480688"/>
              <w:placeholder>
                <w:docPart w:val="{02beafa0-5e31-454f-8a6a-6e419e83594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heme="majorBidi"/>
                </w:rPr>
                <w:t>十、 其他重要事项的情况说明</w:t>
              </w:r>
            </w:sdtContent>
          </w:sdt>
          <w:r>
            <w:tab/>
          </w:r>
          <w:r>
            <w:rPr>
              <w:rFonts w:hint="eastAsia"/>
              <w:lang w:val="en-US" w:eastAsia="zh-CN"/>
            </w:rPr>
            <w:t>7</w:t>
          </w:r>
          <w:r>
            <w:fldChar w:fldCharType="end"/>
          </w:r>
        </w:p>
        <w:p w14:paraId="39A0676A">
          <w:pPr>
            <w:pStyle w:val="38"/>
            <w:tabs>
              <w:tab w:val="right" w:leader="dot" w:pos="8306"/>
            </w:tabs>
            <w:rPr>
              <w:rFonts w:hint="eastAsia" w:eastAsia="宋体"/>
              <w:lang w:val="en-US" w:eastAsia="zh-CN"/>
            </w:rPr>
          </w:pPr>
          <w:r>
            <w:rPr>
              <w:b/>
              <w:bCs/>
            </w:rPr>
            <w:fldChar w:fldCharType="begin"/>
          </w:r>
          <w:r>
            <w:instrText xml:space="preserve"> HYPERLINK \l _Toc5354_WPSOffice_Level1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2709"/>
              <w:placeholder>
                <w:docPart w:val="{eb3b63fe-080e-41ba-bdc0-f1f8e37fa45b}"/>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第三部分 名词解释</w:t>
              </w:r>
            </w:sdtContent>
          </w:sdt>
          <w:r>
            <w:rPr>
              <w:b/>
              <w:bCs/>
            </w:rPr>
            <w:tab/>
          </w:r>
          <w:r>
            <w:rPr>
              <w:rFonts w:hint="eastAsia"/>
              <w:b/>
              <w:bCs/>
              <w:lang w:val="en-US" w:eastAsia="zh-CN"/>
            </w:rPr>
            <w:t>9</w:t>
          </w:r>
          <w:r>
            <w:rPr>
              <w:b/>
              <w:bCs/>
            </w:rPr>
            <w:fldChar w:fldCharType="end"/>
          </w:r>
        </w:p>
        <w:p w14:paraId="58E35D72">
          <w:pPr>
            <w:pStyle w:val="38"/>
            <w:tabs>
              <w:tab w:val="right" w:leader="dot" w:pos="8306"/>
            </w:tabs>
            <w:rPr>
              <w:rFonts w:hint="eastAsia" w:eastAsia="宋体"/>
              <w:lang w:val="en-US" w:eastAsia="zh-CN"/>
            </w:rPr>
          </w:pPr>
          <w:r>
            <w:rPr>
              <w:b/>
              <w:bCs/>
            </w:rPr>
            <w:fldChar w:fldCharType="begin"/>
          </w:r>
          <w:r>
            <w:instrText xml:space="preserve"> HYPERLINK \l _Toc15769_WPSOffice_Level1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8617"/>
              <w:placeholder>
                <w:docPart w:val="{5f716dfd-c44e-42d9-bb8d-a05d194c4004}"/>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Times New Roman"/>
                  <w:b/>
                  <w:bCs/>
                </w:rPr>
                <w:t>第</w:t>
              </w:r>
              <w:r>
                <w:rPr>
                  <w:rFonts w:hint="eastAsia" w:ascii="黑体" w:hAnsi="黑体" w:eastAsia="黑体" w:cs="Times New Roman"/>
                  <w:b/>
                  <w:bCs/>
                  <w:lang w:val="en-US" w:eastAsia="zh-CN"/>
                </w:rPr>
                <w:t>四</w:t>
              </w:r>
              <w:r>
                <w:rPr>
                  <w:rFonts w:hint="eastAsia" w:ascii="黑体" w:hAnsi="黑体" w:eastAsia="黑体" w:cs="Times New Roman"/>
                  <w:b/>
                  <w:bCs/>
                </w:rPr>
                <w:t>部分 附表</w:t>
              </w:r>
            </w:sdtContent>
          </w:sdt>
          <w:r>
            <w:rPr>
              <w:b/>
              <w:bCs/>
            </w:rPr>
            <w:tab/>
          </w:r>
          <w:r>
            <w:rPr>
              <w:rFonts w:hint="eastAsia"/>
              <w:b/>
              <w:bCs/>
              <w:lang w:val="en-US" w:eastAsia="zh-CN"/>
            </w:rPr>
            <w:t>1</w:t>
          </w:r>
          <w:r>
            <w:rPr>
              <w:b/>
              <w:bCs/>
            </w:rPr>
            <w:fldChar w:fldCharType="end"/>
          </w:r>
          <w:r>
            <w:rPr>
              <w:rFonts w:hint="eastAsia"/>
              <w:b/>
              <w:bCs/>
              <w:lang w:val="en-US" w:eastAsia="zh-CN"/>
            </w:rPr>
            <w:t>2</w:t>
          </w:r>
        </w:p>
        <w:p w14:paraId="78EFC416">
          <w:pPr>
            <w:pStyle w:val="39"/>
            <w:tabs>
              <w:tab w:val="right" w:leader="dot" w:pos="8306"/>
            </w:tabs>
            <w:rPr>
              <w:rFonts w:hint="eastAsia" w:eastAsia="宋体"/>
              <w:lang w:val="en-US" w:eastAsia="zh-CN"/>
            </w:rPr>
          </w:pPr>
          <w:r>
            <w:fldChar w:fldCharType="begin"/>
          </w:r>
          <w:r>
            <w:instrText xml:space="preserve"> HYPERLINK \l _Toc18099_WPSOffice_Level2 </w:instrText>
          </w:r>
          <w:r>
            <w:fldChar w:fldCharType="separate"/>
          </w:r>
          <w:sdt>
            <w:sdtPr>
              <w:rPr>
                <w:rFonts w:ascii="Times New Roman" w:hAnsi="Times New Roman" w:eastAsia="宋体" w:cs="Times New Roman"/>
                <w:kern w:val="2"/>
                <w:sz w:val="21"/>
                <w:szCs w:val="24"/>
                <w:lang w:val="en-US" w:eastAsia="zh-CN" w:bidi="ar-SA"/>
              </w:rPr>
              <w:id w:val="147467672"/>
              <w:placeholder>
                <w:docPart w:val="{ec1cab99-81e7-4f80-b919-7999a162743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一、收入支出决算总表</w:t>
              </w:r>
            </w:sdtContent>
          </w:sdt>
          <w:r>
            <w:tab/>
          </w:r>
          <w:r>
            <w:rPr>
              <w:rFonts w:hint="eastAsia"/>
              <w:lang w:val="en-US" w:eastAsia="zh-CN"/>
            </w:rPr>
            <w:t>1</w:t>
          </w:r>
          <w:r>
            <w:fldChar w:fldCharType="end"/>
          </w:r>
          <w:r>
            <w:rPr>
              <w:rFonts w:hint="eastAsia"/>
              <w:lang w:val="en-US" w:eastAsia="zh-CN"/>
            </w:rPr>
            <w:t>2</w:t>
          </w:r>
        </w:p>
        <w:p w14:paraId="5491A1E3">
          <w:pPr>
            <w:pStyle w:val="39"/>
            <w:tabs>
              <w:tab w:val="right" w:leader="dot" w:pos="8306"/>
            </w:tabs>
            <w:rPr>
              <w:rFonts w:hint="eastAsia" w:eastAsia="宋体"/>
              <w:lang w:val="en-US" w:eastAsia="zh-CN"/>
            </w:rPr>
          </w:pPr>
          <w:r>
            <w:fldChar w:fldCharType="begin"/>
          </w:r>
          <w:r>
            <w:instrText xml:space="preserve"> HYPERLINK \l _Toc24189_WPSOffice_Level2 </w:instrText>
          </w:r>
          <w:r>
            <w:fldChar w:fldCharType="separate"/>
          </w:r>
          <w:sdt>
            <w:sdtPr>
              <w:rPr>
                <w:rFonts w:ascii="Times New Roman" w:hAnsi="Times New Roman" w:eastAsia="宋体" w:cs="Times New Roman"/>
                <w:kern w:val="2"/>
                <w:sz w:val="21"/>
                <w:szCs w:val="24"/>
                <w:lang w:val="en-US" w:eastAsia="zh-CN" w:bidi="ar-SA"/>
              </w:rPr>
              <w:id w:val="147474644"/>
              <w:placeholder>
                <w:docPart w:val="{03c61c13-7ed7-450b-bd41-538d1a4befca}"/>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二、收入决算表</w:t>
              </w:r>
            </w:sdtContent>
          </w:sdt>
          <w:r>
            <w:tab/>
          </w:r>
          <w:r>
            <w:rPr>
              <w:rFonts w:hint="eastAsia"/>
              <w:lang w:val="en-US" w:eastAsia="zh-CN"/>
            </w:rPr>
            <w:t>1</w:t>
          </w:r>
          <w:r>
            <w:fldChar w:fldCharType="end"/>
          </w:r>
          <w:r>
            <w:rPr>
              <w:rFonts w:hint="eastAsia"/>
              <w:lang w:val="en-US" w:eastAsia="zh-CN"/>
            </w:rPr>
            <w:t>2</w:t>
          </w:r>
        </w:p>
        <w:p w14:paraId="1F87F34E">
          <w:pPr>
            <w:pStyle w:val="39"/>
            <w:tabs>
              <w:tab w:val="right" w:leader="dot" w:pos="8306"/>
            </w:tabs>
            <w:rPr>
              <w:rFonts w:hint="eastAsia" w:eastAsia="宋体"/>
              <w:lang w:val="en-US" w:eastAsia="zh-CN"/>
            </w:rPr>
          </w:pPr>
          <w:r>
            <w:fldChar w:fldCharType="begin"/>
          </w:r>
          <w:r>
            <w:instrText xml:space="preserve"> HYPERLINK \l _Toc4572_WPSOffice_Level2 </w:instrText>
          </w:r>
          <w:r>
            <w:fldChar w:fldCharType="separate"/>
          </w:r>
          <w:sdt>
            <w:sdtPr>
              <w:rPr>
                <w:rFonts w:ascii="Times New Roman" w:hAnsi="Times New Roman" w:eastAsia="宋体" w:cs="Times New Roman"/>
                <w:kern w:val="2"/>
                <w:sz w:val="21"/>
                <w:szCs w:val="24"/>
                <w:lang w:val="en-US" w:eastAsia="zh-CN" w:bidi="ar-SA"/>
              </w:rPr>
              <w:id w:val="147483016"/>
              <w:placeholder>
                <w:docPart w:val="{63a26222-1a33-4770-9b41-4c7b64a34372}"/>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三、支出决算表</w:t>
              </w:r>
            </w:sdtContent>
          </w:sdt>
          <w:r>
            <w:tab/>
          </w:r>
          <w:r>
            <w:rPr>
              <w:rFonts w:hint="eastAsia"/>
              <w:lang w:val="en-US" w:eastAsia="zh-CN"/>
            </w:rPr>
            <w:t>1</w:t>
          </w:r>
          <w:r>
            <w:fldChar w:fldCharType="end"/>
          </w:r>
          <w:r>
            <w:rPr>
              <w:rFonts w:hint="eastAsia"/>
              <w:lang w:val="en-US" w:eastAsia="zh-CN"/>
            </w:rPr>
            <w:t>2</w:t>
          </w:r>
        </w:p>
        <w:p w14:paraId="06597B22">
          <w:pPr>
            <w:pStyle w:val="39"/>
            <w:tabs>
              <w:tab w:val="right" w:leader="dot" w:pos="8306"/>
            </w:tabs>
            <w:rPr>
              <w:rFonts w:hint="eastAsia" w:eastAsia="宋体"/>
              <w:lang w:val="en-US" w:eastAsia="zh-CN"/>
            </w:rPr>
          </w:pPr>
          <w:r>
            <w:fldChar w:fldCharType="begin"/>
          </w:r>
          <w:r>
            <w:instrText xml:space="preserve"> HYPERLINK \l _Toc6524_WPSOffice_Level2 </w:instrText>
          </w:r>
          <w:r>
            <w:fldChar w:fldCharType="separate"/>
          </w:r>
          <w:sdt>
            <w:sdtPr>
              <w:rPr>
                <w:rFonts w:ascii="Times New Roman" w:hAnsi="Times New Roman" w:eastAsia="宋体" w:cs="Times New Roman"/>
                <w:kern w:val="2"/>
                <w:sz w:val="21"/>
                <w:szCs w:val="24"/>
                <w:lang w:val="en-US" w:eastAsia="zh-CN" w:bidi="ar-SA"/>
              </w:rPr>
              <w:id w:val="147465800"/>
              <w:placeholder>
                <w:docPart w:val="{55593fbd-7cd2-419a-929a-31ef07a7e07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四、财政拨款收入支出决算总表</w:t>
              </w:r>
            </w:sdtContent>
          </w:sdt>
          <w:r>
            <w:tab/>
          </w:r>
          <w:r>
            <w:rPr>
              <w:rFonts w:hint="eastAsia"/>
              <w:lang w:val="en-US" w:eastAsia="zh-CN"/>
            </w:rPr>
            <w:t>1</w:t>
          </w:r>
          <w:r>
            <w:fldChar w:fldCharType="end"/>
          </w:r>
          <w:r>
            <w:rPr>
              <w:rFonts w:hint="eastAsia"/>
              <w:lang w:val="en-US" w:eastAsia="zh-CN"/>
            </w:rPr>
            <w:t>2</w:t>
          </w:r>
        </w:p>
        <w:p w14:paraId="381FBF1D">
          <w:pPr>
            <w:pStyle w:val="39"/>
            <w:tabs>
              <w:tab w:val="right" w:leader="dot" w:pos="8306"/>
            </w:tabs>
            <w:rPr>
              <w:rFonts w:hint="eastAsia" w:eastAsia="宋体"/>
              <w:lang w:val="en-US" w:eastAsia="zh-CN"/>
            </w:rPr>
          </w:pPr>
          <w:r>
            <w:fldChar w:fldCharType="begin"/>
          </w:r>
          <w:r>
            <w:instrText xml:space="preserve"> HYPERLINK \l _Toc10133_WPSOffice_Level2 </w:instrText>
          </w:r>
          <w:r>
            <w:fldChar w:fldCharType="separate"/>
          </w:r>
          <w:sdt>
            <w:sdtPr>
              <w:rPr>
                <w:rFonts w:ascii="Times New Roman" w:hAnsi="Times New Roman" w:eastAsia="宋体" w:cs="Times New Roman"/>
                <w:kern w:val="2"/>
                <w:sz w:val="21"/>
                <w:szCs w:val="24"/>
                <w:lang w:val="en-US" w:eastAsia="zh-CN" w:bidi="ar-SA"/>
              </w:rPr>
              <w:id w:val="147452225"/>
              <w:placeholder>
                <w:docPart w:val="{b79498a1-7b4d-4c63-9ba6-265dbbdc1d7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五、财政拨款支出决算明细表</w:t>
              </w:r>
            </w:sdtContent>
          </w:sdt>
          <w:r>
            <w:tab/>
          </w:r>
          <w:r>
            <w:rPr>
              <w:rFonts w:hint="eastAsia"/>
              <w:lang w:val="en-US" w:eastAsia="zh-CN"/>
            </w:rPr>
            <w:t>1</w:t>
          </w:r>
          <w:r>
            <w:fldChar w:fldCharType="end"/>
          </w:r>
          <w:r>
            <w:rPr>
              <w:rFonts w:hint="eastAsia"/>
              <w:lang w:val="en-US" w:eastAsia="zh-CN"/>
            </w:rPr>
            <w:t>2</w:t>
          </w:r>
        </w:p>
        <w:p w14:paraId="00829E8C">
          <w:pPr>
            <w:pStyle w:val="39"/>
            <w:tabs>
              <w:tab w:val="right" w:leader="dot" w:pos="8306"/>
            </w:tabs>
            <w:rPr>
              <w:rFonts w:hint="eastAsia" w:eastAsia="宋体"/>
              <w:lang w:val="en-US" w:eastAsia="zh-CN"/>
            </w:rPr>
          </w:pPr>
          <w:r>
            <w:fldChar w:fldCharType="begin"/>
          </w:r>
          <w:r>
            <w:instrText xml:space="preserve"> HYPERLINK \l _Toc12238_WPSOffice_Level2 </w:instrText>
          </w:r>
          <w:r>
            <w:fldChar w:fldCharType="separate"/>
          </w:r>
          <w:sdt>
            <w:sdtPr>
              <w:rPr>
                <w:rFonts w:ascii="Times New Roman" w:hAnsi="Times New Roman" w:eastAsia="宋体" w:cs="Times New Roman"/>
                <w:kern w:val="2"/>
                <w:sz w:val="21"/>
                <w:szCs w:val="24"/>
                <w:lang w:val="en-US" w:eastAsia="zh-CN" w:bidi="ar-SA"/>
              </w:rPr>
              <w:id w:val="147469115"/>
              <w:placeholder>
                <w:docPart w:val="{9bfa4cc0-aded-47df-bdf0-3d0d28fe467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六、一般公共预算财政拨款支出决算表</w:t>
              </w:r>
            </w:sdtContent>
          </w:sdt>
          <w:r>
            <w:tab/>
          </w:r>
          <w:r>
            <w:rPr>
              <w:rFonts w:hint="eastAsia"/>
              <w:lang w:val="en-US" w:eastAsia="zh-CN"/>
            </w:rPr>
            <w:t>1</w:t>
          </w:r>
          <w:r>
            <w:fldChar w:fldCharType="end"/>
          </w:r>
          <w:r>
            <w:rPr>
              <w:rFonts w:hint="eastAsia"/>
              <w:lang w:val="en-US" w:eastAsia="zh-CN"/>
            </w:rPr>
            <w:t>2</w:t>
          </w:r>
        </w:p>
        <w:p w14:paraId="1C4950D5">
          <w:pPr>
            <w:pStyle w:val="39"/>
            <w:tabs>
              <w:tab w:val="right" w:leader="dot" w:pos="8306"/>
            </w:tabs>
            <w:rPr>
              <w:rFonts w:hint="eastAsia" w:eastAsia="宋体"/>
              <w:lang w:val="en-US" w:eastAsia="zh-CN"/>
            </w:rPr>
          </w:pPr>
          <w:r>
            <w:fldChar w:fldCharType="begin"/>
          </w:r>
          <w:r>
            <w:instrText xml:space="preserve"> HYPERLINK \l _Toc23368_WPSOffice_Level2 </w:instrText>
          </w:r>
          <w:r>
            <w:fldChar w:fldCharType="separate"/>
          </w:r>
          <w:sdt>
            <w:sdtPr>
              <w:rPr>
                <w:rFonts w:ascii="Times New Roman" w:hAnsi="Times New Roman" w:eastAsia="宋体" w:cs="Times New Roman"/>
                <w:kern w:val="2"/>
                <w:sz w:val="21"/>
                <w:szCs w:val="24"/>
                <w:lang w:val="en-US" w:eastAsia="zh-CN" w:bidi="ar-SA"/>
              </w:rPr>
              <w:id w:val="147476714"/>
              <w:placeholder>
                <w:docPart w:val="{e7fccdb1-95f6-434d-bb4b-72eb4d384d0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七、一般公共预算财政拨款支出决算明细表</w:t>
              </w:r>
            </w:sdtContent>
          </w:sdt>
          <w:r>
            <w:tab/>
          </w:r>
          <w:r>
            <w:rPr>
              <w:rFonts w:hint="eastAsia"/>
              <w:lang w:val="en-US" w:eastAsia="zh-CN"/>
            </w:rPr>
            <w:t>1</w:t>
          </w:r>
          <w:r>
            <w:fldChar w:fldCharType="end"/>
          </w:r>
          <w:r>
            <w:rPr>
              <w:rFonts w:hint="eastAsia"/>
              <w:lang w:val="en-US" w:eastAsia="zh-CN"/>
            </w:rPr>
            <w:t>2</w:t>
          </w:r>
        </w:p>
        <w:p w14:paraId="5E17FBD7">
          <w:pPr>
            <w:pStyle w:val="39"/>
            <w:tabs>
              <w:tab w:val="right" w:leader="dot" w:pos="8306"/>
            </w:tabs>
            <w:rPr>
              <w:rFonts w:hint="eastAsia" w:eastAsia="宋体"/>
              <w:lang w:val="en-US" w:eastAsia="zh-CN"/>
            </w:rPr>
          </w:pPr>
          <w:r>
            <w:fldChar w:fldCharType="begin"/>
          </w:r>
          <w:r>
            <w:instrText xml:space="preserve"> HYPERLINK \l _Toc14679_WPSOffice_Level2 </w:instrText>
          </w:r>
          <w:r>
            <w:fldChar w:fldCharType="separate"/>
          </w:r>
          <w:sdt>
            <w:sdtPr>
              <w:rPr>
                <w:rFonts w:ascii="Times New Roman" w:hAnsi="Times New Roman" w:eastAsia="宋体" w:cs="Times New Roman"/>
                <w:kern w:val="2"/>
                <w:sz w:val="21"/>
                <w:szCs w:val="24"/>
                <w:lang w:val="en-US" w:eastAsia="zh-CN" w:bidi="ar-SA"/>
              </w:rPr>
              <w:id w:val="147466267"/>
              <w:placeholder>
                <w:docPart w:val="{ef853360-369b-4e6f-8f79-b8851c0452e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八、一般公共预算财政拨款基本支出决算表</w:t>
              </w:r>
            </w:sdtContent>
          </w:sdt>
          <w:r>
            <w:tab/>
          </w:r>
          <w:r>
            <w:rPr>
              <w:rFonts w:hint="eastAsia"/>
              <w:lang w:val="en-US" w:eastAsia="zh-CN"/>
            </w:rPr>
            <w:t>1</w:t>
          </w:r>
          <w:r>
            <w:fldChar w:fldCharType="end"/>
          </w:r>
          <w:r>
            <w:rPr>
              <w:rFonts w:hint="eastAsia"/>
              <w:lang w:val="en-US" w:eastAsia="zh-CN"/>
            </w:rPr>
            <w:t>2</w:t>
          </w:r>
        </w:p>
        <w:p w14:paraId="34D31986">
          <w:pPr>
            <w:pStyle w:val="39"/>
            <w:tabs>
              <w:tab w:val="right" w:leader="dot" w:pos="8306"/>
            </w:tabs>
            <w:rPr>
              <w:rFonts w:hint="eastAsia" w:eastAsia="宋体"/>
              <w:lang w:val="en-US" w:eastAsia="zh-CN"/>
            </w:rPr>
          </w:pPr>
          <w:r>
            <w:fldChar w:fldCharType="begin"/>
          </w:r>
          <w:r>
            <w:instrText xml:space="preserve"> HYPERLINK \l _Toc14053_WPSOffice_Level2 </w:instrText>
          </w:r>
          <w:r>
            <w:fldChar w:fldCharType="separate"/>
          </w:r>
          <w:sdt>
            <w:sdtPr>
              <w:rPr>
                <w:rFonts w:ascii="Times New Roman" w:hAnsi="Times New Roman" w:eastAsia="宋体" w:cs="Times New Roman"/>
                <w:kern w:val="2"/>
                <w:sz w:val="21"/>
                <w:szCs w:val="24"/>
                <w:lang w:val="en-US" w:eastAsia="zh-CN" w:bidi="ar-SA"/>
              </w:rPr>
              <w:id w:val="147472544"/>
              <w:placeholder>
                <w:docPart w:val="{4c43cac6-ba4a-4647-a664-945256cacd5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九、一般公共预算财政拨款项目支出决算表</w:t>
              </w:r>
            </w:sdtContent>
          </w:sdt>
          <w:r>
            <w:tab/>
          </w:r>
          <w:r>
            <w:rPr>
              <w:rFonts w:hint="eastAsia"/>
              <w:lang w:val="en-US" w:eastAsia="zh-CN"/>
            </w:rPr>
            <w:t>1</w:t>
          </w:r>
          <w:r>
            <w:fldChar w:fldCharType="end"/>
          </w:r>
          <w:r>
            <w:rPr>
              <w:rFonts w:hint="eastAsia"/>
              <w:lang w:val="en-US" w:eastAsia="zh-CN"/>
            </w:rPr>
            <w:t>2</w:t>
          </w:r>
        </w:p>
        <w:p w14:paraId="22003592">
          <w:pPr>
            <w:pStyle w:val="39"/>
            <w:tabs>
              <w:tab w:val="right" w:leader="dot" w:pos="8306"/>
            </w:tabs>
            <w:rPr>
              <w:rFonts w:hint="eastAsia" w:eastAsia="宋体"/>
              <w:lang w:val="en-US" w:eastAsia="zh-CN"/>
            </w:rPr>
          </w:pPr>
          <w:r>
            <w:fldChar w:fldCharType="begin"/>
          </w:r>
          <w:r>
            <w:instrText xml:space="preserve"> HYPERLINK \l _Toc2938_WPSOffice_Level2 </w:instrText>
          </w:r>
          <w:r>
            <w:fldChar w:fldCharType="separate"/>
          </w:r>
          <w:sdt>
            <w:sdtPr>
              <w:rPr>
                <w:rFonts w:ascii="Times New Roman" w:hAnsi="Times New Roman" w:eastAsia="宋体" w:cs="Times New Roman"/>
                <w:kern w:val="2"/>
                <w:sz w:val="21"/>
                <w:szCs w:val="24"/>
                <w:lang w:val="en-US" w:eastAsia="zh-CN" w:bidi="ar-SA"/>
              </w:rPr>
              <w:id w:val="147476569"/>
              <w:placeholder>
                <w:docPart w:val="{20b7699f-ffdd-451f-9765-dd9260b9115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十、政府性基金预算财政拨款收入支出决算表</w:t>
              </w:r>
            </w:sdtContent>
          </w:sdt>
          <w:r>
            <w:tab/>
          </w:r>
          <w:r>
            <w:rPr>
              <w:rFonts w:hint="eastAsia"/>
              <w:lang w:val="en-US" w:eastAsia="zh-CN"/>
            </w:rPr>
            <w:t>1</w:t>
          </w:r>
          <w:r>
            <w:fldChar w:fldCharType="end"/>
          </w:r>
          <w:r>
            <w:rPr>
              <w:rFonts w:hint="eastAsia"/>
              <w:lang w:val="en-US" w:eastAsia="zh-CN"/>
            </w:rPr>
            <w:t>2</w:t>
          </w:r>
        </w:p>
        <w:p w14:paraId="0D7DCE36">
          <w:pPr>
            <w:pStyle w:val="39"/>
            <w:tabs>
              <w:tab w:val="right" w:leader="dot" w:pos="8306"/>
            </w:tabs>
            <w:rPr>
              <w:rFonts w:hint="eastAsia" w:eastAsia="宋体"/>
              <w:lang w:val="en-US" w:eastAsia="zh-CN"/>
            </w:rPr>
          </w:pPr>
          <w:r>
            <w:fldChar w:fldCharType="begin"/>
          </w:r>
          <w:r>
            <w:instrText xml:space="preserve"> HYPERLINK \l _Toc10409_WPSOffice_Level2 </w:instrText>
          </w:r>
          <w:r>
            <w:fldChar w:fldCharType="separate"/>
          </w:r>
          <w:sdt>
            <w:sdtPr>
              <w:rPr>
                <w:rFonts w:ascii="Times New Roman" w:hAnsi="Times New Roman" w:eastAsia="宋体" w:cs="Times New Roman"/>
                <w:kern w:val="2"/>
                <w:sz w:val="21"/>
                <w:szCs w:val="24"/>
                <w:lang w:val="en-US" w:eastAsia="zh-CN" w:bidi="ar-SA"/>
              </w:rPr>
              <w:id w:val="147471011"/>
              <w:placeholder>
                <w:docPart w:val="{cb09fc81-1ca8-4857-9caf-1b68f236639a}"/>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十一、国有资本经营预算财政拨款收入支出决算表</w:t>
              </w:r>
            </w:sdtContent>
          </w:sdt>
          <w:r>
            <w:tab/>
          </w:r>
          <w:r>
            <w:rPr>
              <w:rFonts w:hint="eastAsia"/>
              <w:lang w:val="en-US" w:eastAsia="zh-CN"/>
            </w:rPr>
            <w:t>1</w:t>
          </w:r>
          <w:r>
            <w:fldChar w:fldCharType="end"/>
          </w:r>
          <w:r>
            <w:rPr>
              <w:rFonts w:hint="eastAsia"/>
              <w:lang w:val="en-US" w:eastAsia="zh-CN"/>
            </w:rPr>
            <w:t>2</w:t>
          </w:r>
        </w:p>
        <w:p w14:paraId="20BA30D3">
          <w:pPr>
            <w:pStyle w:val="39"/>
            <w:tabs>
              <w:tab w:val="right" w:leader="dot" w:pos="8306"/>
            </w:tabs>
            <w:rPr>
              <w:rFonts w:hint="eastAsia" w:eastAsia="宋体"/>
              <w:lang w:val="en-US" w:eastAsia="zh-CN"/>
            </w:rPr>
          </w:pPr>
          <w:r>
            <w:fldChar w:fldCharType="begin"/>
          </w:r>
          <w:r>
            <w:instrText xml:space="preserve"> HYPERLINK \l _Toc14406_WPSOffice_Level2 </w:instrText>
          </w:r>
          <w:r>
            <w:fldChar w:fldCharType="separate"/>
          </w:r>
          <w:sdt>
            <w:sdtPr>
              <w:rPr>
                <w:rFonts w:ascii="Times New Roman" w:hAnsi="Times New Roman" w:eastAsia="宋体" w:cs="Times New Roman"/>
                <w:kern w:val="2"/>
                <w:sz w:val="21"/>
                <w:szCs w:val="24"/>
                <w:lang w:val="en-US" w:eastAsia="zh-CN" w:bidi="ar-SA"/>
              </w:rPr>
              <w:id w:val="147455861"/>
              <w:placeholder>
                <w:docPart w:val="{dc4588fd-e456-4dda-ad16-ef898c94a3d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十二、国有资本经营预算财政拨款支出决算表</w:t>
              </w:r>
            </w:sdtContent>
          </w:sdt>
          <w:r>
            <w:tab/>
          </w:r>
          <w:r>
            <w:rPr>
              <w:rFonts w:hint="eastAsia"/>
              <w:lang w:val="en-US" w:eastAsia="zh-CN"/>
            </w:rPr>
            <w:t>1</w:t>
          </w:r>
          <w:r>
            <w:fldChar w:fldCharType="end"/>
          </w:r>
          <w:r>
            <w:rPr>
              <w:rFonts w:hint="eastAsia"/>
              <w:lang w:val="en-US" w:eastAsia="zh-CN"/>
            </w:rPr>
            <w:t>2</w:t>
          </w:r>
        </w:p>
        <w:p w14:paraId="11EAB0E5">
          <w:pPr>
            <w:pStyle w:val="39"/>
            <w:tabs>
              <w:tab w:val="right" w:leader="dot" w:pos="8306"/>
            </w:tabs>
          </w:pPr>
          <w:r>
            <w:fldChar w:fldCharType="begin"/>
          </w:r>
          <w:r>
            <w:instrText xml:space="preserve"> HYPERLINK \l _Toc27684_WPSOffice_Level2 </w:instrText>
          </w:r>
          <w:r>
            <w:fldChar w:fldCharType="separate"/>
          </w:r>
          <w:sdt>
            <w:sdtPr>
              <w:rPr>
                <w:rFonts w:ascii="Times New Roman" w:hAnsi="Times New Roman" w:eastAsia="宋体" w:cs="Times New Roman"/>
                <w:kern w:val="2"/>
                <w:sz w:val="21"/>
                <w:szCs w:val="24"/>
                <w:lang w:val="en-US" w:eastAsia="zh-CN" w:bidi="ar-SA"/>
              </w:rPr>
              <w:id w:val="147453371"/>
              <w:placeholder>
                <w:docPart w:val="{29a7f29e-8064-423c-b7bb-203449848f0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仿宋" w:hAnsi="仿宋" w:eastAsia="仿宋" w:cstheme="majorBidi"/>
                </w:rPr>
                <w:t>十三、财政拨款“三公”经费支出决算表</w:t>
              </w:r>
            </w:sdtContent>
          </w:sdt>
          <w:r>
            <w:tab/>
          </w:r>
          <w:r>
            <w:rPr>
              <w:rFonts w:hint="eastAsia"/>
              <w:lang w:val="en-US" w:eastAsia="zh-CN"/>
            </w:rPr>
            <w:t>1</w:t>
          </w:r>
          <w:r>
            <w:fldChar w:fldCharType="end"/>
          </w:r>
          <w:bookmarkEnd w:id="12"/>
          <w:r>
            <w:rPr>
              <w:rFonts w:hint="eastAsia"/>
              <w:lang w:val="en-US" w:eastAsia="zh-CN"/>
            </w:rPr>
            <w:t>2</w:t>
          </w:r>
        </w:p>
      </w:sdtContent>
    </w:sdt>
    <w:p w14:paraId="4F546369">
      <w:pPr>
        <w:rPr>
          <w:color w:val="auto"/>
          <w:highlight w:val="none"/>
        </w:rPr>
      </w:pPr>
    </w:p>
    <w:p w14:paraId="64832AEF">
      <w:pPr>
        <w:widowControl/>
        <w:spacing w:line="440" w:lineRule="exact"/>
        <w:jc w:val="left"/>
        <w:rPr>
          <w:rFonts w:ascii="仿宋" w:hAnsi="仿宋" w:eastAsia="仿宋"/>
          <w:bCs/>
          <w:color w:val="auto"/>
          <w:kern w:val="44"/>
          <w:sz w:val="24"/>
          <w:highlight w:val="none"/>
        </w:rPr>
      </w:pPr>
      <w:bookmarkStart w:id="13" w:name="_Toc15396599"/>
      <w:bookmarkStart w:id="14" w:name="_Toc15377196"/>
      <w:r>
        <w:rPr>
          <w:rFonts w:ascii="仿宋" w:hAnsi="仿宋" w:eastAsia="仿宋"/>
          <w:b/>
          <w:color w:val="auto"/>
          <w:sz w:val="24"/>
          <w:highlight w:val="none"/>
        </w:rPr>
        <w:br w:type="page"/>
      </w:r>
    </w:p>
    <w:p w14:paraId="38831D93">
      <w:pPr>
        <w:pStyle w:val="3"/>
        <w:jc w:val="center"/>
        <w:rPr>
          <w:rStyle w:val="31"/>
          <w:rFonts w:ascii="黑体" w:hAnsi="黑体" w:eastAsia="黑体"/>
          <w:b/>
          <w:bCs w:val="0"/>
          <w:color w:val="auto"/>
          <w:highlight w:val="none"/>
        </w:rPr>
      </w:pPr>
      <w:bookmarkStart w:id="15" w:name="_Toc20630_WPSOffice_Level1"/>
      <w:r>
        <w:rPr>
          <w:rFonts w:hint="eastAsia" w:ascii="黑体" w:hAnsi="黑体" w:eastAsia="黑体"/>
          <w:b w:val="0"/>
          <w:color w:val="auto"/>
          <w:highlight w:val="none"/>
        </w:rPr>
        <w:t xml:space="preserve">第一部分 </w:t>
      </w:r>
      <w:r>
        <w:rPr>
          <w:rStyle w:val="31"/>
          <w:rFonts w:hint="eastAsia" w:ascii="黑体" w:hAnsi="黑体" w:eastAsia="黑体"/>
          <w:b w:val="0"/>
          <w:bCs w:val="0"/>
          <w:color w:val="auto"/>
          <w:highlight w:val="none"/>
        </w:rPr>
        <w:t>部门概况</w:t>
      </w:r>
      <w:bookmarkEnd w:id="13"/>
      <w:bookmarkEnd w:id="14"/>
      <w:bookmarkEnd w:id="15"/>
    </w:p>
    <w:p w14:paraId="753020A4">
      <w:pPr>
        <w:pStyle w:val="4"/>
        <w:keepNext/>
        <w:keepLines/>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b w:val="0"/>
          <w:color w:val="auto"/>
          <w:highlight w:val="none"/>
          <w:lang w:eastAsia="zh-CN"/>
        </w:rPr>
      </w:pPr>
      <w:bookmarkStart w:id="16" w:name="_Toc15377197"/>
      <w:bookmarkStart w:id="17" w:name="_Toc15396600"/>
      <w:bookmarkStart w:id="18" w:name="_Toc13791_WPSOffice_Level2"/>
      <w:r>
        <w:rPr>
          <w:rFonts w:hint="eastAsia" w:ascii="黑体" w:hAnsi="黑体" w:eastAsia="黑体"/>
          <w:b w:val="0"/>
          <w:color w:val="auto"/>
          <w:highlight w:val="none"/>
        </w:rPr>
        <w:t>一、</w:t>
      </w:r>
      <w:bookmarkEnd w:id="16"/>
      <w:bookmarkEnd w:id="17"/>
      <w:r>
        <w:rPr>
          <w:rFonts w:hint="eastAsia" w:ascii="黑体" w:hAnsi="黑体" w:eastAsia="黑体"/>
          <w:b w:val="0"/>
          <w:color w:val="auto"/>
          <w:highlight w:val="none"/>
          <w:lang w:eastAsia="zh-CN"/>
        </w:rPr>
        <w:t>部门职责</w:t>
      </w:r>
      <w:bookmarkEnd w:id="18"/>
    </w:p>
    <w:p w14:paraId="0C9FCD8D">
      <w:pPr>
        <w:ind w:firstLine="640" w:firstLineChars="20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小金县信访接待中心为小金县信访接待中心所属副科级事业单位。内设综合股、信访股。主要负责：（一）承担群众来访接待、群众来信、网上信访和上级转来信件的登记、转交办工作。负责责任部门规范办理、归档和录入信访信息系统。（二）负责在接访中向群众宣传信访法规政策，做好疏导、提供服务咨询。负责信访中突发事件的应急工作；负责接待到县集体上访，协助主管部门妥善处理赴京、到省、到州的集体上访。（三）负责综合来信来访情况分析、信访动态， 综合分析、归纳汇报，提出信访中重要问题的处理意见和建议；（四）负责县级领导接访工作；（五）完成行政主管部门交办的其他工作任务。</w:t>
      </w:r>
    </w:p>
    <w:p w14:paraId="76AC7400">
      <w:pPr>
        <w:pStyle w:val="4"/>
        <w:ind w:firstLine="640" w:firstLineChars="200"/>
        <w:rPr>
          <w:rStyle w:val="32"/>
          <w:b w:val="0"/>
          <w:bCs w:val="0"/>
          <w:color w:val="auto"/>
          <w:highlight w:val="none"/>
        </w:rPr>
      </w:pPr>
      <w:bookmarkStart w:id="19" w:name="_Toc20630_WPSOffice_Level2"/>
      <w:bookmarkStart w:id="20" w:name="_Toc15377200"/>
      <w:bookmarkStart w:id="21" w:name="_Toc15396601"/>
      <w:r>
        <w:rPr>
          <w:rFonts w:hint="eastAsia" w:ascii="黑体" w:eastAsia="黑体"/>
          <w:b w:val="0"/>
          <w:color w:val="auto"/>
          <w:highlight w:val="none"/>
        </w:rPr>
        <w:t>二、</w:t>
      </w:r>
      <w:r>
        <w:rPr>
          <w:rFonts w:hint="eastAsia" w:ascii="黑体" w:hAnsi="黑体" w:eastAsia="黑体"/>
          <w:b w:val="0"/>
          <w:color w:val="auto"/>
          <w:highlight w:val="none"/>
        </w:rPr>
        <w:t>机</w:t>
      </w:r>
      <w:r>
        <w:rPr>
          <w:rStyle w:val="32"/>
          <w:rFonts w:hint="eastAsia" w:ascii="黑体" w:hAnsi="黑体" w:eastAsia="黑体"/>
          <w:b w:val="0"/>
          <w:bCs w:val="0"/>
          <w:color w:val="auto"/>
          <w:highlight w:val="none"/>
        </w:rPr>
        <w:t>构设置</w:t>
      </w:r>
      <w:bookmarkEnd w:id="19"/>
      <w:bookmarkEnd w:id="20"/>
      <w:bookmarkEnd w:id="21"/>
    </w:p>
    <w:p w14:paraId="3D0089C2">
      <w:pPr>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小金县信访接待中心属</w:t>
      </w:r>
      <w:r>
        <w:rPr>
          <w:rFonts w:hint="eastAsia" w:ascii="仿宋" w:hAnsi="仿宋" w:eastAsia="仿宋"/>
          <w:color w:val="auto"/>
          <w:sz w:val="32"/>
          <w:szCs w:val="32"/>
          <w:highlight w:val="none"/>
        </w:rPr>
        <w:t>其他事业单位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w:t>
      </w:r>
    </w:p>
    <w:p w14:paraId="1706A290">
      <w:pPr>
        <w:pStyle w:val="3"/>
        <w:ind w:right="440"/>
        <w:jc w:val="center"/>
        <w:rPr>
          <w:rStyle w:val="31"/>
          <w:rFonts w:ascii="黑体" w:hAnsi="黑体" w:eastAsia="黑体"/>
          <w:b w:val="0"/>
          <w:bCs/>
          <w:color w:val="auto"/>
          <w:highlight w:val="none"/>
        </w:rPr>
      </w:pPr>
      <w:bookmarkStart w:id="22" w:name="_Toc15396602"/>
      <w:bookmarkStart w:id="23" w:name="_Toc15377204"/>
      <w:bookmarkStart w:id="24" w:name="_Toc6457_WPSOffice_Level1"/>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2025年度</w:t>
      </w:r>
      <w:r>
        <w:rPr>
          <w:rStyle w:val="31"/>
          <w:rFonts w:hint="eastAsia" w:ascii="黑体" w:hAnsi="黑体" w:eastAsia="黑体"/>
          <w:b w:val="0"/>
          <w:bCs/>
          <w:color w:val="auto"/>
          <w:highlight w:val="none"/>
        </w:rPr>
        <w:t>部门决算情况说明</w:t>
      </w:r>
      <w:bookmarkEnd w:id="22"/>
      <w:bookmarkEnd w:id="23"/>
      <w:bookmarkEnd w:id="24"/>
    </w:p>
    <w:p w14:paraId="287D2F75">
      <w:pPr>
        <w:pStyle w:val="30"/>
        <w:numPr>
          <w:ilvl w:val="0"/>
          <w:numId w:val="1"/>
        </w:numPr>
        <w:spacing w:line="600" w:lineRule="exact"/>
        <w:ind w:firstLineChars="0"/>
        <w:outlineLvl w:val="1"/>
        <w:rPr>
          <w:rStyle w:val="32"/>
          <w:rFonts w:ascii="黑体" w:hAnsi="黑体" w:eastAsia="黑体"/>
          <w:b w:val="0"/>
          <w:color w:val="auto"/>
          <w:highlight w:val="none"/>
        </w:rPr>
      </w:pPr>
      <w:bookmarkStart w:id="25" w:name="_Toc15396603"/>
      <w:bookmarkStart w:id="26" w:name="_Toc15377205"/>
      <w:bookmarkStart w:id="27" w:name="_Toc6457_WPSOffice_Level2"/>
      <w:r>
        <w:rPr>
          <w:rFonts w:hint="eastAsia" w:ascii="黑体" w:hAnsi="黑体" w:eastAsia="黑体"/>
          <w:color w:val="auto"/>
          <w:sz w:val="32"/>
          <w:szCs w:val="32"/>
          <w:highlight w:val="none"/>
        </w:rPr>
        <w:t>收</w:t>
      </w:r>
      <w:r>
        <w:rPr>
          <w:rStyle w:val="32"/>
          <w:rFonts w:hint="eastAsia" w:ascii="黑体" w:hAnsi="黑体" w:eastAsia="黑体"/>
          <w:b w:val="0"/>
          <w:color w:val="auto"/>
          <w:highlight w:val="none"/>
        </w:rPr>
        <w:t>入支出决算总体情况说明</w:t>
      </w:r>
      <w:bookmarkEnd w:id="25"/>
      <w:bookmarkEnd w:id="26"/>
      <w:bookmarkEnd w:id="27"/>
    </w:p>
    <w:p w14:paraId="79C71683">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年度收、支总计</w:t>
      </w:r>
      <w:r>
        <w:rPr>
          <w:rFonts w:hint="eastAsia" w:ascii="仿宋" w:hAnsi="仿宋" w:eastAsia="仿宋"/>
          <w:color w:val="auto"/>
          <w:sz w:val="32"/>
          <w:szCs w:val="32"/>
          <w:highlight w:val="none"/>
          <w:lang w:val="en-US" w:eastAsia="zh-CN"/>
        </w:rPr>
        <w:t>103.22</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2024</w:t>
      </w:r>
      <w:r>
        <w:rPr>
          <w:rFonts w:hint="eastAsia" w:ascii="仿宋" w:hAnsi="仿宋" w:eastAsia="仿宋"/>
          <w:color w:val="auto"/>
          <w:sz w:val="32"/>
          <w:szCs w:val="32"/>
          <w:highlight w:val="none"/>
        </w:rPr>
        <w:t>年相比，收、支总计各</w:t>
      </w:r>
      <w:r>
        <w:rPr>
          <w:rFonts w:hint="eastAsia" w:ascii="仿宋" w:hAnsi="仿宋" w:eastAsia="仿宋"/>
          <w:color w:val="auto"/>
          <w:sz w:val="32"/>
          <w:szCs w:val="32"/>
          <w:highlight w:val="none"/>
          <w:lang w:val="en-US" w:eastAsia="zh-CN"/>
        </w:rPr>
        <w:t>减少3.43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减少3.22</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。主要变动原因是信访工作任务</w:t>
      </w:r>
      <w:r>
        <w:rPr>
          <w:rFonts w:hint="eastAsia" w:ascii="仿宋" w:hAnsi="仿宋" w:eastAsia="仿宋"/>
          <w:color w:val="auto"/>
          <w:sz w:val="32"/>
          <w:szCs w:val="32"/>
          <w:highlight w:val="none"/>
          <w:lang w:val="en-US" w:eastAsia="zh-CN"/>
        </w:rPr>
        <w:t>减少</w:t>
      </w:r>
      <w:r>
        <w:rPr>
          <w:rFonts w:hint="eastAsia" w:ascii="仿宋" w:hAnsi="仿宋" w:eastAsia="仿宋"/>
          <w:color w:val="auto"/>
          <w:sz w:val="32"/>
          <w:szCs w:val="32"/>
          <w:highlight w:val="none"/>
        </w:rPr>
        <w:t>，相应</w:t>
      </w:r>
      <w:r>
        <w:rPr>
          <w:rFonts w:hint="eastAsia" w:ascii="仿宋" w:hAnsi="仿宋" w:eastAsia="仿宋"/>
          <w:color w:val="auto"/>
          <w:sz w:val="32"/>
          <w:szCs w:val="32"/>
          <w:highlight w:val="none"/>
          <w:lang w:val="en-US" w:eastAsia="zh-CN"/>
        </w:rPr>
        <w:t>减少</w:t>
      </w:r>
      <w:r>
        <w:rPr>
          <w:rFonts w:hint="eastAsia" w:ascii="仿宋" w:hAnsi="仿宋" w:eastAsia="仿宋"/>
          <w:color w:val="auto"/>
          <w:sz w:val="32"/>
          <w:szCs w:val="32"/>
          <w:highlight w:val="none"/>
        </w:rPr>
        <w:t>工作经费</w:t>
      </w:r>
      <w:r>
        <w:rPr>
          <w:rFonts w:hint="eastAsia" w:ascii="仿宋" w:hAnsi="仿宋" w:eastAsia="仿宋"/>
          <w:color w:val="auto"/>
          <w:sz w:val="32"/>
          <w:szCs w:val="32"/>
          <w:highlight w:val="none"/>
          <w:lang w:eastAsia="zh-CN"/>
        </w:rPr>
        <w:t>。</w:t>
      </w:r>
    </w:p>
    <w:p w14:paraId="0E156EB7">
      <w:pPr>
        <w:pStyle w:val="22"/>
        <w:jc w:val="center"/>
        <w:rPr>
          <w:rFonts w:hint="eastAsia" w:eastAsia="黑体"/>
          <w:lang w:eastAsia="zh-CN"/>
        </w:rPr>
      </w:pPr>
      <w:r>
        <w:rPr>
          <w:rFonts w:ascii="宋体" w:hAnsi="宋体" w:eastAsia="宋体" w:cs="宋体"/>
          <w:sz w:val="24"/>
          <w:szCs w:val="24"/>
        </w:rPr>
        <w:t>收、支决算总计变动情况图</w:t>
      </w:r>
      <w:r>
        <w:rPr>
          <w:rFonts w:hint="eastAsia" w:eastAsia="黑体"/>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E7D522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F7B8EBE">
      <w:pPr>
        <w:pStyle w:val="30"/>
        <w:numPr>
          <w:ilvl w:val="0"/>
          <w:numId w:val="1"/>
        </w:numPr>
        <w:spacing w:line="600" w:lineRule="exact"/>
        <w:ind w:firstLineChars="0"/>
        <w:outlineLvl w:val="1"/>
        <w:rPr>
          <w:rStyle w:val="32"/>
          <w:rFonts w:ascii="黑体" w:hAnsi="黑体" w:eastAsia="黑体"/>
          <w:b w:val="0"/>
          <w:color w:val="auto"/>
          <w:highlight w:val="none"/>
        </w:rPr>
      </w:pPr>
      <w:bookmarkStart w:id="28" w:name="_Toc5354_WPSOffice_Level2"/>
      <w:bookmarkStart w:id="29" w:name="_Toc15377206"/>
      <w:bookmarkStart w:id="30" w:name="_Toc15396604"/>
      <w:r>
        <w:rPr>
          <w:rFonts w:hint="eastAsia" w:ascii="黑体" w:hAnsi="黑体" w:eastAsia="黑体"/>
          <w:color w:val="auto"/>
          <w:sz w:val="32"/>
          <w:szCs w:val="32"/>
          <w:highlight w:val="none"/>
        </w:rPr>
        <w:t>收</w:t>
      </w:r>
      <w:r>
        <w:rPr>
          <w:rStyle w:val="32"/>
          <w:rFonts w:hint="eastAsia" w:ascii="黑体" w:hAnsi="黑体" w:eastAsia="黑体"/>
          <w:b w:val="0"/>
          <w:color w:val="auto"/>
          <w:highlight w:val="none"/>
        </w:rPr>
        <w:t>入决算情况说明</w:t>
      </w:r>
      <w:bookmarkEnd w:id="28"/>
      <w:bookmarkEnd w:id="29"/>
      <w:bookmarkEnd w:id="30"/>
    </w:p>
    <w:p w14:paraId="3ACE4786">
      <w:pPr>
        <w:spacing w:line="600" w:lineRule="exact"/>
        <w:ind w:firstLine="640" w:firstLineChars="200"/>
        <w:outlineLvl w:val="1"/>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103.22</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103.22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万元；其他收入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p>
    <w:p w14:paraId="4C071158">
      <w:pPr>
        <w:pStyle w:val="15"/>
      </w:pPr>
      <w:r>
        <w:drawing>
          <wp:inline distT="0" distB="0" distL="114300" distR="114300">
            <wp:extent cx="4878705" cy="3017520"/>
            <wp:effectExtent l="4445" t="4445" r="12700" b="698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50FD4EE">
      <w:pPr>
        <w:keepNext w:val="0"/>
        <w:keepLines w:val="0"/>
        <w:pageBreakBefore w:val="0"/>
        <w:widowControl w:val="0"/>
        <w:kinsoku/>
        <w:wordWrap/>
        <w:overflowPunct/>
        <w:topLinePunct w:val="0"/>
        <w:autoSpaceDE/>
        <w:autoSpaceDN/>
        <w:bidi w:val="0"/>
        <w:adjustRightInd/>
        <w:snapToGrid/>
        <w:spacing w:line="576" w:lineRule="exact"/>
        <w:ind w:firstLine="1600" w:firstLineChars="500"/>
        <w:jc w:val="both"/>
        <w:textAlignment w:val="auto"/>
        <w:rPr>
          <w:rFonts w:hint="eastAsia" w:ascii="黑体" w:hAnsi="黑体" w:eastAsia="黑体"/>
          <w:color w:val="000000"/>
          <w:sz w:val="32"/>
          <w:szCs w:val="32"/>
          <w:lang w:eastAsia="zh-CN"/>
        </w:rPr>
      </w:pPr>
      <w:r>
        <w:rPr>
          <w:rFonts w:hint="eastAsia" w:ascii="Times New Roman" w:hAnsi="Times New Roman" w:eastAsia="方正仿宋_GBK" w:cs="Times New Roman"/>
          <w:b w:val="0"/>
          <w:bCs w:val="0"/>
          <w:spacing w:val="0"/>
          <w:sz w:val="32"/>
          <w:szCs w:val="32"/>
          <w:lang w:val="en-US" w:eastAsia="zh-CN"/>
        </w:rPr>
        <w:t>（图2：收入决算结构图）（饼状图）</w:t>
      </w:r>
    </w:p>
    <w:p w14:paraId="0C353CE7">
      <w:pPr>
        <w:pStyle w:val="2"/>
      </w:pPr>
    </w:p>
    <w:p w14:paraId="2002984A">
      <w:pPr>
        <w:pStyle w:val="30"/>
        <w:numPr>
          <w:ilvl w:val="0"/>
          <w:numId w:val="1"/>
        </w:numPr>
        <w:spacing w:line="600" w:lineRule="exact"/>
        <w:ind w:firstLineChars="0"/>
        <w:outlineLvl w:val="1"/>
        <w:rPr>
          <w:rStyle w:val="32"/>
          <w:rFonts w:ascii="黑体" w:hAnsi="黑体" w:eastAsia="黑体"/>
          <w:b w:val="0"/>
          <w:color w:val="auto"/>
          <w:highlight w:val="none"/>
        </w:rPr>
      </w:pPr>
      <w:bookmarkStart w:id="31" w:name="_Toc15396605"/>
      <w:bookmarkStart w:id="32" w:name="_Toc313_WPSOffice_Level2"/>
      <w:bookmarkStart w:id="33" w:name="_Toc15377207"/>
      <w:r>
        <w:rPr>
          <w:rFonts w:hint="eastAsia" w:ascii="黑体" w:hAnsi="黑体" w:eastAsia="黑体"/>
          <w:color w:val="auto"/>
          <w:sz w:val="32"/>
          <w:szCs w:val="32"/>
          <w:highlight w:val="none"/>
        </w:rPr>
        <w:t>支</w:t>
      </w:r>
      <w:r>
        <w:rPr>
          <w:rStyle w:val="32"/>
          <w:rFonts w:hint="eastAsia" w:ascii="黑体" w:hAnsi="黑体" w:eastAsia="黑体"/>
          <w:b w:val="0"/>
          <w:color w:val="auto"/>
          <w:highlight w:val="none"/>
        </w:rPr>
        <w:t>出决算情况说明</w:t>
      </w:r>
      <w:bookmarkEnd w:id="31"/>
      <w:bookmarkEnd w:id="32"/>
      <w:bookmarkEnd w:id="33"/>
    </w:p>
    <w:p w14:paraId="37678EBF">
      <w:pPr>
        <w:spacing w:line="600" w:lineRule="exact"/>
        <w:ind w:firstLine="640" w:firstLineChars="200"/>
        <w:outlineLvl w:val="1"/>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103.22</w:t>
      </w:r>
      <w:r>
        <w:rPr>
          <w:rFonts w:hint="eastAsia" w:ascii="仿宋" w:hAnsi="仿宋" w:eastAsia="仿宋"/>
          <w:color w:val="auto"/>
          <w:sz w:val="32"/>
          <w:szCs w:val="32"/>
          <w:highlight w:val="none"/>
        </w:rPr>
        <w:t>万元，其中：</w:t>
      </w:r>
      <w:r>
        <w:rPr>
          <w:rFonts w:hint="eastAsia" w:ascii="仿宋" w:hAnsi="仿宋" w:eastAsia="仿宋"/>
          <w:color w:val="auto"/>
          <w:sz w:val="32"/>
          <w:szCs w:val="32"/>
          <w:highlight w:val="none"/>
          <w:lang w:val="en-US" w:eastAsia="zh-CN"/>
        </w:rPr>
        <w:t>基本支出103.22万元，占100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7EB6ED06">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drawing>
          <wp:anchor distT="0" distB="0" distL="114300" distR="114300" simplePos="0" relativeHeight="251659264" behindDoc="0" locked="0" layoutInCell="1" allowOverlap="1">
            <wp:simplePos x="0" y="0"/>
            <wp:positionH relativeFrom="column">
              <wp:posOffset>117475</wp:posOffset>
            </wp:positionH>
            <wp:positionV relativeFrom="paragraph">
              <wp:posOffset>224790</wp:posOffset>
            </wp:positionV>
            <wp:extent cx="4876800" cy="1899920"/>
            <wp:effectExtent l="4445" t="4445" r="14605" b="1968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BFBA138">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w:t>
      </w:r>
    </w:p>
    <w:p w14:paraId="745BB107">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01D479EA">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0CDBA4A1">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1152F330">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rPr>
          <w:rFonts w:hint="eastAsia" w:ascii="Times New Roman" w:hAnsi="Times New Roman" w:eastAsia="方正仿宋_GBK" w:cs="Times New Roman"/>
          <w:b w:val="0"/>
          <w:bCs w:val="0"/>
          <w:spacing w:val="0"/>
          <w:sz w:val="32"/>
          <w:szCs w:val="32"/>
          <w:lang w:val="en-US" w:eastAsia="zh-CN"/>
        </w:rPr>
      </w:pPr>
    </w:p>
    <w:p w14:paraId="1C754F4C">
      <w:pPr>
        <w:keepNext w:val="0"/>
        <w:keepLines w:val="0"/>
        <w:pageBreakBefore w:val="0"/>
        <w:widowControl w:val="0"/>
        <w:kinsoku/>
        <w:wordWrap/>
        <w:overflowPunct/>
        <w:topLinePunct w:val="0"/>
        <w:autoSpaceDE/>
        <w:autoSpaceDN/>
        <w:bidi w:val="0"/>
        <w:adjustRightInd/>
        <w:snapToGrid/>
        <w:spacing w:line="576" w:lineRule="exact"/>
        <w:ind w:left="0" w:leftChars="0" w:firstLine="1600" w:firstLineChars="500"/>
        <w:jc w:val="left"/>
        <w:textAlignment w:val="auto"/>
      </w:pPr>
      <w:r>
        <w:rPr>
          <w:rFonts w:hint="eastAsia" w:ascii="Times New Roman" w:hAnsi="Times New Roman" w:eastAsia="方正仿宋_GBK" w:cs="Times New Roman"/>
          <w:b w:val="0"/>
          <w:bCs w:val="0"/>
          <w:spacing w:val="0"/>
          <w:sz w:val="32"/>
          <w:szCs w:val="32"/>
          <w:lang w:val="en-US" w:eastAsia="zh-CN"/>
        </w:rPr>
        <w:t>图3：支出决算结构图）（饼状图）</w:t>
      </w:r>
    </w:p>
    <w:p w14:paraId="6806196B">
      <w:pPr>
        <w:pStyle w:val="2"/>
      </w:pPr>
    </w:p>
    <w:p w14:paraId="16FA3BC9">
      <w:pPr>
        <w:spacing w:line="600" w:lineRule="exact"/>
        <w:ind w:firstLine="640" w:firstLineChars="200"/>
        <w:outlineLvl w:val="1"/>
        <w:rPr>
          <w:rStyle w:val="32"/>
          <w:rFonts w:ascii="黑体" w:hAnsi="黑体" w:eastAsia="黑体"/>
          <w:b w:val="0"/>
          <w:color w:val="auto"/>
          <w:highlight w:val="none"/>
        </w:rPr>
      </w:pPr>
      <w:bookmarkStart w:id="34" w:name="_Toc15769_WPSOffice_Level2"/>
      <w:bookmarkStart w:id="35" w:name="_Toc15377208"/>
      <w:bookmarkStart w:id="36" w:name="_Toc15396606"/>
      <w:r>
        <w:rPr>
          <w:rFonts w:hint="eastAsia" w:ascii="黑体" w:hAnsi="黑体" w:eastAsia="黑体"/>
          <w:color w:val="auto"/>
          <w:sz w:val="32"/>
          <w:szCs w:val="32"/>
          <w:highlight w:val="none"/>
        </w:rPr>
        <w:t>四、财</w:t>
      </w:r>
      <w:r>
        <w:rPr>
          <w:rStyle w:val="32"/>
          <w:rFonts w:hint="eastAsia" w:ascii="黑体" w:hAnsi="黑体" w:eastAsia="黑体"/>
          <w:b w:val="0"/>
          <w:color w:val="auto"/>
          <w:highlight w:val="none"/>
        </w:rPr>
        <w:t>政拨款收入支出决算总体情况说明</w:t>
      </w:r>
      <w:bookmarkEnd w:id="34"/>
      <w:bookmarkEnd w:id="35"/>
      <w:bookmarkEnd w:id="36"/>
    </w:p>
    <w:p w14:paraId="73A1C519">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年财政拨款收、支总计</w:t>
      </w:r>
      <w:r>
        <w:rPr>
          <w:rFonts w:hint="eastAsia" w:ascii="仿宋" w:hAnsi="仿宋" w:eastAsia="仿宋"/>
          <w:color w:val="auto"/>
          <w:sz w:val="32"/>
          <w:szCs w:val="32"/>
          <w:highlight w:val="none"/>
          <w:lang w:val="en-US" w:eastAsia="zh-CN"/>
        </w:rPr>
        <w:t>103.22</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2024</w:t>
      </w:r>
      <w:r>
        <w:rPr>
          <w:rFonts w:hint="eastAsia" w:ascii="仿宋" w:hAnsi="仿宋" w:eastAsia="仿宋"/>
          <w:color w:val="auto"/>
          <w:sz w:val="32"/>
          <w:szCs w:val="32"/>
          <w:highlight w:val="none"/>
        </w:rPr>
        <w:t>年相比，财政拨款收、支总计各</w:t>
      </w:r>
      <w:r>
        <w:rPr>
          <w:rFonts w:hint="eastAsia" w:ascii="仿宋" w:hAnsi="仿宋" w:eastAsia="仿宋"/>
          <w:color w:val="auto"/>
          <w:sz w:val="32"/>
          <w:szCs w:val="32"/>
          <w:highlight w:val="none"/>
          <w:lang w:val="en-US" w:eastAsia="zh-CN"/>
        </w:rPr>
        <w:t>减少3.43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减少3.22</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。主要变动原因是信访工作任务</w:t>
      </w:r>
      <w:r>
        <w:rPr>
          <w:rFonts w:hint="eastAsia" w:ascii="仿宋" w:hAnsi="仿宋" w:eastAsia="仿宋"/>
          <w:color w:val="auto"/>
          <w:sz w:val="32"/>
          <w:szCs w:val="32"/>
          <w:highlight w:val="none"/>
          <w:lang w:val="en-US" w:eastAsia="zh-CN"/>
        </w:rPr>
        <w:t>减少</w:t>
      </w:r>
      <w:r>
        <w:rPr>
          <w:rFonts w:hint="eastAsia" w:ascii="仿宋" w:hAnsi="仿宋" w:eastAsia="仿宋"/>
          <w:color w:val="auto"/>
          <w:sz w:val="32"/>
          <w:szCs w:val="32"/>
          <w:highlight w:val="none"/>
        </w:rPr>
        <w:t>，相应</w:t>
      </w:r>
      <w:r>
        <w:rPr>
          <w:rFonts w:hint="eastAsia" w:ascii="仿宋" w:hAnsi="仿宋" w:eastAsia="仿宋"/>
          <w:color w:val="auto"/>
          <w:sz w:val="32"/>
          <w:szCs w:val="32"/>
          <w:highlight w:val="none"/>
          <w:lang w:val="en-US" w:eastAsia="zh-CN"/>
        </w:rPr>
        <w:t>减少</w:t>
      </w:r>
      <w:r>
        <w:rPr>
          <w:rFonts w:hint="eastAsia" w:ascii="仿宋" w:hAnsi="仿宋" w:eastAsia="仿宋"/>
          <w:color w:val="auto"/>
          <w:sz w:val="32"/>
          <w:szCs w:val="32"/>
          <w:highlight w:val="none"/>
        </w:rPr>
        <w:t>工作经费</w:t>
      </w:r>
      <w:r>
        <w:rPr>
          <w:rFonts w:hint="eastAsia" w:ascii="仿宋" w:hAnsi="仿宋" w:eastAsia="仿宋"/>
          <w:color w:val="auto"/>
          <w:sz w:val="32"/>
          <w:szCs w:val="32"/>
          <w:highlight w:val="none"/>
          <w:lang w:eastAsia="zh-CN"/>
        </w:rPr>
        <w:t>。</w:t>
      </w:r>
    </w:p>
    <w:p w14:paraId="0686B8A9">
      <w:pPr>
        <w:pStyle w:val="2"/>
        <w:jc w:val="center"/>
        <w:rPr>
          <w:rFonts w:hint="eastAsia"/>
          <w:lang w:eastAsia="zh-CN"/>
        </w:rPr>
      </w:pPr>
      <w:r>
        <w:rPr>
          <w:rFonts w:ascii="宋体" w:hAnsi="宋体" w:eastAsia="宋体" w:cs="宋体"/>
          <w:sz w:val="24"/>
          <w:szCs w:val="24"/>
        </w:rPr>
        <w:t>财政拨款收、支决算总计变动情况</w:t>
      </w:r>
    </w:p>
    <w:p w14:paraId="0DB91DBA">
      <w:pPr>
        <w:pStyle w:val="2"/>
        <w:rPr>
          <w:rFonts w:hint="eastAsia" w:ascii="Times New Roman" w:hAnsi="Times New Roman" w:eastAsia="方正仿宋_GBK" w:cs="Times New Roman"/>
          <w:sz w:val="32"/>
          <w:szCs w:val="32"/>
          <w:highlight w:val="none"/>
          <w:shd w:val="clear" w:color="auto" w:fill="auto"/>
          <w:lang w:eastAsia="zh-CN"/>
        </w:rPr>
      </w:pPr>
      <w:r>
        <w:rPr>
          <w:rFonts w:hint="eastAsia" w:ascii="Times New Roman" w:hAnsi="Times New Roman" w:eastAsia="方正仿宋_GBK" w:cs="Times New Roman"/>
          <w:sz w:val="32"/>
          <w:szCs w:val="32"/>
          <w:highlight w:val="none"/>
          <w:shd w:val="clear" w:color="auto" w:fill="auto"/>
          <w:lang w:eastAsia="zh-CN"/>
        </w:rPr>
        <w:drawing>
          <wp:inline distT="0" distB="0" distL="114300" distR="114300">
            <wp:extent cx="5296535" cy="2238375"/>
            <wp:effectExtent l="4445" t="4445" r="13970" b="508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54A3BDB">
      <w:pPr>
        <w:spacing w:line="600" w:lineRule="exact"/>
        <w:ind w:firstLine="320" w:firstLineChars="100"/>
        <w:rPr>
          <w:rFonts w:hint="eastAsia" w:ascii="Times New Roman" w:hAnsi="Times New Roman" w:eastAsia="方正仿宋_GBK" w:cs="Times New Roman"/>
          <w:b w:val="0"/>
          <w:bCs w:val="0"/>
          <w:spacing w:val="0"/>
          <w:sz w:val="32"/>
          <w:szCs w:val="32"/>
          <w:lang w:val="en-US" w:eastAsia="zh-CN"/>
        </w:rPr>
      </w:pPr>
      <w:r>
        <w:rPr>
          <w:rFonts w:hint="eastAsia" w:ascii="仿宋" w:hAnsi="仿宋" w:eastAsia="仿宋"/>
          <w:color w:val="auto"/>
          <w:sz w:val="32"/>
          <w:szCs w:val="32"/>
          <w:highlight w:val="none"/>
        </w:rPr>
        <w:t>（图4：财政拨款收、支决算总计变动情况）（柱状图）</w:t>
      </w:r>
    </w:p>
    <w:p w14:paraId="1F1ABE38">
      <w:pPr>
        <w:spacing w:line="600" w:lineRule="exact"/>
        <w:ind w:firstLine="640" w:firstLineChars="200"/>
        <w:outlineLvl w:val="1"/>
        <w:rPr>
          <w:rStyle w:val="32"/>
          <w:rFonts w:ascii="黑体" w:hAnsi="黑体" w:eastAsia="黑体"/>
          <w:b w:val="0"/>
          <w:color w:val="auto"/>
          <w:highlight w:val="none"/>
        </w:rPr>
      </w:pPr>
      <w:bookmarkStart w:id="37" w:name="_Toc15396607"/>
      <w:bookmarkStart w:id="38" w:name="_Toc15377209"/>
      <w:bookmarkStart w:id="39" w:name="_Toc26178_WPSOffice_Level2"/>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2"/>
          <w:rFonts w:hint="eastAsia" w:ascii="黑体" w:hAnsi="黑体" w:eastAsia="黑体"/>
          <w:b w:val="0"/>
          <w:color w:val="auto"/>
          <w:highlight w:val="none"/>
        </w:rPr>
        <w:t>般公共预算财政拨款支出决算情况说明</w:t>
      </w:r>
      <w:bookmarkEnd w:id="37"/>
      <w:bookmarkEnd w:id="38"/>
      <w:bookmarkEnd w:id="39"/>
      <w:bookmarkStart w:id="99" w:name="_GoBack"/>
      <w:bookmarkEnd w:id="99"/>
    </w:p>
    <w:p w14:paraId="46D9F3C1">
      <w:pPr>
        <w:spacing w:line="600" w:lineRule="exact"/>
        <w:ind w:firstLine="643" w:firstLineChars="200"/>
        <w:outlineLvl w:val="2"/>
        <w:rPr>
          <w:rFonts w:ascii="仿宋" w:hAnsi="仿宋" w:eastAsia="仿宋"/>
          <w:b/>
          <w:color w:val="auto"/>
          <w:sz w:val="32"/>
          <w:szCs w:val="32"/>
          <w:highlight w:val="none"/>
        </w:rPr>
      </w:pPr>
      <w:bookmarkStart w:id="40" w:name="_Toc15377210"/>
      <w:r>
        <w:rPr>
          <w:rFonts w:hint="eastAsia" w:ascii="仿宋" w:hAnsi="仿宋" w:eastAsia="仿宋"/>
          <w:b/>
          <w:color w:val="auto"/>
          <w:sz w:val="32"/>
          <w:szCs w:val="32"/>
          <w:highlight w:val="none"/>
        </w:rPr>
        <w:t>（一）一般公共预算财政拨款支出决算总体情况</w:t>
      </w:r>
      <w:bookmarkEnd w:id="40"/>
    </w:p>
    <w:p w14:paraId="7A90EC94">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103.22</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支出减少</w:t>
      </w:r>
      <w:r>
        <w:rPr>
          <w:rFonts w:hint="eastAsia" w:ascii="仿宋" w:hAnsi="仿宋" w:eastAsia="仿宋"/>
          <w:color w:val="auto"/>
          <w:sz w:val="32"/>
          <w:szCs w:val="32"/>
          <w:highlight w:val="none"/>
          <w:lang w:val="en-US" w:eastAsia="zh-CN"/>
        </w:rPr>
        <w:t>3.43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减少3.22</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。主要变动原因是信访工作任务</w:t>
      </w:r>
      <w:r>
        <w:rPr>
          <w:rFonts w:hint="eastAsia" w:ascii="仿宋" w:hAnsi="仿宋" w:eastAsia="仿宋"/>
          <w:color w:val="auto"/>
          <w:sz w:val="32"/>
          <w:szCs w:val="32"/>
          <w:highlight w:val="none"/>
          <w:lang w:val="en-US" w:eastAsia="zh-CN"/>
        </w:rPr>
        <w:t>减少</w:t>
      </w:r>
      <w:r>
        <w:rPr>
          <w:rFonts w:hint="eastAsia" w:ascii="仿宋" w:hAnsi="仿宋" w:eastAsia="仿宋"/>
          <w:color w:val="auto"/>
          <w:sz w:val="32"/>
          <w:szCs w:val="32"/>
          <w:highlight w:val="none"/>
        </w:rPr>
        <w:t>，相应</w:t>
      </w:r>
      <w:r>
        <w:rPr>
          <w:rFonts w:hint="eastAsia" w:ascii="仿宋" w:hAnsi="仿宋" w:eastAsia="仿宋"/>
          <w:color w:val="auto"/>
          <w:sz w:val="32"/>
          <w:szCs w:val="32"/>
          <w:highlight w:val="none"/>
          <w:lang w:val="en-US" w:eastAsia="zh-CN"/>
        </w:rPr>
        <w:t>减少</w:t>
      </w:r>
      <w:r>
        <w:rPr>
          <w:rFonts w:hint="eastAsia" w:ascii="仿宋" w:hAnsi="仿宋" w:eastAsia="仿宋"/>
          <w:color w:val="auto"/>
          <w:sz w:val="32"/>
          <w:szCs w:val="32"/>
          <w:highlight w:val="none"/>
        </w:rPr>
        <w:t>工作经费</w:t>
      </w:r>
      <w:r>
        <w:rPr>
          <w:rFonts w:hint="eastAsia" w:ascii="仿宋" w:hAnsi="仿宋" w:eastAsia="仿宋"/>
          <w:color w:val="auto"/>
          <w:sz w:val="32"/>
          <w:szCs w:val="32"/>
          <w:highlight w:val="none"/>
          <w:lang w:eastAsia="zh-CN"/>
        </w:rPr>
        <w:t>。</w:t>
      </w:r>
    </w:p>
    <w:p w14:paraId="61D4E5AA">
      <w:pPr>
        <w:pStyle w:val="2"/>
        <w:rPr>
          <w:rFonts w:hint="eastAsia"/>
          <w:lang w:eastAsia="zh-CN"/>
        </w:rPr>
      </w:pPr>
      <w:r>
        <w:rPr>
          <w:rFonts w:hint="eastAsia"/>
          <w:lang w:eastAsia="zh-CN"/>
        </w:rPr>
        <w:drawing>
          <wp:inline distT="0" distB="0" distL="114300" distR="114300">
            <wp:extent cx="4078605" cy="1512570"/>
            <wp:effectExtent l="4445" t="4445" r="12700" b="698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035BE43">
      <w:pPr>
        <w:jc w:val="center"/>
        <w:rPr>
          <w:rFonts w:hint="default"/>
          <w:lang w:val="en-US"/>
        </w:rPr>
      </w:pPr>
      <w:r>
        <w:rPr>
          <w:rFonts w:hint="eastAsia" w:ascii="Times New Roman" w:hAnsi="Times New Roman" w:eastAsia="方正仿宋_GBK" w:cs="Times New Roman"/>
          <w:b w:val="0"/>
          <w:bCs w:val="0"/>
          <w:spacing w:val="-20"/>
          <w:sz w:val="32"/>
          <w:szCs w:val="32"/>
          <w:lang w:val="en-US" w:eastAsia="zh-CN"/>
        </w:rPr>
        <w:t>（图5：一般公共预算财政拨款支出决算变动情况）（柱状图）</w:t>
      </w:r>
    </w:p>
    <w:p w14:paraId="40CC9AE7">
      <w:pPr>
        <w:spacing w:line="600" w:lineRule="exact"/>
        <w:ind w:firstLine="643" w:firstLineChars="200"/>
        <w:outlineLvl w:val="2"/>
        <w:rPr>
          <w:rFonts w:ascii="仿宋" w:hAnsi="仿宋" w:eastAsia="仿宋"/>
          <w:b/>
          <w:color w:val="auto"/>
          <w:sz w:val="32"/>
          <w:szCs w:val="32"/>
          <w:highlight w:val="none"/>
        </w:rPr>
      </w:pPr>
      <w:bookmarkStart w:id="41" w:name="_Toc15377211"/>
      <w:r>
        <w:rPr>
          <w:rFonts w:hint="eastAsia" w:ascii="仿宋" w:hAnsi="仿宋" w:eastAsia="仿宋"/>
          <w:b/>
          <w:color w:val="auto"/>
          <w:sz w:val="32"/>
          <w:szCs w:val="32"/>
          <w:highlight w:val="none"/>
        </w:rPr>
        <w:t>（二）一般公共预算财政拨款支出决算结构情况</w:t>
      </w:r>
      <w:bookmarkEnd w:id="41"/>
    </w:p>
    <w:p w14:paraId="4516A7EC">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103.22</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color w:val="auto"/>
          <w:sz w:val="32"/>
          <w:szCs w:val="32"/>
          <w:highlight w:val="none"/>
        </w:rPr>
        <w:t>一般公共服务支出为</w:t>
      </w:r>
      <w:r>
        <w:rPr>
          <w:rFonts w:hint="eastAsia" w:ascii="仿宋" w:hAnsi="仿宋" w:eastAsia="仿宋"/>
          <w:color w:val="auto"/>
          <w:sz w:val="32"/>
          <w:szCs w:val="32"/>
          <w:highlight w:val="none"/>
          <w:lang w:val="en-US" w:eastAsia="zh-CN"/>
        </w:rPr>
        <w:t>88.16</w:t>
      </w:r>
      <w:r>
        <w:rPr>
          <w:rFonts w:hint="eastAsia" w:ascii="仿宋" w:hAnsi="仿宋" w:eastAsia="仿宋"/>
          <w:color w:val="auto"/>
          <w:sz w:val="32"/>
          <w:szCs w:val="32"/>
          <w:highlight w:val="none"/>
        </w:rPr>
        <w:t>万元，占比</w:t>
      </w:r>
      <w:r>
        <w:rPr>
          <w:rFonts w:hint="eastAsia" w:ascii="仿宋" w:hAnsi="仿宋" w:eastAsia="仿宋"/>
          <w:color w:val="auto"/>
          <w:sz w:val="32"/>
          <w:szCs w:val="32"/>
          <w:highlight w:val="none"/>
          <w:lang w:val="en-US" w:eastAsia="zh-CN"/>
        </w:rPr>
        <w:t>85.42</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；社会保障和就业支出为4.73万元，占比4.58%；卫生健康支出为3.21万元，占比3.11%；住房保障支出为7.11万元，占比6.89%</w:t>
      </w:r>
      <w:r>
        <w:rPr>
          <w:rFonts w:hint="eastAsia" w:ascii="仿宋" w:hAnsi="仿宋" w:eastAsia="仿宋"/>
          <w:color w:val="auto"/>
          <w:sz w:val="32"/>
          <w:szCs w:val="32"/>
          <w:highlight w:val="none"/>
        </w:rPr>
        <w:t>。</w:t>
      </w:r>
    </w:p>
    <w:p w14:paraId="1411A343">
      <w:pPr>
        <w:pStyle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lang w:eastAsia="zh-CN"/>
        </w:rPr>
        <w:drawing>
          <wp:inline distT="0" distB="0" distL="114300" distR="114300">
            <wp:extent cx="5256530" cy="2560955"/>
            <wp:effectExtent l="4445" t="4445" r="15875" b="635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189B14E">
      <w:pPr>
        <w:jc w:val="center"/>
        <w:rPr>
          <w:rFonts w:hint="eastAsia"/>
        </w:rPr>
      </w:pPr>
      <w:r>
        <w:rPr>
          <w:rFonts w:hint="eastAsia" w:ascii="Times New Roman" w:hAnsi="Times New Roman" w:eastAsia="方正仿宋_GBK" w:cs="Times New Roman"/>
          <w:b w:val="0"/>
          <w:bCs w:val="0"/>
          <w:spacing w:val="0"/>
          <w:sz w:val="32"/>
          <w:szCs w:val="32"/>
          <w:lang w:val="en-US" w:eastAsia="zh-CN"/>
        </w:rPr>
        <w:t>（图6：一般公共预算财政拨款支出决算结构）（饼状图）</w:t>
      </w:r>
    </w:p>
    <w:p w14:paraId="78CE42B1">
      <w:pPr>
        <w:spacing w:line="600" w:lineRule="exact"/>
        <w:ind w:firstLine="643" w:firstLineChars="200"/>
        <w:outlineLvl w:val="2"/>
        <w:rPr>
          <w:rFonts w:ascii="仿宋" w:hAnsi="仿宋" w:eastAsia="仿宋"/>
          <w:b/>
          <w:color w:val="auto"/>
          <w:sz w:val="32"/>
          <w:szCs w:val="32"/>
          <w:highlight w:val="none"/>
        </w:rPr>
      </w:pPr>
      <w:bookmarkStart w:id="42" w:name="_Toc15377212"/>
      <w:r>
        <w:rPr>
          <w:rFonts w:hint="eastAsia" w:ascii="仿宋" w:hAnsi="仿宋" w:eastAsia="仿宋"/>
          <w:b/>
          <w:color w:val="auto"/>
          <w:sz w:val="32"/>
          <w:szCs w:val="32"/>
          <w:highlight w:val="none"/>
        </w:rPr>
        <w:t>（三）一般公共预算财政拨款支出决算具体情况</w:t>
      </w:r>
      <w:bookmarkEnd w:id="42"/>
    </w:p>
    <w:p w14:paraId="75198435">
      <w:pPr>
        <w:spacing w:line="600" w:lineRule="exact"/>
        <w:ind w:firstLine="643" w:firstLineChars="200"/>
        <w:outlineLvl w:val="2"/>
        <w:rPr>
          <w:rFonts w:ascii="仿宋" w:hAnsi="仿宋" w:eastAsia="仿宋"/>
          <w:color w:val="auto"/>
          <w:sz w:val="32"/>
          <w:szCs w:val="32"/>
          <w:highlight w:val="none"/>
        </w:rPr>
      </w:pPr>
      <w:bookmarkStart w:id="43" w:name="_Toc15377444"/>
      <w:bookmarkStart w:id="44" w:name="_Toc15378460"/>
      <w:bookmarkStart w:id="45" w:name="_Toc15377213"/>
      <w:r>
        <w:rPr>
          <w:rFonts w:hint="eastAsia" w:ascii="仿宋" w:hAnsi="仿宋" w:eastAsia="仿宋"/>
          <w:b/>
          <w:color w:val="auto"/>
          <w:sz w:val="32"/>
          <w:szCs w:val="32"/>
          <w:highlight w:val="none"/>
          <w:lang w:eastAsia="zh-CN"/>
        </w:rPr>
        <w:t>2025</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103.22万元</w:t>
      </w:r>
      <w:r>
        <w:rPr>
          <w:rFonts w:hint="eastAsia" w:ascii="仿宋" w:hAnsi="仿宋" w:eastAsia="仿宋"/>
          <w:color w:val="auto"/>
          <w:sz w:val="32"/>
          <w:szCs w:val="32"/>
          <w:highlight w:val="none"/>
        </w:rPr>
        <w:t>，</w:t>
      </w:r>
      <w:r>
        <w:rPr>
          <w:rStyle w:val="20"/>
          <w:rFonts w:hint="eastAsia" w:ascii="仿宋" w:hAnsi="仿宋" w:eastAsia="仿宋"/>
          <w:bCs/>
          <w:color w:val="auto"/>
          <w:sz w:val="32"/>
          <w:szCs w:val="32"/>
          <w:highlight w:val="none"/>
        </w:rPr>
        <w:t>完成预算</w:t>
      </w:r>
      <w:r>
        <w:rPr>
          <w:rStyle w:val="20"/>
          <w:rFonts w:hint="eastAsia" w:ascii="仿宋" w:hAnsi="仿宋" w:eastAsia="仿宋"/>
          <w:bCs/>
          <w:color w:val="auto"/>
          <w:sz w:val="32"/>
          <w:szCs w:val="32"/>
          <w:highlight w:val="none"/>
          <w:lang w:val="en-US" w:eastAsia="zh-CN"/>
        </w:rPr>
        <w:t>100</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。其中：</w:t>
      </w:r>
      <w:bookmarkEnd w:id="43"/>
      <w:bookmarkEnd w:id="44"/>
      <w:bookmarkEnd w:id="45"/>
    </w:p>
    <w:p w14:paraId="3FEBABD9">
      <w:pPr>
        <w:spacing w:line="600" w:lineRule="exact"/>
        <w:ind w:firstLine="643" w:firstLineChars="200"/>
        <w:rPr>
          <w:rFonts w:ascii="仿宋" w:hAnsi="仿宋" w:eastAsia="仿宋"/>
          <w:b/>
          <w:color w:val="auto"/>
          <w:sz w:val="32"/>
          <w:szCs w:val="32"/>
          <w:highlight w:val="none"/>
        </w:rPr>
      </w:pPr>
      <w:r>
        <w:rPr>
          <w:rStyle w:val="20"/>
          <w:rFonts w:ascii="仿宋" w:hAnsi="仿宋" w:eastAsia="仿宋"/>
          <w:bCs/>
          <w:color w:val="auto"/>
          <w:sz w:val="32"/>
          <w:szCs w:val="32"/>
          <w:highlight w:val="none"/>
        </w:rPr>
        <w:t>1.</w:t>
      </w:r>
      <w:r>
        <w:rPr>
          <w:rStyle w:val="20"/>
          <w:rFonts w:hint="eastAsia" w:ascii="仿宋" w:hAnsi="仿宋" w:eastAsia="仿宋"/>
          <w:bCs/>
          <w:color w:val="auto"/>
          <w:sz w:val="32"/>
          <w:szCs w:val="32"/>
          <w:highlight w:val="none"/>
        </w:rPr>
        <w:t>一般公共服务（类）</w:t>
      </w:r>
      <w:r>
        <w:rPr>
          <w:rStyle w:val="20"/>
          <w:rFonts w:hint="eastAsia" w:ascii="仿宋" w:hAnsi="仿宋" w:eastAsia="仿宋"/>
          <w:bCs/>
          <w:color w:val="auto"/>
          <w:sz w:val="32"/>
          <w:szCs w:val="32"/>
          <w:highlight w:val="none"/>
          <w:lang w:val="en-US" w:eastAsia="zh-CN"/>
        </w:rPr>
        <w:t>201</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lang w:val="en-US" w:eastAsia="zh-CN"/>
        </w:rPr>
        <w:t>事业运行2014050</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88.16</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，决算数等于预算数。</w:t>
      </w:r>
    </w:p>
    <w:p w14:paraId="40C7347E">
      <w:pPr>
        <w:spacing w:line="600" w:lineRule="exact"/>
        <w:ind w:firstLine="643" w:firstLineChars="200"/>
        <w:rPr>
          <w:rFonts w:ascii="仿宋" w:hAnsi="仿宋" w:eastAsia="仿宋"/>
          <w:b/>
          <w:color w:val="auto"/>
          <w:sz w:val="32"/>
          <w:szCs w:val="32"/>
          <w:highlight w:val="none"/>
        </w:rPr>
      </w:pPr>
      <w:r>
        <w:rPr>
          <w:rStyle w:val="20"/>
          <w:rFonts w:hint="eastAsia" w:ascii="仿宋" w:hAnsi="仿宋" w:eastAsia="仿宋"/>
          <w:bCs/>
          <w:color w:val="auto"/>
          <w:sz w:val="32"/>
          <w:szCs w:val="32"/>
          <w:highlight w:val="none"/>
          <w:lang w:val="en-US" w:eastAsia="zh-CN"/>
        </w:rPr>
        <w:t>2</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社会保障和就业（类）</w:t>
      </w:r>
      <w:r>
        <w:rPr>
          <w:rStyle w:val="20"/>
          <w:rFonts w:hint="eastAsia" w:ascii="仿宋" w:hAnsi="仿宋" w:eastAsia="仿宋"/>
          <w:bCs/>
          <w:color w:val="auto"/>
          <w:sz w:val="32"/>
          <w:szCs w:val="32"/>
          <w:highlight w:val="none"/>
          <w:lang w:val="en-US" w:eastAsia="zh-CN"/>
        </w:rPr>
        <w:t>208</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lang w:val="en-US" w:eastAsia="zh-CN"/>
        </w:rPr>
        <w:t>机关事业单位基本养老保险缴费支出2080505</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2.23</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，决算数</w:t>
      </w:r>
      <w:r>
        <w:rPr>
          <w:rStyle w:val="20"/>
          <w:rFonts w:hint="eastAsia" w:ascii="仿宋" w:hAnsi="仿宋" w:eastAsia="仿宋"/>
          <w:b w:val="0"/>
          <w:bCs/>
          <w:color w:val="auto"/>
          <w:sz w:val="32"/>
          <w:szCs w:val="32"/>
          <w:highlight w:val="none"/>
          <w:lang w:val="en-US" w:eastAsia="zh-CN"/>
        </w:rPr>
        <w:t>等</w:t>
      </w:r>
      <w:r>
        <w:rPr>
          <w:rStyle w:val="20"/>
          <w:rFonts w:hint="eastAsia" w:ascii="仿宋" w:hAnsi="仿宋" w:eastAsia="仿宋"/>
          <w:b w:val="0"/>
          <w:bCs/>
          <w:color w:val="auto"/>
          <w:sz w:val="32"/>
          <w:szCs w:val="32"/>
          <w:highlight w:val="none"/>
        </w:rPr>
        <w:t>于预算数</w:t>
      </w:r>
      <w:r>
        <w:rPr>
          <w:rStyle w:val="20"/>
          <w:rFonts w:hint="eastAsia" w:ascii="仿宋" w:hAnsi="仿宋" w:eastAsia="仿宋"/>
          <w:b w:val="0"/>
          <w:bCs/>
          <w:color w:val="auto"/>
          <w:sz w:val="32"/>
          <w:szCs w:val="32"/>
          <w:highlight w:val="none"/>
          <w:lang w:val="en-US" w:eastAsia="zh-CN"/>
        </w:rPr>
        <w:t>；机关事业单位职业 年金缴费支出2080506支出决算为2.5万元，完成预算100%，决算数等于预算数</w:t>
      </w:r>
      <w:r>
        <w:rPr>
          <w:rStyle w:val="20"/>
          <w:rFonts w:hint="eastAsia" w:ascii="仿宋" w:hAnsi="仿宋" w:eastAsia="仿宋"/>
          <w:b w:val="0"/>
          <w:bCs/>
          <w:color w:val="auto"/>
          <w:sz w:val="32"/>
          <w:szCs w:val="32"/>
          <w:highlight w:val="none"/>
        </w:rPr>
        <w:t>。</w:t>
      </w:r>
    </w:p>
    <w:p w14:paraId="79F35405">
      <w:pPr>
        <w:spacing w:line="600" w:lineRule="exact"/>
        <w:ind w:firstLine="643" w:firstLineChars="200"/>
        <w:rPr>
          <w:rStyle w:val="20"/>
          <w:rFonts w:hint="eastAsia" w:ascii="仿宋" w:hAnsi="仿宋" w:eastAsia="仿宋"/>
          <w:b w:val="0"/>
          <w:bCs/>
          <w:color w:val="auto"/>
          <w:sz w:val="32"/>
          <w:szCs w:val="32"/>
          <w:highlight w:val="none"/>
        </w:rPr>
      </w:pPr>
      <w:r>
        <w:rPr>
          <w:rStyle w:val="20"/>
          <w:rFonts w:hint="eastAsia" w:ascii="仿宋" w:hAnsi="仿宋" w:eastAsia="仿宋"/>
          <w:bCs/>
          <w:color w:val="auto"/>
          <w:sz w:val="32"/>
          <w:szCs w:val="32"/>
          <w:highlight w:val="none"/>
          <w:lang w:val="en-US" w:eastAsia="zh-CN"/>
        </w:rPr>
        <w:t>3</w:t>
      </w:r>
      <w:r>
        <w:rPr>
          <w:rStyle w:val="20"/>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210</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hint="eastAsia" w:ascii="仿宋" w:hAnsi="仿宋" w:eastAsia="仿宋"/>
          <w:b w:val="0"/>
          <w:bCs/>
          <w:color w:val="auto"/>
          <w:sz w:val="32"/>
          <w:szCs w:val="32"/>
          <w:highlight w:val="none"/>
          <w:lang w:val="en-US" w:eastAsia="zh-CN"/>
        </w:rPr>
        <w:t>事业单位医疗2101102支出决算为2.58万元，完成预算100%，决算数等于预算数；其他行政事业单位医疗支出2101199支出决算为0.63万元，完成预算100%，决算数等于预算数</w:t>
      </w:r>
      <w:r>
        <w:rPr>
          <w:rStyle w:val="20"/>
          <w:rFonts w:hint="eastAsia" w:ascii="仿宋" w:hAnsi="仿宋" w:eastAsia="仿宋"/>
          <w:b w:val="0"/>
          <w:bCs/>
          <w:color w:val="auto"/>
          <w:sz w:val="32"/>
          <w:szCs w:val="32"/>
          <w:highlight w:val="none"/>
        </w:rPr>
        <w:t>。</w:t>
      </w:r>
    </w:p>
    <w:p w14:paraId="16B59CB6">
      <w:pPr>
        <w:spacing w:line="600" w:lineRule="exact"/>
        <w:ind w:firstLine="643" w:firstLineChars="200"/>
      </w:pPr>
      <w:r>
        <w:rPr>
          <w:rStyle w:val="20"/>
          <w:rFonts w:hint="eastAsia" w:ascii="仿宋" w:hAnsi="仿宋" w:eastAsia="仿宋"/>
          <w:bCs/>
          <w:color w:val="auto"/>
          <w:sz w:val="32"/>
          <w:szCs w:val="32"/>
          <w:highlight w:val="none"/>
          <w:lang w:val="en-US" w:eastAsia="zh-CN"/>
        </w:rPr>
        <w:t>4</w:t>
      </w:r>
      <w:r>
        <w:rPr>
          <w:rStyle w:val="20"/>
          <w:rFonts w:ascii="仿宋" w:hAnsi="仿宋" w:eastAsia="仿宋"/>
          <w:bCs/>
          <w:color w:val="auto"/>
          <w:sz w:val="32"/>
          <w:szCs w:val="32"/>
          <w:highlight w:val="none"/>
        </w:rPr>
        <w:t>.</w:t>
      </w:r>
      <w:r>
        <w:rPr>
          <w:rFonts w:hint="eastAsia" w:ascii="仿宋" w:hAnsi="仿宋" w:eastAsia="仿宋"/>
          <w:b/>
          <w:color w:val="auto"/>
          <w:sz w:val="32"/>
          <w:szCs w:val="32"/>
          <w:highlight w:val="none"/>
          <w:lang w:val="en-US" w:eastAsia="zh-CN"/>
        </w:rPr>
        <w:t>住房保障</w:t>
      </w:r>
      <w:r>
        <w:rPr>
          <w:rStyle w:val="20"/>
          <w:rFonts w:hint="eastAsia" w:ascii="仿宋" w:hAnsi="仿宋" w:eastAsia="仿宋"/>
          <w:bCs/>
          <w:color w:val="auto"/>
          <w:sz w:val="32"/>
          <w:szCs w:val="32"/>
          <w:highlight w:val="none"/>
        </w:rPr>
        <w:t>（类）</w:t>
      </w:r>
      <w:r>
        <w:rPr>
          <w:rStyle w:val="20"/>
          <w:rFonts w:hint="eastAsia" w:ascii="仿宋" w:hAnsi="仿宋" w:eastAsia="仿宋"/>
          <w:bCs/>
          <w:color w:val="auto"/>
          <w:sz w:val="32"/>
          <w:szCs w:val="32"/>
          <w:highlight w:val="none"/>
          <w:lang w:val="en-US" w:eastAsia="zh-CN"/>
        </w:rPr>
        <w:t>221</w:t>
      </w:r>
      <w:r>
        <w:rPr>
          <w:rStyle w:val="20"/>
          <w:rFonts w:hint="eastAsia" w:ascii="仿宋" w:hAnsi="仿宋" w:eastAsia="仿宋"/>
          <w:bCs/>
          <w:color w:val="auto"/>
          <w:sz w:val="32"/>
          <w:szCs w:val="32"/>
          <w:highlight w:val="none"/>
        </w:rPr>
        <w:t>（款）</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（项）</w:t>
      </w:r>
      <w:r>
        <w:rPr>
          <w:rStyle w:val="20"/>
          <w:rFonts w:ascii="仿宋" w:hAnsi="仿宋" w:eastAsia="仿宋"/>
          <w:bCs/>
          <w:color w:val="auto"/>
          <w:sz w:val="32"/>
          <w:szCs w:val="32"/>
          <w:highlight w:val="none"/>
        </w:rPr>
        <w:t>:</w:t>
      </w:r>
      <w:r>
        <w:rPr>
          <w:rStyle w:val="20"/>
          <w:rFonts w:hint="eastAsia" w:ascii="仿宋" w:hAnsi="仿宋" w:eastAsia="仿宋" w:cs="Times New Roman"/>
          <w:b w:val="0"/>
          <w:bCs/>
          <w:color w:val="auto"/>
          <w:sz w:val="32"/>
          <w:szCs w:val="32"/>
          <w:highlight w:val="none"/>
          <w:lang w:val="en-US" w:eastAsia="zh-CN"/>
        </w:rPr>
        <w:t>住房公积金2210201支出决算为7.11万元，</w:t>
      </w:r>
      <w:r>
        <w:rPr>
          <w:rStyle w:val="20"/>
          <w:rFonts w:hint="eastAsia" w:ascii="仿宋" w:hAnsi="仿宋" w:eastAsia="仿宋" w:cs="Times New Roman"/>
          <w:b w:val="0"/>
          <w:bCs/>
          <w:color w:val="auto"/>
          <w:sz w:val="32"/>
          <w:szCs w:val="32"/>
          <w:highlight w:val="none"/>
        </w:rPr>
        <w:t>完成预算</w:t>
      </w:r>
      <w:r>
        <w:rPr>
          <w:rStyle w:val="20"/>
          <w:rFonts w:hint="eastAsia" w:ascii="仿宋" w:hAnsi="仿宋" w:eastAsia="仿宋" w:cs="Times New Roman"/>
          <w:b w:val="0"/>
          <w:bCs/>
          <w:color w:val="auto"/>
          <w:sz w:val="32"/>
          <w:szCs w:val="32"/>
          <w:highlight w:val="none"/>
          <w:lang w:val="en-US" w:eastAsia="zh-CN"/>
        </w:rPr>
        <w:t>100</w:t>
      </w:r>
      <w:r>
        <w:rPr>
          <w:rStyle w:val="20"/>
          <w:rFonts w:hint="eastAsia" w:ascii="仿宋" w:hAnsi="仿宋" w:eastAsia="仿宋" w:cs="Times New Roman"/>
          <w:b w:val="0"/>
          <w:bCs/>
          <w:color w:val="auto"/>
          <w:sz w:val="32"/>
          <w:szCs w:val="32"/>
          <w:highlight w:val="none"/>
        </w:rPr>
        <w:t>%，</w:t>
      </w:r>
      <w:r>
        <w:rPr>
          <w:rStyle w:val="20"/>
          <w:rFonts w:hint="eastAsia" w:ascii="仿宋" w:hAnsi="仿宋" w:eastAsia="仿宋"/>
          <w:b w:val="0"/>
          <w:bCs/>
          <w:color w:val="auto"/>
          <w:sz w:val="32"/>
          <w:szCs w:val="32"/>
          <w:highlight w:val="none"/>
        </w:rPr>
        <w:t>决算数</w:t>
      </w:r>
      <w:r>
        <w:rPr>
          <w:rStyle w:val="20"/>
          <w:rFonts w:hint="eastAsia" w:ascii="仿宋" w:hAnsi="仿宋" w:eastAsia="仿宋"/>
          <w:b w:val="0"/>
          <w:bCs/>
          <w:color w:val="auto"/>
          <w:sz w:val="32"/>
          <w:szCs w:val="32"/>
          <w:highlight w:val="none"/>
          <w:lang w:val="en-US" w:eastAsia="zh-CN"/>
        </w:rPr>
        <w:t>等</w:t>
      </w:r>
      <w:r>
        <w:rPr>
          <w:rStyle w:val="20"/>
          <w:rFonts w:hint="eastAsia" w:ascii="仿宋" w:hAnsi="仿宋" w:eastAsia="仿宋"/>
          <w:b w:val="0"/>
          <w:bCs/>
          <w:color w:val="auto"/>
          <w:sz w:val="32"/>
          <w:szCs w:val="32"/>
          <w:highlight w:val="none"/>
        </w:rPr>
        <w:t>于预算数。</w:t>
      </w:r>
    </w:p>
    <w:p w14:paraId="07922903">
      <w:pPr>
        <w:tabs>
          <w:tab w:val="right" w:pos="8306"/>
        </w:tabs>
        <w:spacing w:line="600" w:lineRule="exact"/>
        <w:ind w:firstLine="640"/>
        <w:outlineLvl w:val="1"/>
        <w:rPr>
          <w:rStyle w:val="32"/>
          <w:color w:val="auto"/>
          <w:highlight w:val="none"/>
        </w:rPr>
      </w:pPr>
      <w:bookmarkStart w:id="46" w:name="_Toc15396608"/>
      <w:bookmarkStart w:id="47" w:name="_Toc15377214"/>
      <w:bookmarkStart w:id="48" w:name="_Toc28123_WPSOffice_Level2"/>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2"/>
          <w:rFonts w:hint="eastAsia" w:ascii="黑体" w:hAnsi="黑体" w:eastAsia="黑体"/>
          <w:b w:val="0"/>
          <w:color w:val="auto"/>
          <w:highlight w:val="none"/>
        </w:rPr>
        <w:t>般公共预算财政拨款基本支出决算情况说明</w:t>
      </w:r>
      <w:bookmarkEnd w:id="46"/>
      <w:bookmarkEnd w:id="47"/>
      <w:bookmarkEnd w:id="48"/>
      <w:r>
        <w:rPr>
          <w:rStyle w:val="32"/>
          <w:rFonts w:ascii="黑体" w:hAnsi="黑体" w:eastAsia="黑体"/>
          <w:b w:val="0"/>
          <w:color w:val="auto"/>
          <w:highlight w:val="none"/>
        </w:rPr>
        <w:tab/>
      </w:r>
    </w:p>
    <w:p w14:paraId="2A27891F">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103.22</w:t>
      </w:r>
      <w:r>
        <w:rPr>
          <w:rFonts w:hint="eastAsia" w:ascii="仿宋" w:hAnsi="仿宋" w:eastAsia="仿宋"/>
          <w:color w:val="auto"/>
          <w:sz w:val="32"/>
          <w:szCs w:val="32"/>
          <w:highlight w:val="none"/>
        </w:rPr>
        <w:t>万元，其中：</w:t>
      </w:r>
    </w:p>
    <w:p w14:paraId="4960297C">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84.88</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18.33</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89EE5D2">
      <w:pPr>
        <w:spacing w:line="600" w:lineRule="exact"/>
        <w:ind w:firstLine="640"/>
        <w:outlineLvl w:val="1"/>
        <w:rPr>
          <w:rStyle w:val="32"/>
          <w:rFonts w:ascii="黑体" w:hAnsi="黑体" w:eastAsia="黑体"/>
          <w:b w:val="0"/>
          <w:color w:val="auto"/>
          <w:highlight w:val="none"/>
        </w:rPr>
      </w:pPr>
      <w:bookmarkStart w:id="49" w:name="_Toc15396609"/>
      <w:bookmarkStart w:id="50" w:name="_Toc15377215"/>
      <w:bookmarkStart w:id="51" w:name="_Toc16777_WPSOffice_Level2"/>
      <w:r>
        <w:rPr>
          <w:rFonts w:hint="eastAsia" w:ascii="黑体" w:eastAsia="黑体"/>
          <w:color w:val="auto"/>
          <w:sz w:val="32"/>
          <w:szCs w:val="32"/>
          <w:highlight w:val="none"/>
        </w:rPr>
        <w:t>七、</w:t>
      </w:r>
      <w:r>
        <w:rPr>
          <w:rStyle w:val="32"/>
          <w:rFonts w:hint="eastAsia" w:ascii="黑体" w:hAnsi="黑体" w:eastAsia="黑体"/>
          <w:b w:val="0"/>
          <w:color w:val="auto"/>
          <w:highlight w:val="none"/>
        </w:rPr>
        <w:t>财政拨款</w:t>
      </w:r>
      <w:r>
        <w:rPr>
          <w:rStyle w:val="32"/>
          <w:rFonts w:hint="eastAsia" w:ascii="黑体" w:hAnsi="黑体" w:eastAsia="黑体"/>
          <w:color w:val="auto"/>
          <w:highlight w:val="none"/>
        </w:rPr>
        <w:t>“</w:t>
      </w:r>
      <w:r>
        <w:rPr>
          <w:rStyle w:val="32"/>
          <w:rFonts w:hint="eastAsia" w:ascii="黑体" w:hAnsi="黑体" w:eastAsia="黑体"/>
          <w:b w:val="0"/>
          <w:color w:val="auto"/>
          <w:highlight w:val="none"/>
        </w:rPr>
        <w:t>三公”经费支出决算情况说明</w:t>
      </w:r>
      <w:bookmarkEnd w:id="49"/>
      <w:bookmarkEnd w:id="50"/>
      <w:bookmarkEnd w:id="51"/>
    </w:p>
    <w:p w14:paraId="4435BF73">
      <w:pPr>
        <w:spacing w:line="600" w:lineRule="exact"/>
        <w:ind w:firstLine="640"/>
        <w:outlineLvl w:val="2"/>
        <w:rPr>
          <w:rFonts w:ascii="仿宋" w:hAnsi="仿宋" w:eastAsia="仿宋"/>
          <w:b/>
          <w:color w:val="auto"/>
          <w:sz w:val="32"/>
          <w:szCs w:val="32"/>
          <w:highlight w:val="none"/>
        </w:rPr>
      </w:pPr>
      <w:bookmarkStart w:id="52" w:name="_Toc15377216"/>
      <w:r>
        <w:rPr>
          <w:rFonts w:hint="eastAsia" w:ascii="仿宋" w:hAnsi="仿宋" w:eastAsia="仿宋"/>
          <w:b/>
          <w:color w:val="auto"/>
          <w:sz w:val="32"/>
          <w:szCs w:val="32"/>
          <w:highlight w:val="none"/>
        </w:rPr>
        <w:t>（一）“三公”经费财政拨款支出决算总体情况说明</w:t>
      </w:r>
      <w:bookmarkEnd w:id="52"/>
    </w:p>
    <w:p w14:paraId="2C19E792">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较上年</w:t>
      </w:r>
      <w:r>
        <w:rPr>
          <w:rFonts w:hint="eastAsia" w:ascii="仿宋" w:hAnsi="仿宋" w:eastAsia="仿宋"/>
          <w:color w:val="auto"/>
          <w:sz w:val="32"/>
          <w:szCs w:val="32"/>
          <w:highlight w:val="none"/>
          <w:lang w:val="en-US" w:eastAsia="zh-CN"/>
        </w:rPr>
        <w:t>增加0万元。上年与本年均未产生“三公”经费</w:t>
      </w:r>
      <w:r>
        <w:rPr>
          <w:rFonts w:hint="eastAsia" w:ascii="仿宋" w:hAnsi="仿宋" w:eastAsia="仿宋"/>
          <w:color w:val="auto"/>
          <w:sz w:val="32"/>
          <w:szCs w:val="32"/>
          <w:highlight w:val="none"/>
        </w:rPr>
        <w:t>。</w:t>
      </w:r>
    </w:p>
    <w:p w14:paraId="1A9C6058">
      <w:pPr>
        <w:spacing w:line="600" w:lineRule="exact"/>
        <w:ind w:firstLine="640"/>
        <w:outlineLvl w:val="2"/>
        <w:rPr>
          <w:rFonts w:ascii="仿宋" w:hAnsi="仿宋" w:eastAsia="仿宋"/>
          <w:b/>
          <w:color w:val="auto"/>
          <w:sz w:val="32"/>
          <w:szCs w:val="32"/>
          <w:highlight w:val="none"/>
        </w:rPr>
      </w:pPr>
      <w:bookmarkStart w:id="53" w:name="_Toc15377217"/>
      <w:r>
        <w:rPr>
          <w:rFonts w:hint="eastAsia" w:ascii="仿宋" w:hAnsi="仿宋" w:eastAsia="仿宋"/>
          <w:b/>
          <w:color w:val="auto"/>
          <w:sz w:val="32"/>
          <w:szCs w:val="32"/>
          <w:highlight w:val="none"/>
        </w:rPr>
        <w:t>（二）“三公”经费财政拨款支出决算具体情况说明</w:t>
      </w:r>
      <w:bookmarkEnd w:id="53"/>
    </w:p>
    <w:p w14:paraId="7DB3E710">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67D74B0F">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val="en-US" w:eastAsia="zh-CN"/>
        </w:rPr>
        <w:t>0</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val="en-US" w:eastAsia="zh-CN"/>
        </w:rPr>
        <w:t>与</w:t>
      </w:r>
      <w:r>
        <w:rPr>
          <w:rFonts w:hint="eastAsia" w:ascii="仿宋_GB2312" w:eastAsia="仿宋_GB2312"/>
          <w:color w:val="auto"/>
          <w:sz w:val="32"/>
          <w:szCs w:val="32"/>
          <w:highlight w:val="none"/>
          <w:lang w:eastAsia="zh-CN"/>
        </w:rPr>
        <w:t>2024</w:t>
      </w:r>
      <w:r>
        <w:rPr>
          <w:rFonts w:hint="eastAsia" w:ascii="仿宋_GB2312" w:eastAsia="仿宋_GB2312"/>
          <w:color w:val="auto"/>
          <w:sz w:val="32"/>
          <w:szCs w:val="32"/>
          <w:highlight w:val="none"/>
        </w:rPr>
        <w:t>年比</w:t>
      </w:r>
      <w:r>
        <w:rPr>
          <w:rFonts w:hint="eastAsia" w:ascii="仿宋_GB2312" w:eastAsia="仿宋_GB2312"/>
          <w:color w:val="auto"/>
          <w:sz w:val="32"/>
          <w:szCs w:val="32"/>
          <w:highlight w:val="none"/>
          <w:lang w:val="en-US" w:eastAsia="zh-CN"/>
        </w:rPr>
        <w:t>无变化</w:t>
      </w:r>
      <w:r>
        <w:rPr>
          <w:rFonts w:hint="eastAsia" w:ascii="仿宋_GB2312" w:eastAsia="仿宋_GB2312"/>
          <w:color w:val="auto"/>
          <w:sz w:val="32"/>
          <w:szCs w:val="32"/>
          <w:highlight w:val="none"/>
        </w:rPr>
        <w:t>。</w:t>
      </w:r>
    </w:p>
    <w:p w14:paraId="643F9F5A">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val="en-US" w:eastAsia="zh-CN"/>
        </w:rPr>
        <w:t>与</w:t>
      </w:r>
      <w:r>
        <w:rPr>
          <w:rFonts w:hint="eastAsia" w:ascii="仿宋_GB2312" w:eastAsia="仿宋_GB2312"/>
          <w:color w:val="auto"/>
          <w:sz w:val="32"/>
          <w:szCs w:val="32"/>
          <w:highlight w:val="none"/>
          <w:lang w:eastAsia="zh-CN"/>
        </w:rPr>
        <w:t>2024</w:t>
      </w:r>
      <w:r>
        <w:rPr>
          <w:rFonts w:hint="eastAsia" w:ascii="仿宋_GB2312" w:eastAsia="仿宋_GB2312"/>
          <w:color w:val="auto"/>
          <w:sz w:val="32"/>
          <w:szCs w:val="32"/>
          <w:highlight w:val="none"/>
        </w:rPr>
        <w:t>年比</w:t>
      </w:r>
      <w:r>
        <w:rPr>
          <w:rFonts w:hint="eastAsia" w:ascii="仿宋_GB2312" w:eastAsia="仿宋_GB2312"/>
          <w:color w:val="auto"/>
          <w:sz w:val="32"/>
          <w:szCs w:val="32"/>
          <w:highlight w:val="none"/>
          <w:lang w:val="en-US" w:eastAsia="zh-CN"/>
        </w:rPr>
        <w:t>无变化</w:t>
      </w:r>
      <w:r>
        <w:rPr>
          <w:rFonts w:hint="eastAsia" w:ascii="仿宋_GB2312" w:eastAsia="仿宋_GB2312"/>
          <w:color w:val="auto"/>
          <w:sz w:val="32"/>
          <w:szCs w:val="32"/>
          <w:highlight w:val="none"/>
        </w:rPr>
        <w:t>。</w:t>
      </w:r>
    </w:p>
    <w:p w14:paraId="589CD574">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577FDE52">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A20387D">
      <w:pPr>
        <w:spacing w:line="600" w:lineRule="exact"/>
        <w:ind w:firstLine="640"/>
        <w:rPr>
          <w:rFonts w:hint="eastAsia" w:ascii="仿宋_GB2312" w:eastAsia="仿宋_GB2312"/>
          <w:color w:val="auto"/>
          <w:sz w:val="32"/>
          <w:szCs w:val="32"/>
          <w:highlight w:val="none"/>
          <w:lang w:val="en-US" w:eastAsia="zh-CN"/>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w:t>
      </w:r>
      <w:r>
        <w:rPr>
          <w:rFonts w:hint="eastAsia" w:ascii="仿宋_GB2312" w:eastAsia="仿宋_GB2312"/>
          <w:color w:val="auto"/>
          <w:sz w:val="32"/>
          <w:szCs w:val="32"/>
          <w:highlight w:val="none"/>
          <w:lang w:val="en-US" w:eastAsia="zh-CN"/>
        </w:rPr>
        <w:t>与</w:t>
      </w:r>
      <w:r>
        <w:rPr>
          <w:rFonts w:hint="eastAsia" w:ascii="仿宋_GB2312" w:eastAsia="仿宋_GB2312"/>
          <w:color w:val="auto"/>
          <w:sz w:val="32"/>
          <w:szCs w:val="32"/>
          <w:highlight w:val="none"/>
          <w:lang w:eastAsia="zh-CN"/>
        </w:rPr>
        <w:t>2024</w:t>
      </w:r>
      <w:r>
        <w:rPr>
          <w:rFonts w:hint="eastAsia" w:ascii="仿宋_GB2312" w:eastAsia="仿宋_GB2312"/>
          <w:color w:val="auto"/>
          <w:sz w:val="32"/>
          <w:szCs w:val="32"/>
          <w:highlight w:val="none"/>
        </w:rPr>
        <w:t>年比</w:t>
      </w:r>
      <w:r>
        <w:rPr>
          <w:rFonts w:hint="eastAsia" w:ascii="仿宋_GB2312" w:eastAsia="仿宋_GB2312"/>
          <w:color w:val="auto"/>
          <w:sz w:val="32"/>
          <w:szCs w:val="32"/>
          <w:highlight w:val="none"/>
          <w:lang w:val="en-US" w:eastAsia="zh-CN"/>
        </w:rPr>
        <w:t>无变化。</w:t>
      </w:r>
    </w:p>
    <w:p w14:paraId="5EA5EB89">
      <w:pPr>
        <w:spacing w:line="600" w:lineRule="exact"/>
        <w:ind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14:paraId="3CB0FBD0">
      <w:pPr>
        <w:spacing w:line="600" w:lineRule="exact"/>
        <w:ind w:firstLine="643" w:firstLineChars="200"/>
        <w:rPr>
          <w:rFonts w:ascii="仿宋_GB2312" w:eastAsia="仿宋_GB2312"/>
          <w:color w:val="auto"/>
          <w:sz w:val="32"/>
          <w:szCs w:val="32"/>
          <w:highlight w:val="none"/>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14:paraId="4677B284">
      <w:pPr>
        <w:spacing w:line="600" w:lineRule="exact"/>
        <w:ind w:firstLine="640"/>
        <w:outlineLvl w:val="1"/>
        <w:rPr>
          <w:rStyle w:val="32"/>
          <w:rFonts w:ascii="黑体" w:hAnsi="黑体" w:eastAsia="黑体"/>
          <w:color w:val="auto"/>
          <w:highlight w:val="none"/>
        </w:rPr>
      </w:pPr>
      <w:bookmarkStart w:id="54" w:name="_Toc15377218"/>
      <w:bookmarkStart w:id="55" w:name="_Toc15396610"/>
      <w:bookmarkStart w:id="56" w:name="_Toc31105_WPSOffice_Level2"/>
      <w:r>
        <w:rPr>
          <w:rFonts w:hint="eastAsia" w:ascii="黑体" w:eastAsia="黑体"/>
          <w:color w:val="auto"/>
          <w:sz w:val="32"/>
          <w:szCs w:val="32"/>
          <w:highlight w:val="none"/>
        </w:rPr>
        <w:t>八、</w:t>
      </w:r>
      <w:r>
        <w:rPr>
          <w:rStyle w:val="32"/>
          <w:rFonts w:hint="eastAsia" w:ascii="黑体" w:hAnsi="黑体" w:eastAsia="黑体"/>
          <w:b w:val="0"/>
          <w:color w:val="auto"/>
          <w:highlight w:val="none"/>
        </w:rPr>
        <w:t>政府性基金预算支出决算情况说明</w:t>
      </w:r>
      <w:bookmarkEnd w:id="54"/>
      <w:bookmarkEnd w:id="55"/>
      <w:bookmarkEnd w:id="56"/>
    </w:p>
    <w:p w14:paraId="66322B7D">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2E3FE591">
      <w:pPr>
        <w:numPr>
          <w:ilvl w:val="0"/>
          <w:numId w:val="2"/>
        </w:numPr>
        <w:spacing w:line="600" w:lineRule="exact"/>
        <w:ind w:firstLine="640"/>
        <w:outlineLvl w:val="1"/>
        <w:rPr>
          <w:rStyle w:val="32"/>
          <w:rFonts w:ascii="黑体" w:hAnsi="黑体" w:eastAsia="黑体"/>
          <w:b w:val="0"/>
          <w:color w:val="auto"/>
          <w:highlight w:val="none"/>
        </w:rPr>
      </w:pPr>
      <w:bookmarkStart w:id="57" w:name="_Toc8514_WPSOffice_Level2"/>
      <w:bookmarkStart w:id="58" w:name="_Toc15396611"/>
      <w:bookmarkStart w:id="59" w:name="_Toc15377219"/>
      <w:r>
        <w:rPr>
          <w:rStyle w:val="32"/>
          <w:rFonts w:hint="eastAsia" w:ascii="黑体" w:hAnsi="黑体" w:eastAsia="黑体"/>
          <w:b w:val="0"/>
          <w:color w:val="auto"/>
          <w:highlight w:val="none"/>
        </w:rPr>
        <w:t>国有资本经营预算支出决算情况说明</w:t>
      </w:r>
      <w:bookmarkEnd w:id="57"/>
      <w:bookmarkEnd w:id="58"/>
      <w:bookmarkEnd w:id="59"/>
    </w:p>
    <w:p w14:paraId="0C738545">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BA1AEE9">
      <w:pPr>
        <w:numPr>
          <w:ilvl w:val="0"/>
          <w:numId w:val="2"/>
        </w:numPr>
        <w:spacing w:line="600" w:lineRule="exact"/>
        <w:ind w:firstLine="640"/>
        <w:outlineLvl w:val="1"/>
        <w:rPr>
          <w:rStyle w:val="32"/>
          <w:rFonts w:hint="eastAsia" w:ascii="黑体" w:hAnsi="黑体" w:eastAsia="黑体"/>
          <w:b w:val="0"/>
          <w:color w:val="auto"/>
          <w:highlight w:val="none"/>
        </w:rPr>
      </w:pPr>
      <w:bookmarkStart w:id="60" w:name="_Toc15377221"/>
      <w:bookmarkStart w:id="61" w:name="_Toc15396612"/>
      <w:bookmarkStart w:id="62" w:name="_Toc16629_WPSOffice_Level2"/>
      <w:r>
        <w:rPr>
          <w:rStyle w:val="32"/>
          <w:rFonts w:hint="eastAsia" w:ascii="黑体" w:hAnsi="黑体" w:eastAsia="黑体"/>
          <w:b w:val="0"/>
          <w:color w:val="auto"/>
          <w:highlight w:val="none"/>
        </w:rPr>
        <w:t>其他重要事项的情况说明</w:t>
      </w:r>
      <w:bookmarkEnd w:id="60"/>
      <w:bookmarkEnd w:id="61"/>
      <w:bookmarkEnd w:id="62"/>
    </w:p>
    <w:p w14:paraId="4956A54F">
      <w:pPr>
        <w:spacing w:line="600" w:lineRule="exact"/>
        <w:ind w:firstLine="643" w:firstLineChars="200"/>
        <w:outlineLvl w:val="2"/>
        <w:rPr>
          <w:rFonts w:ascii="仿宋" w:hAnsi="仿宋" w:eastAsia="仿宋"/>
          <w:color w:val="auto"/>
          <w:sz w:val="32"/>
          <w:szCs w:val="32"/>
          <w:highlight w:val="none"/>
        </w:rPr>
      </w:pPr>
      <w:bookmarkStart w:id="63" w:name="_Toc15377222"/>
      <w:r>
        <w:rPr>
          <w:rFonts w:hint="eastAsia" w:ascii="仿宋" w:hAnsi="仿宋" w:eastAsia="仿宋"/>
          <w:b/>
          <w:color w:val="auto"/>
          <w:sz w:val="32"/>
          <w:szCs w:val="32"/>
          <w:highlight w:val="none"/>
        </w:rPr>
        <w:t>（一）机关运行经费支出情况</w:t>
      </w:r>
      <w:bookmarkEnd w:id="63"/>
    </w:p>
    <w:p w14:paraId="0B3007B7">
      <w:pPr>
        <w:spacing w:line="60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小金县信访接待中心</w:t>
      </w:r>
      <w:r>
        <w:rPr>
          <w:rFonts w:hint="eastAsia" w:ascii="仿宋_GB2312" w:eastAsia="仿宋_GB2312"/>
          <w:color w:val="auto"/>
          <w:sz w:val="32"/>
          <w:szCs w:val="32"/>
          <w:highlight w:val="none"/>
        </w:rPr>
        <w:t>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万元，比</w:t>
      </w:r>
      <w:r>
        <w:rPr>
          <w:rFonts w:hint="eastAsia" w:ascii="仿宋_GB2312" w:eastAsia="仿宋_GB2312"/>
          <w:color w:val="auto"/>
          <w:sz w:val="32"/>
          <w:szCs w:val="32"/>
          <w:highlight w:val="none"/>
          <w:lang w:eastAsia="zh-CN"/>
        </w:rPr>
        <w:t>2024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减少0</w:t>
      </w:r>
      <w:r>
        <w:rPr>
          <w:rFonts w:hint="eastAsia" w:ascii="仿宋_GB2312" w:eastAsia="仿宋_GB2312"/>
          <w:color w:val="auto"/>
          <w:sz w:val="32"/>
          <w:szCs w:val="32"/>
          <w:highlight w:val="none"/>
        </w:rPr>
        <w:t>万元。主要原因是</w:t>
      </w:r>
      <w:r>
        <w:rPr>
          <w:rFonts w:hint="eastAsia" w:ascii="仿宋" w:hAnsi="仿宋" w:eastAsia="仿宋"/>
          <w:color w:val="auto"/>
          <w:sz w:val="32"/>
          <w:szCs w:val="32"/>
          <w:highlight w:val="none"/>
          <w:lang w:val="en-US" w:eastAsia="zh-CN"/>
        </w:rPr>
        <w:t>将该经费纳入事业运行里统一核算了。</w:t>
      </w:r>
    </w:p>
    <w:p w14:paraId="37EB9497">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4" w:name="_Toc15377223"/>
      <w:r>
        <w:rPr>
          <w:rFonts w:hint="eastAsia" w:ascii="仿宋" w:hAnsi="仿宋" w:eastAsia="仿宋"/>
          <w:b/>
          <w:color w:val="auto"/>
          <w:sz w:val="32"/>
          <w:szCs w:val="32"/>
          <w:highlight w:val="none"/>
        </w:rPr>
        <w:t>（二）政府采购支出情况</w:t>
      </w:r>
      <w:bookmarkEnd w:id="64"/>
    </w:p>
    <w:p w14:paraId="68B7AC8E">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小金县信访接待中心</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万元。主要用于</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（具体工作）。授予中小企业合同金额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14:paraId="7240B59A">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5" w:name="_Toc15377224"/>
      <w:r>
        <w:rPr>
          <w:rFonts w:hint="eastAsia" w:ascii="仿宋" w:hAnsi="仿宋" w:eastAsia="仿宋"/>
          <w:b/>
          <w:color w:val="auto"/>
          <w:sz w:val="32"/>
          <w:szCs w:val="32"/>
          <w:highlight w:val="none"/>
        </w:rPr>
        <w:t>（三）国有资产占有使用情况</w:t>
      </w:r>
      <w:bookmarkEnd w:id="65"/>
    </w:p>
    <w:p w14:paraId="603E9DFE">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小金县信访接待中心</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2CF4279A">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14:paraId="692556E2">
      <w:pPr>
        <w:widowControl/>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根据预算绩效管理要求，本部门在</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年度预算编制阶段，组织对</w:t>
      </w:r>
      <w:r>
        <w:rPr>
          <w:rFonts w:hint="eastAsia" w:ascii="仿宋_GB2312" w:hAnsi="仿宋_GB2312" w:eastAsia="仿宋_GB2312" w:cs="仿宋_GB2312"/>
          <w:color w:val="auto"/>
          <w:sz w:val="32"/>
          <w:szCs w:val="32"/>
          <w:highlight w:val="none"/>
          <w:lang w:val="en-US" w:eastAsia="zh-CN"/>
        </w:rPr>
        <w:t>信访维稳经费</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信访专项</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个项目开展了预算事前绩效评估，对</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个项目开展绩效监控。</w:t>
      </w:r>
    </w:p>
    <w:p w14:paraId="1B9F7FB9">
      <w:pPr>
        <w:keepNext w:val="0"/>
        <w:keepLines w:val="0"/>
        <w:pageBreakBefore w:val="0"/>
        <w:widowControl/>
        <w:kinsoku/>
        <w:wordWrap/>
        <w:overflowPunct/>
        <w:topLinePunct w:val="0"/>
        <w:autoSpaceDE/>
        <w:autoSpaceDN/>
        <w:bidi w:val="0"/>
        <w:adjustRightInd w:val="0"/>
        <w:spacing w:line="576"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组织对</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年度一般公共预算、社会保险基金预算以及资本资产等全面开展绩效自评，形成</w:t>
      </w:r>
      <w:r>
        <w:rPr>
          <w:rFonts w:hint="eastAsia" w:ascii="仿宋_GB2312" w:hAnsi="仿宋_GB2312" w:eastAsia="仿宋_GB2312" w:cs="仿宋_GB2312"/>
          <w:color w:val="auto"/>
          <w:sz w:val="32"/>
          <w:szCs w:val="32"/>
          <w:highlight w:val="none"/>
          <w:lang w:val="en-US" w:eastAsia="zh-CN"/>
        </w:rPr>
        <w:t>小金县信访接待中心</w:t>
      </w:r>
      <w:r>
        <w:rPr>
          <w:rFonts w:hint="eastAsia" w:ascii="仿宋_GB2312" w:hAnsi="仿宋_GB2312" w:eastAsia="仿宋_GB2312" w:cs="仿宋_GB2312"/>
          <w:color w:val="auto"/>
          <w:sz w:val="32"/>
          <w:szCs w:val="32"/>
          <w:highlight w:val="none"/>
        </w:rPr>
        <w:t>部门整体（含部门预算项目）绩效自评报告，其中，</w:t>
      </w:r>
      <w:r>
        <w:rPr>
          <w:rFonts w:hint="eastAsia" w:ascii="仿宋_GB2312" w:hAnsi="仿宋_GB2312" w:eastAsia="仿宋_GB2312" w:cs="仿宋_GB2312"/>
          <w:color w:val="auto"/>
          <w:sz w:val="32"/>
          <w:szCs w:val="32"/>
          <w:highlight w:val="none"/>
          <w:lang w:val="en-US" w:eastAsia="zh-CN"/>
        </w:rPr>
        <w:t>小金县信访接待中心</w:t>
      </w:r>
      <w:r>
        <w:rPr>
          <w:rFonts w:hint="eastAsia" w:ascii="仿宋_GB2312" w:hAnsi="仿宋_GB2312" w:eastAsia="仿宋_GB2312" w:cs="仿宋_GB2312"/>
          <w:color w:val="auto"/>
          <w:sz w:val="32"/>
          <w:szCs w:val="32"/>
          <w:highlight w:val="none"/>
        </w:rPr>
        <w:t>部门整体（含部门预算项目）绩效自评得分为</w:t>
      </w:r>
      <w:r>
        <w:rPr>
          <w:rFonts w:hint="eastAsia" w:ascii="仿宋_GB2312" w:hAnsi="仿宋_GB2312" w:eastAsia="仿宋_GB2312" w:cs="仿宋_GB2312"/>
          <w:color w:val="auto"/>
          <w:sz w:val="32"/>
          <w:szCs w:val="32"/>
          <w:highlight w:val="none"/>
          <w:lang w:val="en-US" w:eastAsia="zh-CN"/>
        </w:rPr>
        <w:t>97</w:t>
      </w:r>
      <w:r>
        <w:rPr>
          <w:rFonts w:hint="eastAsia" w:ascii="仿宋_GB2312" w:hAnsi="仿宋_GB2312" w:eastAsia="仿宋_GB2312" w:cs="仿宋_GB2312"/>
          <w:color w:val="auto"/>
          <w:sz w:val="32"/>
          <w:szCs w:val="32"/>
          <w:highlight w:val="none"/>
        </w:rPr>
        <w:t>分，绩效自评综述：</w:t>
      </w:r>
      <w:r>
        <w:rPr>
          <w:rFonts w:hint="default" w:ascii="仿宋_GB2312" w:hAnsi="仿宋_GB2312" w:eastAsia="仿宋_GB2312" w:cs="仿宋_GB2312"/>
          <w:color w:val="auto"/>
          <w:sz w:val="32"/>
          <w:szCs w:val="32"/>
          <w:highlight w:val="none"/>
          <w:lang w:val="en-US" w:eastAsia="zh-CN"/>
        </w:rPr>
        <w:t>我局</w:t>
      </w:r>
      <w:r>
        <w:rPr>
          <w:rFonts w:hint="default" w:ascii="仿宋_GB2312" w:hAnsi="仿宋_GB2312" w:eastAsia="仿宋_GB2312" w:cs="仿宋_GB2312"/>
          <w:color w:val="auto"/>
          <w:sz w:val="32"/>
          <w:szCs w:val="32"/>
          <w:highlight w:val="none"/>
        </w:rPr>
        <w:t>预算执行情况良好，无不良记录及违规违纪行为，预算支出和决算支出情况相符。根据绩效评价工作要求，我们对自评工作实施方案进行了认真的研究和部署，是自评工作得以顺利开展，并取得了较好的效果</w:t>
      </w:r>
      <w:r>
        <w:rPr>
          <w:rFonts w:hint="eastAsia" w:ascii="仿宋_GB2312" w:hAnsi="仿宋_GB2312" w:eastAsia="仿宋_GB2312" w:cs="仿宋_GB2312"/>
          <w:color w:val="auto"/>
          <w:sz w:val="32"/>
          <w:szCs w:val="32"/>
          <w:highlight w:val="none"/>
        </w:rPr>
        <w:t>。</w:t>
      </w:r>
    </w:p>
    <w:p w14:paraId="4C585B62">
      <w:pPr>
        <w:pStyle w:val="22"/>
        <w:rPr>
          <w:rFonts w:hint="eastAsia" w:ascii="仿宋_GB2312" w:hAnsi="仿宋_GB2312" w:eastAsia="仿宋_GB2312" w:cs="仿宋_GB2312"/>
          <w:color w:val="auto"/>
          <w:sz w:val="32"/>
          <w:szCs w:val="32"/>
          <w:highlight w:val="none"/>
        </w:rPr>
      </w:pPr>
    </w:p>
    <w:p w14:paraId="4A499FEA">
      <w:pPr>
        <w:rPr>
          <w:rFonts w:hint="eastAsia" w:ascii="仿宋_GB2312" w:hAnsi="仿宋_GB2312" w:eastAsia="仿宋_GB2312" w:cs="仿宋_GB2312"/>
          <w:color w:val="auto"/>
          <w:sz w:val="32"/>
          <w:szCs w:val="32"/>
          <w:highlight w:val="none"/>
        </w:rPr>
      </w:pPr>
    </w:p>
    <w:p w14:paraId="18C12380">
      <w:pPr>
        <w:pStyle w:val="22"/>
        <w:rPr>
          <w:rFonts w:hint="eastAsia" w:ascii="仿宋_GB2312" w:hAnsi="仿宋_GB2312" w:eastAsia="仿宋_GB2312" w:cs="仿宋_GB2312"/>
          <w:color w:val="auto"/>
          <w:sz w:val="32"/>
          <w:szCs w:val="32"/>
          <w:highlight w:val="none"/>
        </w:rPr>
      </w:pPr>
    </w:p>
    <w:p w14:paraId="130F7F17">
      <w:pPr>
        <w:rPr>
          <w:rFonts w:hint="eastAsia" w:ascii="仿宋_GB2312" w:hAnsi="仿宋_GB2312" w:eastAsia="仿宋_GB2312" w:cs="仿宋_GB2312"/>
          <w:color w:val="auto"/>
          <w:sz w:val="32"/>
          <w:szCs w:val="32"/>
          <w:highlight w:val="none"/>
        </w:rPr>
      </w:pPr>
    </w:p>
    <w:p w14:paraId="34ED4E54">
      <w:pPr>
        <w:pStyle w:val="22"/>
        <w:rPr>
          <w:rFonts w:hint="eastAsia" w:ascii="仿宋_GB2312" w:hAnsi="仿宋_GB2312" w:eastAsia="仿宋_GB2312" w:cs="仿宋_GB2312"/>
          <w:color w:val="auto"/>
          <w:sz w:val="32"/>
          <w:szCs w:val="32"/>
          <w:highlight w:val="none"/>
        </w:rPr>
      </w:pPr>
    </w:p>
    <w:p w14:paraId="5A3D743C">
      <w:pPr>
        <w:rPr>
          <w:rFonts w:hint="eastAsia" w:ascii="仿宋_GB2312" w:hAnsi="仿宋_GB2312" w:eastAsia="仿宋_GB2312" w:cs="仿宋_GB2312"/>
          <w:color w:val="auto"/>
          <w:sz w:val="32"/>
          <w:szCs w:val="32"/>
          <w:highlight w:val="none"/>
        </w:rPr>
      </w:pPr>
    </w:p>
    <w:p w14:paraId="2386BF29">
      <w:pPr>
        <w:pStyle w:val="22"/>
        <w:rPr>
          <w:rFonts w:hint="eastAsia" w:ascii="仿宋_GB2312" w:hAnsi="仿宋_GB2312" w:eastAsia="仿宋_GB2312" w:cs="仿宋_GB2312"/>
          <w:color w:val="auto"/>
          <w:sz w:val="32"/>
          <w:szCs w:val="32"/>
          <w:highlight w:val="none"/>
        </w:rPr>
      </w:pPr>
    </w:p>
    <w:p w14:paraId="7BECB515">
      <w:pPr>
        <w:rPr>
          <w:rFonts w:hint="eastAsia" w:ascii="仿宋_GB2312" w:hAnsi="仿宋_GB2312" w:eastAsia="仿宋_GB2312" w:cs="仿宋_GB2312"/>
          <w:color w:val="auto"/>
          <w:sz w:val="32"/>
          <w:szCs w:val="32"/>
          <w:highlight w:val="none"/>
        </w:rPr>
      </w:pPr>
    </w:p>
    <w:p w14:paraId="1F7D8932">
      <w:pPr>
        <w:pStyle w:val="22"/>
        <w:rPr>
          <w:rFonts w:hint="eastAsia" w:ascii="仿宋_GB2312" w:hAnsi="仿宋_GB2312" w:eastAsia="仿宋_GB2312" w:cs="仿宋_GB2312"/>
          <w:color w:val="auto"/>
          <w:sz w:val="32"/>
          <w:szCs w:val="32"/>
          <w:highlight w:val="none"/>
        </w:rPr>
      </w:pPr>
    </w:p>
    <w:p w14:paraId="5D27E393">
      <w:pPr>
        <w:rPr>
          <w:rFonts w:hint="eastAsia" w:ascii="仿宋_GB2312" w:hAnsi="仿宋_GB2312" w:eastAsia="仿宋_GB2312" w:cs="仿宋_GB2312"/>
          <w:color w:val="auto"/>
          <w:sz w:val="32"/>
          <w:szCs w:val="32"/>
          <w:highlight w:val="none"/>
        </w:rPr>
      </w:pPr>
    </w:p>
    <w:p w14:paraId="6A64427C">
      <w:pPr>
        <w:pStyle w:val="9"/>
        <w:rPr>
          <w:rFonts w:hint="eastAsia"/>
        </w:rPr>
      </w:pPr>
    </w:p>
    <w:p w14:paraId="68853BF1">
      <w:pPr>
        <w:numPr>
          <w:ilvl w:val="0"/>
          <w:numId w:val="3"/>
        </w:numPr>
        <w:spacing w:line="600" w:lineRule="exact"/>
        <w:ind w:firstLine="660" w:firstLineChars="150"/>
        <w:jc w:val="center"/>
        <w:outlineLvl w:val="0"/>
        <w:rPr>
          <w:rStyle w:val="31"/>
          <w:rFonts w:ascii="黑体" w:hAnsi="黑体" w:eastAsia="黑体"/>
          <w:b w:val="0"/>
          <w:color w:val="auto"/>
          <w:highlight w:val="none"/>
        </w:rPr>
      </w:pPr>
      <w:bookmarkStart w:id="66" w:name="_Toc15377225"/>
      <w:bookmarkStart w:id="67" w:name="_Toc15396613"/>
      <w:bookmarkStart w:id="68" w:name="_Toc5354_WPSOffice_Level1"/>
      <w:r>
        <w:rPr>
          <w:rFonts w:hint="eastAsia" w:ascii="黑体" w:hAnsi="黑体" w:eastAsia="黑体"/>
          <w:color w:val="auto"/>
          <w:sz w:val="44"/>
          <w:szCs w:val="44"/>
          <w:highlight w:val="none"/>
        </w:rPr>
        <w:t>名</w:t>
      </w:r>
      <w:r>
        <w:rPr>
          <w:rStyle w:val="31"/>
          <w:rFonts w:hint="eastAsia" w:ascii="黑体" w:hAnsi="黑体" w:eastAsia="黑体"/>
          <w:b w:val="0"/>
          <w:color w:val="auto"/>
          <w:highlight w:val="none"/>
        </w:rPr>
        <w:t>词解释</w:t>
      </w:r>
      <w:bookmarkEnd w:id="66"/>
      <w:bookmarkEnd w:id="67"/>
      <w:bookmarkEnd w:id="68"/>
    </w:p>
    <w:p w14:paraId="4E856924">
      <w:pPr>
        <w:spacing w:line="600" w:lineRule="exact"/>
        <w:jc w:val="left"/>
        <w:rPr>
          <w:rFonts w:ascii="宋体"/>
          <w:b/>
          <w:color w:val="auto"/>
          <w:sz w:val="44"/>
          <w:szCs w:val="44"/>
          <w:highlight w:val="none"/>
        </w:rPr>
      </w:pPr>
    </w:p>
    <w:p w14:paraId="1C3EAB8C">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5F688881">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事业收入：指事业单位开展专业业务活动及辅助活动取得的收入。如…（二级预算单位事业收入情况）等。</w:t>
      </w:r>
    </w:p>
    <w:p w14:paraId="2B4197F7">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经营收入：指事业单位在专业业务活动及其辅助活动之外开展非独立核算经营活动取得的收入。如…（二级预算单位经营收入情况）等。</w:t>
      </w:r>
    </w:p>
    <w:p w14:paraId="1AF6C8C8">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其他收入：指单位取得的除上述收入以外的各项收入。主要是…（收入类型）等。</w:t>
      </w:r>
      <w:r>
        <w:rPr>
          <w:rFonts w:ascii="仿宋_GB2312" w:eastAsia="仿宋_GB2312"/>
          <w:color w:val="auto"/>
          <w:sz w:val="32"/>
          <w:szCs w:val="32"/>
          <w:highlight w:val="none"/>
        </w:rPr>
        <w:t xml:space="preserve"> </w:t>
      </w:r>
    </w:p>
    <w:p w14:paraId="1969DD6D">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eastAsia="仿宋_GB2312"/>
          <w:color w:val="auto"/>
          <w:sz w:val="32"/>
          <w:szCs w:val="32"/>
          <w:highlight w:val="none"/>
          <w:lang w:eastAsia="zh-CN"/>
        </w:rPr>
        <w:t>使用非财政拨款结余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05456F38">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3FC3137D">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0A6BA76A">
      <w:pPr>
        <w:pStyle w:val="29"/>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3B4760AD">
      <w:pPr>
        <w:ind w:firstLine="640" w:firstLineChars="200"/>
        <w:rPr>
          <w:rStyle w:val="20"/>
          <w:rFonts w:hint="eastAsia" w:ascii="仿宋" w:hAnsi="仿宋" w:eastAsia="仿宋"/>
          <w:b w:val="0"/>
          <w:bCs/>
          <w:color w:val="auto"/>
          <w:sz w:val="32"/>
          <w:szCs w:val="32"/>
          <w:highlight w:val="none"/>
          <w:lang w:val="en-US" w:eastAsia="zh-CN"/>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一般公共服务（类）</w:t>
      </w:r>
      <w:r>
        <w:rPr>
          <w:rFonts w:hint="eastAsia" w:ascii="仿宋_GB2312" w:eastAsia="仿宋_GB2312"/>
          <w:color w:val="auto"/>
          <w:sz w:val="32"/>
          <w:szCs w:val="32"/>
          <w:highlight w:val="none"/>
          <w:lang w:val="en-US" w:eastAsia="zh-CN"/>
        </w:rPr>
        <w:t>201</w:t>
      </w:r>
      <w:r>
        <w:rPr>
          <w:rFonts w:hint="eastAsia" w:ascii="仿宋_GB2312" w:eastAsia="仿宋_GB2312"/>
          <w:color w:val="auto"/>
          <w:sz w:val="32"/>
          <w:szCs w:val="32"/>
          <w:highlight w:val="none"/>
        </w:rPr>
        <w:t>（款）…（项）：</w:t>
      </w:r>
      <w:r>
        <w:rPr>
          <w:rFonts w:hint="eastAsia" w:ascii="仿宋_GB2312" w:eastAsia="仿宋_GB2312"/>
          <w:color w:val="auto"/>
          <w:sz w:val="32"/>
          <w:szCs w:val="32"/>
          <w:highlight w:val="none"/>
          <w:lang w:val="en-US" w:eastAsia="zh-CN"/>
        </w:rPr>
        <w:t>2014001反映行政单位的基本支出；</w:t>
      </w:r>
      <w:r>
        <w:rPr>
          <w:rStyle w:val="20"/>
          <w:rFonts w:hint="eastAsia" w:ascii="仿宋" w:hAnsi="仿宋" w:eastAsia="仿宋"/>
          <w:b w:val="0"/>
          <w:bCs/>
          <w:color w:val="auto"/>
          <w:sz w:val="32"/>
          <w:szCs w:val="32"/>
          <w:highlight w:val="none"/>
          <w:lang w:val="en-US" w:eastAsia="zh-CN"/>
        </w:rPr>
        <w:t>2014050反映事业单位的基本支出。</w:t>
      </w:r>
    </w:p>
    <w:p w14:paraId="77F5C943">
      <w:pPr>
        <w:spacing w:line="600" w:lineRule="exact"/>
        <w:ind w:firstLine="640" w:firstLineChars="200"/>
        <w:rPr>
          <w:rFonts w:ascii="仿宋" w:hAnsi="仿宋" w:eastAsia="仿宋"/>
          <w:b/>
          <w:color w:val="auto"/>
          <w:sz w:val="32"/>
          <w:szCs w:val="32"/>
          <w:highlight w:val="none"/>
        </w:rPr>
      </w:pPr>
      <w:r>
        <w:rPr>
          <w:rFonts w:hint="eastAsia" w:ascii="仿宋_GB2312" w:eastAsia="仿宋_GB2312"/>
          <w:color w:val="auto"/>
          <w:sz w:val="32"/>
          <w:szCs w:val="32"/>
          <w:highlight w:val="none"/>
          <w:lang w:val="en-US" w:eastAsia="zh-CN"/>
        </w:rPr>
        <w:t>10</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社会保障和就业（类）</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（款）…（项）：</w:t>
      </w:r>
      <w:r>
        <w:rPr>
          <w:rStyle w:val="20"/>
          <w:rFonts w:hint="eastAsia" w:ascii="仿宋" w:hAnsi="仿宋" w:eastAsia="仿宋"/>
          <w:b w:val="0"/>
          <w:bCs/>
          <w:color w:val="auto"/>
          <w:sz w:val="32"/>
          <w:szCs w:val="32"/>
          <w:highlight w:val="none"/>
          <w:lang w:val="en-US" w:eastAsia="zh-CN"/>
        </w:rPr>
        <w:t>机关事业单位基本养老保险缴费支出2080505反映机关事业单位实施养老保险制度由单位缴纳的基本养老保险费支出；机关事业单位职业年金缴费支出2080506反映机关事业单位实施养老保险制度由单位实际缴纳的职业年金</w:t>
      </w:r>
      <w:r>
        <w:rPr>
          <w:rStyle w:val="20"/>
          <w:rFonts w:hint="eastAsia" w:ascii="仿宋" w:hAnsi="仿宋" w:eastAsia="仿宋"/>
          <w:b w:val="0"/>
          <w:bCs/>
          <w:color w:val="auto"/>
          <w:sz w:val="32"/>
          <w:szCs w:val="32"/>
          <w:highlight w:val="none"/>
        </w:rPr>
        <w:t>。</w:t>
      </w:r>
    </w:p>
    <w:p w14:paraId="1E2410DF">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11</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（款）…（项）：</w:t>
      </w:r>
      <w:r>
        <w:rPr>
          <w:rFonts w:hint="eastAsia" w:ascii="仿宋_GB2312" w:eastAsia="仿宋_GB2312"/>
          <w:color w:val="auto"/>
          <w:sz w:val="32"/>
          <w:szCs w:val="32"/>
          <w:highlight w:val="none"/>
          <w:lang w:val="en-US" w:eastAsia="zh-CN"/>
        </w:rPr>
        <w:t>2101101反映财政部门安排的行政单位基本医疗保险缴费经费，未参加医疗保险的行政单位的公费医疗经费，按国家规定享受离休人员、红军老战士待遇人员的医疗经费；2101102反映财政部门安排的事业单位基本医疗保险缴费经费，未参加医疗保险 的事业单位的公费医疗经费，按国家规定享受离休人员待遇的医疗经费；2101103反映财政部门安排的公务员医疗补助经费；2101199其他用于行政事业单位医疗方面的支出。</w:t>
      </w:r>
    </w:p>
    <w:p w14:paraId="13570C45">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住房保障（类）</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（款）…（项）：</w:t>
      </w:r>
      <w:r>
        <w:rPr>
          <w:rFonts w:hint="eastAsia" w:ascii="仿宋_GB2312" w:eastAsia="仿宋_GB2312"/>
          <w:color w:val="auto"/>
          <w:sz w:val="32"/>
          <w:szCs w:val="32"/>
          <w:highlight w:val="none"/>
          <w:lang w:val="en-US" w:eastAsia="zh-CN"/>
        </w:rPr>
        <w:t>2210201</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val="en-US" w:eastAsia="zh-CN"/>
        </w:rPr>
        <w:t>反映行政事业单位按人力资源和社会保障部、财政部规定的基本工资和津贴补贴以及规定比例为职工缴纳的住房公积金</w:t>
      </w:r>
      <w:r>
        <w:rPr>
          <w:rFonts w:hint="eastAsia" w:ascii="仿宋_GB2312" w:eastAsia="仿宋_GB2312"/>
          <w:color w:val="auto"/>
          <w:sz w:val="32"/>
          <w:szCs w:val="32"/>
          <w:highlight w:val="none"/>
        </w:rPr>
        <w:t>。</w:t>
      </w:r>
    </w:p>
    <w:p w14:paraId="67F4DC34">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03FD4192">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065D04F8">
      <w:pPr>
        <w:pStyle w:val="29"/>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92BE6E7">
      <w:pPr>
        <w:pStyle w:val="29"/>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16</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73E9856">
      <w:pPr>
        <w:spacing w:line="600" w:lineRule="exact"/>
        <w:jc w:val="center"/>
        <w:outlineLvl w:val="0"/>
        <w:rPr>
          <w:rFonts w:hint="eastAsia" w:ascii="黑体" w:hAnsi="黑体" w:eastAsia="黑体"/>
          <w:color w:val="auto"/>
          <w:sz w:val="44"/>
          <w:szCs w:val="44"/>
          <w:highlight w:val="none"/>
        </w:rPr>
      </w:pPr>
      <w:bookmarkStart w:id="69" w:name="_Toc15769_WPSOffice_Level1"/>
      <w:bookmarkStart w:id="70" w:name="_Toc15377226"/>
      <w:bookmarkStart w:id="71" w:name="_Toc15396618"/>
    </w:p>
    <w:p w14:paraId="06D14954">
      <w:pPr>
        <w:spacing w:line="600" w:lineRule="exact"/>
        <w:jc w:val="center"/>
        <w:outlineLvl w:val="0"/>
        <w:rPr>
          <w:rFonts w:hint="eastAsia" w:ascii="黑体" w:hAnsi="黑体" w:eastAsia="黑体"/>
          <w:color w:val="auto"/>
          <w:sz w:val="44"/>
          <w:szCs w:val="44"/>
          <w:highlight w:val="none"/>
        </w:rPr>
      </w:pPr>
    </w:p>
    <w:p w14:paraId="72D82E7E">
      <w:pPr>
        <w:spacing w:line="600" w:lineRule="exact"/>
        <w:jc w:val="center"/>
        <w:outlineLvl w:val="0"/>
        <w:rPr>
          <w:rFonts w:hint="eastAsia" w:ascii="黑体" w:hAnsi="黑体" w:eastAsia="黑体"/>
          <w:color w:val="auto"/>
          <w:sz w:val="44"/>
          <w:szCs w:val="44"/>
          <w:highlight w:val="none"/>
        </w:rPr>
      </w:pPr>
    </w:p>
    <w:p w14:paraId="3F8946B2">
      <w:pPr>
        <w:pStyle w:val="9"/>
        <w:rPr>
          <w:rFonts w:hint="eastAsia" w:ascii="黑体" w:hAnsi="黑体" w:eastAsia="黑体"/>
          <w:color w:val="auto"/>
          <w:sz w:val="44"/>
          <w:szCs w:val="44"/>
          <w:highlight w:val="none"/>
        </w:rPr>
      </w:pPr>
    </w:p>
    <w:p w14:paraId="061B7E9F">
      <w:pPr>
        <w:pStyle w:val="9"/>
        <w:rPr>
          <w:rFonts w:hint="eastAsia" w:ascii="黑体" w:hAnsi="黑体" w:eastAsia="黑体"/>
          <w:color w:val="auto"/>
          <w:sz w:val="44"/>
          <w:szCs w:val="44"/>
          <w:highlight w:val="none"/>
        </w:rPr>
      </w:pPr>
    </w:p>
    <w:p w14:paraId="55CAA77C">
      <w:pPr>
        <w:pStyle w:val="9"/>
        <w:rPr>
          <w:rFonts w:hint="eastAsia" w:ascii="黑体" w:hAnsi="黑体" w:eastAsia="黑体"/>
          <w:color w:val="auto"/>
          <w:sz w:val="44"/>
          <w:szCs w:val="44"/>
          <w:highlight w:val="none"/>
        </w:rPr>
      </w:pPr>
    </w:p>
    <w:p w14:paraId="68B91013">
      <w:pPr>
        <w:pStyle w:val="9"/>
        <w:rPr>
          <w:rFonts w:hint="eastAsia" w:ascii="黑体" w:hAnsi="黑体" w:eastAsia="黑体"/>
          <w:color w:val="auto"/>
          <w:sz w:val="44"/>
          <w:szCs w:val="44"/>
          <w:highlight w:val="none"/>
        </w:rPr>
      </w:pPr>
    </w:p>
    <w:p w14:paraId="1B01A54C">
      <w:pPr>
        <w:pStyle w:val="9"/>
        <w:rPr>
          <w:rFonts w:hint="eastAsia" w:ascii="黑体" w:hAnsi="黑体" w:eastAsia="黑体"/>
          <w:color w:val="auto"/>
          <w:sz w:val="44"/>
          <w:szCs w:val="44"/>
          <w:highlight w:val="none"/>
        </w:rPr>
      </w:pPr>
    </w:p>
    <w:p w14:paraId="1BEE4241">
      <w:pPr>
        <w:pStyle w:val="9"/>
        <w:rPr>
          <w:rFonts w:hint="eastAsia" w:ascii="黑体" w:hAnsi="黑体" w:eastAsia="黑体"/>
          <w:color w:val="auto"/>
          <w:sz w:val="44"/>
          <w:szCs w:val="44"/>
          <w:highlight w:val="none"/>
        </w:rPr>
      </w:pPr>
    </w:p>
    <w:p w14:paraId="4709588E">
      <w:pPr>
        <w:spacing w:line="600" w:lineRule="exact"/>
        <w:jc w:val="center"/>
        <w:outlineLvl w:val="0"/>
        <w:rPr>
          <w:rStyle w:val="31"/>
          <w:rFonts w:hint="eastAsia" w:ascii="黑体" w:hAnsi="黑体" w:eastAsia="黑体"/>
          <w:b w:val="0"/>
          <w:color w:val="auto"/>
          <w:highlight w:val="none"/>
          <w:lang w:eastAsia="zh-CN"/>
        </w:rPr>
      </w:pPr>
      <w:bookmarkStart w:id="72" w:name="_Toc15396614"/>
      <w:r>
        <w:rPr>
          <w:rFonts w:hint="eastAsia" w:ascii="黑体" w:hAnsi="黑体" w:eastAsia="黑体"/>
          <w:color w:val="auto"/>
          <w:sz w:val="44"/>
          <w:szCs w:val="44"/>
          <w:highlight w:val="none"/>
        </w:rPr>
        <w:t>第</w:t>
      </w:r>
      <w:r>
        <w:rPr>
          <w:rStyle w:val="31"/>
          <w:rFonts w:hint="eastAsia" w:ascii="黑体" w:hAnsi="黑体" w:eastAsia="黑体"/>
          <w:b w:val="0"/>
          <w:color w:val="auto"/>
          <w:highlight w:val="none"/>
        </w:rPr>
        <w:t>四部分 附件</w:t>
      </w:r>
      <w:bookmarkEnd w:id="72"/>
    </w:p>
    <w:p w14:paraId="47B7D73A">
      <w:pPr>
        <w:keepNext w:val="0"/>
        <w:keepLines w:val="0"/>
        <w:pageBreakBefore w:val="0"/>
        <w:kinsoku/>
        <w:wordWrap/>
        <w:overflowPunct/>
        <w:topLinePunct w:val="0"/>
        <w:autoSpaceDE/>
        <w:autoSpaceDN/>
        <w:bidi w:val="0"/>
        <w:spacing w:line="572" w:lineRule="exact"/>
        <w:jc w:val="left"/>
        <w:textAlignment w:val="auto"/>
        <w:outlineLvl w:val="0"/>
        <w:rPr>
          <w:rFonts w:hint="eastAsia" w:ascii="黑体" w:hAnsi="黑体" w:eastAsia="黑体" w:cs="黑体"/>
          <w:color w:val="FF0000"/>
          <w:sz w:val="32"/>
          <w:szCs w:val="32"/>
          <w:highlight w:val="none"/>
        </w:rPr>
      </w:pPr>
    </w:p>
    <w:p w14:paraId="25CCD9B2">
      <w:pPr>
        <w:keepNext w:val="0"/>
        <w:keepLines w:val="0"/>
        <w:pageBreakBefore w:val="0"/>
        <w:kinsoku/>
        <w:wordWrap/>
        <w:overflowPunct/>
        <w:topLinePunct w:val="0"/>
        <w:autoSpaceDE/>
        <w:autoSpaceDN/>
        <w:bidi w:val="0"/>
        <w:spacing w:line="572" w:lineRule="exact"/>
        <w:jc w:val="left"/>
        <w:textAlignment w:val="auto"/>
        <w:outlineLvl w:val="0"/>
        <w:rPr>
          <w:rFonts w:hint="eastAsia" w:ascii="方正小标宋简体" w:hAnsi="方正小标宋简体" w:eastAsia="黑体" w:cs="方正小标宋简体"/>
          <w:color w:val="auto"/>
          <w:sz w:val="44"/>
          <w:szCs w:val="44"/>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1</w:t>
      </w:r>
    </w:p>
    <w:p w14:paraId="1A62CDA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38005B58">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eastAsia="黑体" w:cs="Times New Roman"/>
          <w:color w:val="000000"/>
          <w:kern w:val="0"/>
          <w:sz w:val="32"/>
          <w:szCs w:val="32"/>
          <w:highlight w:val="none"/>
          <w:shd w:val="clear" w:color="auto" w:fill="FFFFFF"/>
          <w:lang w:val="zh-CN"/>
        </w:rPr>
      </w:pPr>
    </w:p>
    <w:p w14:paraId="6BD6FD14">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ascii="Times New Roman" w:hAnsi="Times New Roman" w:cs="Times New Roman"/>
          <w:sz w:val="32"/>
          <w:szCs w:val="32"/>
        </w:rPr>
      </w:pPr>
      <w:r>
        <w:rPr>
          <w:rFonts w:hint="eastAsia" w:eastAsia="黑体" w:cs="Times New Roman"/>
          <w:color w:val="000000"/>
          <w:kern w:val="0"/>
          <w:sz w:val="32"/>
          <w:szCs w:val="32"/>
          <w:highlight w:val="none"/>
          <w:shd w:val="clear" w:color="auto" w:fill="FFFFFF"/>
          <w:lang w:val="zh-CN"/>
        </w:rPr>
        <w:t>一、</w:t>
      </w:r>
      <w:r>
        <w:rPr>
          <w:rFonts w:ascii="Times New Roman" w:hAnsi="Times New Roman" w:eastAsia="黑体" w:cs="Times New Roman"/>
          <w:color w:val="000000"/>
          <w:kern w:val="0"/>
          <w:sz w:val="32"/>
          <w:szCs w:val="32"/>
          <w:highlight w:val="none"/>
          <w:shd w:val="clear" w:color="auto" w:fill="FFFFFF"/>
          <w:lang w:val="zh-CN"/>
        </w:rPr>
        <w:t>部门（单位）基本情况</w:t>
      </w:r>
    </w:p>
    <w:p w14:paraId="2C0D9096">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方正仿宋_GBK" w:cs="Times New Roman"/>
          <w:sz w:val="32"/>
          <w:szCs w:val="32"/>
          <w:lang w:val="en-US" w:eastAsia="zh-CN"/>
        </w:rPr>
      </w:pPr>
      <w:r>
        <w:rPr>
          <w:rFonts w:hint="eastAsia" w:eastAsia="楷体_GB2312" w:cs="Times New Roman"/>
          <w:b/>
          <w:bCs/>
          <w:color w:val="000000"/>
          <w:kern w:val="0"/>
          <w:sz w:val="32"/>
          <w:szCs w:val="32"/>
          <w:highlight w:val="none"/>
          <w:shd w:val="clear" w:color="auto" w:fill="FFFFFF"/>
          <w:lang w:val="zh-CN"/>
        </w:rPr>
        <w:t>（一）</w:t>
      </w:r>
      <w:r>
        <w:rPr>
          <w:rFonts w:ascii="Times New Roman" w:hAnsi="Times New Roman" w:eastAsia="楷体_GB2312" w:cs="Times New Roman"/>
          <w:b/>
          <w:bCs/>
          <w:color w:val="000000"/>
          <w:kern w:val="0"/>
          <w:sz w:val="32"/>
          <w:szCs w:val="32"/>
          <w:highlight w:val="none"/>
          <w:shd w:val="clear" w:color="auto" w:fill="FFFFFF"/>
          <w:lang w:val="zh-CN"/>
        </w:rPr>
        <w:t>机构组成。</w:t>
      </w:r>
      <w:r>
        <w:rPr>
          <w:rFonts w:hint="default" w:ascii="Times New Roman" w:hAnsi="Times New Roman" w:eastAsia="方正仿宋_GBK" w:cs="Times New Roman"/>
          <w:sz w:val="32"/>
          <w:szCs w:val="32"/>
          <w:lang w:val="en-US" w:eastAsia="zh-CN"/>
        </w:rPr>
        <w:t>小金县信访</w:t>
      </w:r>
      <w:r>
        <w:rPr>
          <w:rFonts w:hint="eastAsia" w:ascii="Times New Roman" w:hAnsi="Times New Roman" w:eastAsia="方正仿宋_GBK" w:cs="Times New Roman"/>
          <w:sz w:val="32"/>
          <w:szCs w:val="32"/>
          <w:lang w:val="en-US" w:eastAsia="zh-CN"/>
        </w:rPr>
        <w:t>接待中心</w:t>
      </w:r>
      <w:r>
        <w:rPr>
          <w:rFonts w:hint="default" w:ascii="Times New Roman" w:hAnsi="Times New Roman" w:eastAsia="方正仿宋_GBK" w:cs="Times New Roman"/>
          <w:sz w:val="32"/>
          <w:szCs w:val="32"/>
          <w:lang w:val="en-US" w:eastAsia="zh-CN"/>
        </w:rPr>
        <w:t>，是县</w:t>
      </w:r>
      <w:r>
        <w:rPr>
          <w:rFonts w:hint="eastAsia" w:ascii="Times New Roman" w:hAnsi="Times New Roman" w:eastAsia="方正仿宋_GBK" w:cs="Times New Roman"/>
          <w:sz w:val="32"/>
          <w:szCs w:val="32"/>
          <w:lang w:val="en-US" w:eastAsia="zh-CN"/>
        </w:rPr>
        <w:t>信访局</w:t>
      </w:r>
      <w:r>
        <w:rPr>
          <w:rFonts w:hint="default" w:ascii="Times New Roman" w:hAnsi="Times New Roman" w:eastAsia="方正仿宋_GBK" w:cs="Times New Roman"/>
          <w:sz w:val="32"/>
          <w:szCs w:val="32"/>
          <w:lang w:val="en-US" w:eastAsia="zh-CN"/>
        </w:rPr>
        <w:t>内设</w:t>
      </w:r>
      <w:r>
        <w:rPr>
          <w:rFonts w:hint="eastAsia" w:ascii="Times New Roman" w:hAnsi="Times New Roman" w:eastAsia="方正仿宋_GBK" w:cs="Times New Roman"/>
          <w:sz w:val="32"/>
          <w:szCs w:val="32"/>
          <w:lang w:val="en-US" w:eastAsia="zh-CN"/>
        </w:rPr>
        <w:t>机构</w:t>
      </w:r>
      <w:r>
        <w:rPr>
          <w:rFonts w:hint="default" w:ascii="Times New Roman" w:hAnsi="Times New Roman" w:eastAsia="方正仿宋_GBK" w:cs="Times New Roman"/>
          <w:sz w:val="32"/>
          <w:szCs w:val="32"/>
          <w:lang w:val="en-US" w:eastAsia="zh-CN"/>
        </w:rPr>
        <w:t>。</w:t>
      </w:r>
    </w:p>
    <w:p w14:paraId="612367CF">
      <w:pPr>
        <w:ind w:firstLine="643" w:firstLineChars="200"/>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（二）机构职能</w:t>
      </w:r>
      <w:r>
        <w:rPr>
          <w:rFonts w:hint="eastAsia" w:eastAsia="楷体_GB2312" w:cs="Times New Roman"/>
          <w:b/>
          <w:bCs/>
          <w:color w:val="000000"/>
          <w:kern w:val="0"/>
          <w:sz w:val="32"/>
          <w:szCs w:val="32"/>
          <w:highlight w:val="none"/>
          <w:shd w:val="clear" w:color="auto" w:fill="FFFFFF"/>
          <w:lang w:val="zh-CN"/>
        </w:rPr>
        <w:t>。</w:t>
      </w:r>
      <w:r>
        <w:rPr>
          <w:rFonts w:hint="eastAsia" w:ascii="仿宋" w:hAnsi="仿宋" w:eastAsia="仿宋"/>
          <w:color w:val="auto"/>
          <w:sz w:val="32"/>
          <w:szCs w:val="32"/>
          <w:highlight w:val="none"/>
          <w:lang w:val="en-US" w:eastAsia="zh-CN"/>
        </w:rPr>
        <w:t>（一）承担群众来访接待、群众来信、网上信访和上级转来信件的登记、转交办工作。负责责任部门规范办理、归档和录入信访信息系统。（二）负责在接访中向群众宣传信访法规政策，做好疏导、提供服务咨询。负责信访中突发事件的应急工作；负责接待到县集体上访，协助主管部门妥善处理赴京、到省、到州的集体上访。（三）负责综合来信来访情况分析、信访动态， 综合分析、归纳汇报，提出信访中重要问题的处理意见和建议；（四）负责县级领导接访工作；（五）完成行政主管部门交办的其他工作任务。</w:t>
      </w:r>
    </w:p>
    <w:p w14:paraId="78BEAE0E">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）人员概况</w:t>
      </w:r>
      <w:r>
        <w:rPr>
          <w:rFonts w:hint="eastAsia" w:eastAsia="楷体_GB2312"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val="en-US" w:eastAsia="zh-CN"/>
        </w:rPr>
        <w:t>截至</w:t>
      </w:r>
      <w:r>
        <w:rPr>
          <w:rFonts w:hint="eastAsia" w:eastAsia="方正仿宋_GBK" w:cs="Times New Roman"/>
          <w:sz w:val="32"/>
          <w:szCs w:val="32"/>
          <w:lang w:val="en-US" w:eastAsia="zh-CN"/>
        </w:rPr>
        <w:t>2025</w:t>
      </w:r>
      <w:r>
        <w:rPr>
          <w:rFonts w:hint="default" w:ascii="Times New Roman" w:hAnsi="Times New Roman" w:eastAsia="方正仿宋_GBK" w:cs="Times New Roman"/>
          <w:sz w:val="32"/>
          <w:szCs w:val="32"/>
          <w:lang w:val="en-US" w:eastAsia="zh-CN"/>
        </w:rPr>
        <w:t>年末，</w:t>
      </w:r>
      <w:r>
        <w:rPr>
          <w:rFonts w:hint="eastAsia" w:ascii="Times New Roman" w:hAnsi="Times New Roman" w:eastAsia="方正仿宋_GBK" w:cs="Times New Roman"/>
          <w:sz w:val="32"/>
          <w:szCs w:val="32"/>
          <w:lang w:val="en-US" w:eastAsia="zh-CN"/>
        </w:rPr>
        <w:t>小金县信访接待中心</w:t>
      </w:r>
      <w:r>
        <w:rPr>
          <w:rFonts w:hint="default" w:ascii="Times New Roman" w:hAnsi="Times New Roman" w:eastAsia="方正仿宋_GBK" w:cs="Times New Roman"/>
          <w:sz w:val="32"/>
          <w:szCs w:val="32"/>
          <w:lang w:val="en-US" w:eastAsia="zh-CN"/>
        </w:rPr>
        <w:t>实有人数为</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人</w:t>
      </w:r>
      <w:r>
        <w:rPr>
          <w:rFonts w:hint="eastAsia" w:ascii="Times New Roman" w:hAnsi="Times New Roman" w:eastAsia="方正仿宋_GBK" w:cs="Times New Roman"/>
          <w:sz w:val="32"/>
          <w:szCs w:val="32"/>
          <w:lang w:val="en-US" w:eastAsia="zh-CN"/>
        </w:rPr>
        <w:t>，都是事业编制人员</w:t>
      </w:r>
      <w:r>
        <w:rPr>
          <w:rFonts w:hint="default" w:ascii="Times New Roman" w:hAnsi="Times New Roman" w:eastAsia="方正仿宋_GBK" w:cs="Times New Roman"/>
          <w:sz w:val="32"/>
          <w:szCs w:val="32"/>
          <w:lang w:val="en-US" w:eastAsia="zh-CN"/>
        </w:rPr>
        <w:t>。</w:t>
      </w:r>
    </w:p>
    <w:p w14:paraId="00E567AF">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二、</w:t>
      </w:r>
      <w:r>
        <w:rPr>
          <w:rFonts w:ascii="Times New Roman" w:hAnsi="Times New Roman" w:eastAsia="黑体" w:cs="Times New Roman"/>
          <w:color w:val="000000"/>
          <w:kern w:val="0"/>
          <w:sz w:val="32"/>
          <w:szCs w:val="32"/>
          <w:highlight w:val="none"/>
          <w:shd w:val="clear" w:color="auto" w:fill="FFFFFF"/>
          <w:lang w:eastAsia="zh-CN"/>
        </w:rPr>
        <w:t>部门</w:t>
      </w:r>
      <w:r>
        <w:rPr>
          <w:rFonts w:ascii="Times New Roman" w:hAnsi="Times New Roman" w:eastAsia="黑体" w:cs="Times New Roman"/>
          <w:color w:val="000000"/>
          <w:kern w:val="0"/>
          <w:sz w:val="32"/>
          <w:szCs w:val="32"/>
          <w:highlight w:val="none"/>
          <w:shd w:val="clear" w:color="auto" w:fill="FFFFFF"/>
        </w:rPr>
        <w:t>资金收支情况</w:t>
      </w:r>
    </w:p>
    <w:p w14:paraId="2B0F69F3">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收入情况</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en-US" w:eastAsia="zh-CN"/>
        </w:rPr>
        <w:t>小金县信访接待中心</w:t>
      </w:r>
      <w:r>
        <w:rPr>
          <w:rFonts w:hint="eastAsia" w:eastAsia="方正仿宋_GBK" w:cs="Times New Roman"/>
          <w:sz w:val="32"/>
          <w:szCs w:val="32"/>
          <w:lang w:val="en-US" w:eastAsia="zh-CN"/>
        </w:rPr>
        <w:t>2025</w:t>
      </w:r>
      <w:r>
        <w:rPr>
          <w:rFonts w:hint="eastAsia" w:ascii="Times New Roman" w:hAnsi="Times New Roman" w:eastAsia="方正仿宋_GBK" w:cs="Times New Roman"/>
          <w:sz w:val="32"/>
          <w:szCs w:val="32"/>
          <w:lang w:val="en-US" w:eastAsia="zh-CN"/>
        </w:rPr>
        <w:t>年年初预算收入</w:t>
      </w:r>
      <w:r>
        <w:rPr>
          <w:rFonts w:hint="eastAsia" w:eastAsia="方正仿宋_GBK" w:cs="Times New Roman"/>
          <w:sz w:val="32"/>
          <w:szCs w:val="32"/>
          <w:lang w:val="en-US" w:eastAsia="zh-CN"/>
        </w:rPr>
        <w:t>103.22</w:t>
      </w:r>
      <w:r>
        <w:rPr>
          <w:rFonts w:hint="eastAsia" w:ascii="Times New Roman" w:hAnsi="Times New Roman" w:eastAsia="方正仿宋_GBK" w:cs="Times New Roman"/>
          <w:sz w:val="32"/>
          <w:szCs w:val="32"/>
          <w:lang w:val="en-US" w:eastAsia="zh-CN"/>
        </w:rPr>
        <w:t>万元。决算报表收入</w:t>
      </w:r>
      <w:r>
        <w:rPr>
          <w:rFonts w:hint="eastAsia" w:eastAsia="方正仿宋_GBK" w:cs="Times New Roman"/>
          <w:sz w:val="32"/>
          <w:szCs w:val="32"/>
          <w:lang w:val="en-US" w:eastAsia="zh-CN"/>
        </w:rPr>
        <w:t>103.22</w:t>
      </w:r>
      <w:r>
        <w:rPr>
          <w:rFonts w:hint="eastAsia" w:ascii="Times New Roman" w:hAnsi="Times New Roman" w:eastAsia="方正仿宋_GBK" w:cs="Times New Roman"/>
          <w:sz w:val="32"/>
          <w:szCs w:val="32"/>
          <w:lang w:val="en-US" w:eastAsia="zh-CN"/>
        </w:rPr>
        <w:t>万元，比</w:t>
      </w:r>
      <w:r>
        <w:rPr>
          <w:rFonts w:hint="eastAsia" w:eastAsia="方正仿宋_GBK" w:cs="Times New Roman"/>
          <w:sz w:val="32"/>
          <w:szCs w:val="32"/>
          <w:lang w:val="en-US" w:eastAsia="zh-CN"/>
        </w:rPr>
        <w:t>2024</w:t>
      </w:r>
      <w:r>
        <w:rPr>
          <w:rFonts w:hint="eastAsia" w:ascii="Times New Roman" w:hAnsi="Times New Roman" w:eastAsia="方正仿宋_GBK" w:cs="Times New Roman"/>
          <w:sz w:val="32"/>
          <w:szCs w:val="32"/>
          <w:lang w:val="en-US" w:eastAsia="zh-CN"/>
        </w:rPr>
        <w:t>年</w:t>
      </w:r>
      <w:r>
        <w:rPr>
          <w:rFonts w:hint="eastAsia" w:eastAsia="方正仿宋_GBK" w:cs="Times New Roman"/>
          <w:sz w:val="32"/>
          <w:szCs w:val="32"/>
          <w:lang w:val="en-US" w:eastAsia="zh-CN"/>
        </w:rPr>
        <w:t>减少3.43</w:t>
      </w:r>
      <w:r>
        <w:rPr>
          <w:rFonts w:hint="eastAsia" w:ascii="Times New Roman" w:hAnsi="Times New Roman" w:eastAsia="方正仿宋_GBK" w:cs="Times New Roman"/>
          <w:sz w:val="32"/>
          <w:szCs w:val="32"/>
          <w:lang w:val="en-US" w:eastAsia="zh-CN"/>
        </w:rPr>
        <w:t>万元，</w:t>
      </w:r>
      <w:r>
        <w:rPr>
          <w:rFonts w:hint="eastAsia" w:eastAsia="方正仿宋_GBK" w:cs="Times New Roman"/>
          <w:sz w:val="32"/>
          <w:szCs w:val="32"/>
          <w:lang w:val="en-US" w:eastAsia="zh-CN"/>
        </w:rPr>
        <w:t>减少3.22</w:t>
      </w:r>
      <w:r>
        <w:rPr>
          <w:rFonts w:hint="eastAsia" w:ascii="Times New Roman" w:hAnsi="Times New Roman" w:eastAsia="方正仿宋_GBK" w:cs="Times New Roman"/>
          <w:sz w:val="32"/>
          <w:szCs w:val="32"/>
          <w:lang w:val="en-US" w:eastAsia="zh-CN"/>
        </w:rPr>
        <w:t>%。</w:t>
      </w:r>
    </w:p>
    <w:p w14:paraId="70960EBF">
      <w:pPr>
        <w:spacing w:line="600" w:lineRule="exact"/>
        <w:ind w:firstLine="640"/>
        <w:rPr>
          <w:rFonts w:hint="eastAsia"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二</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支出情况</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en-US" w:eastAsia="zh-CN"/>
        </w:rPr>
        <w:t>小金县信访接待中心</w:t>
      </w:r>
      <w:r>
        <w:rPr>
          <w:rFonts w:hint="eastAsia" w:eastAsia="方正仿宋_GBK" w:cs="Times New Roman"/>
          <w:sz w:val="32"/>
          <w:szCs w:val="32"/>
          <w:lang w:val="en-US" w:eastAsia="zh-CN"/>
        </w:rPr>
        <w:t>2025</w:t>
      </w:r>
      <w:r>
        <w:rPr>
          <w:rFonts w:hint="eastAsia" w:ascii="Times New Roman" w:hAnsi="Times New Roman" w:eastAsia="方正仿宋_GBK" w:cs="Times New Roman"/>
          <w:sz w:val="32"/>
          <w:szCs w:val="32"/>
          <w:lang w:val="en-US" w:eastAsia="zh-CN"/>
        </w:rPr>
        <w:t>年年初预算支出</w:t>
      </w:r>
      <w:r>
        <w:rPr>
          <w:rFonts w:hint="eastAsia" w:eastAsia="方正仿宋_GBK" w:cs="Times New Roman"/>
          <w:sz w:val="32"/>
          <w:szCs w:val="32"/>
          <w:lang w:val="en-US" w:eastAsia="zh-CN"/>
        </w:rPr>
        <w:t>103.22</w:t>
      </w:r>
      <w:r>
        <w:rPr>
          <w:rFonts w:hint="eastAsia" w:ascii="Times New Roman" w:hAnsi="Times New Roman" w:eastAsia="方正仿宋_GBK" w:cs="Times New Roman"/>
          <w:sz w:val="32"/>
          <w:szCs w:val="32"/>
          <w:lang w:val="en-US" w:eastAsia="zh-CN"/>
        </w:rPr>
        <w:t>万元。决算报表支出</w:t>
      </w:r>
      <w:r>
        <w:rPr>
          <w:rFonts w:hint="eastAsia" w:eastAsia="方正仿宋_GBK" w:cs="Times New Roman"/>
          <w:sz w:val="32"/>
          <w:szCs w:val="32"/>
          <w:lang w:val="en-US" w:eastAsia="zh-CN"/>
        </w:rPr>
        <w:t>103.22</w:t>
      </w:r>
      <w:r>
        <w:rPr>
          <w:rFonts w:hint="eastAsia" w:ascii="Times New Roman" w:hAnsi="Times New Roman" w:eastAsia="方正仿宋_GBK" w:cs="Times New Roman"/>
          <w:sz w:val="32"/>
          <w:szCs w:val="32"/>
          <w:lang w:val="en-US" w:eastAsia="zh-CN"/>
        </w:rPr>
        <w:t>万元，一般公共服务支出为</w:t>
      </w:r>
      <w:r>
        <w:rPr>
          <w:rFonts w:hint="eastAsia" w:eastAsia="方正仿宋_GBK" w:cs="Times New Roman"/>
          <w:sz w:val="32"/>
          <w:szCs w:val="32"/>
          <w:lang w:val="en-US" w:eastAsia="zh-CN"/>
        </w:rPr>
        <w:t>88.16</w:t>
      </w:r>
      <w:r>
        <w:rPr>
          <w:rFonts w:hint="eastAsia" w:ascii="Times New Roman" w:hAnsi="Times New Roman" w:eastAsia="方正仿宋_GBK" w:cs="Times New Roman"/>
          <w:sz w:val="32"/>
          <w:szCs w:val="32"/>
          <w:lang w:val="en-US" w:eastAsia="zh-CN"/>
        </w:rPr>
        <w:t>万元，占比</w:t>
      </w:r>
      <w:r>
        <w:rPr>
          <w:rFonts w:hint="eastAsia" w:eastAsia="方正仿宋_GBK" w:cs="Times New Roman"/>
          <w:sz w:val="32"/>
          <w:szCs w:val="32"/>
          <w:lang w:val="en-US" w:eastAsia="zh-CN"/>
        </w:rPr>
        <w:t>85.42</w:t>
      </w:r>
      <w:r>
        <w:rPr>
          <w:rFonts w:hint="eastAsia" w:ascii="Times New Roman" w:hAnsi="Times New Roman" w:eastAsia="方正仿宋_GBK" w:cs="Times New Roman"/>
          <w:sz w:val="32"/>
          <w:szCs w:val="32"/>
          <w:lang w:val="en-US" w:eastAsia="zh-CN"/>
        </w:rPr>
        <w:t>%；社会保障和就业支出为</w:t>
      </w:r>
      <w:r>
        <w:rPr>
          <w:rFonts w:hint="eastAsia" w:eastAsia="方正仿宋_GBK" w:cs="Times New Roman"/>
          <w:sz w:val="32"/>
          <w:szCs w:val="32"/>
          <w:lang w:val="en-US" w:eastAsia="zh-CN"/>
        </w:rPr>
        <w:t>4.73</w:t>
      </w:r>
      <w:r>
        <w:rPr>
          <w:rFonts w:hint="eastAsia" w:ascii="Times New Roman" w:hAnsi="Times New Roman" w:eastAsia="方正仿宋_GBK" w:cs="Times New Roman"/>
          <w:sz w:val="32"/>
          <w:szCs w:val="32"/>
          <w:lang w:val="en-US" w:eastAsia="zh-CN"/>
        </w:rPr>
        <w:t>万元，占比</w:t>
      </w:r>
      <w:r>
        <w:rPr>
          <w:rFonts w:hint="eastAsia" w:eastAsia="方正仿宋_GBK" w:cs="Times New Roman"/>
          <w:sz w:val="32"/>
          <w:szCs w:val="32"/>
          <w:lang w:val="en-US" w:eastAsia="zh-CN"/>
        </w:rPr>
        <w:t>4.58</w:t>
      </w:r>
      <w:r>
        <w:rPr>
          <w:rFonts w:hint="eastAsia" w:ascii="Times New Roman" w:hAnsi="Times New Roman" w:eastAsia="方正仿宋_GBK" w:cs="Times New Roman"/>
          <w:sz w:val="32"/>
          <w:szCs w:val="32"/>
          <w:lang w:val="en-US" w:eastAsia="zh-CN"/>
        </w:rPr>
        <w:t>%；卫生健康支出为</w:t>
      </w:r>
      <w:r>
        <w:rPr>
          <w:rFonts w:hint="eastAsia" w:eastAsia="方正仿宋_GBK" w:cs="Times New Roman"/>
          <w:sz w:val="32"/>
          <w:szCs w:val="32"/>
          <w:lang w:val="en-US" w:eastAsia="zh-CN"/>
        </w:rPr>
        <w:t>3.21</w:t>
      </w:r>
      <w:r>
        <w:rPr>
          <w:rFonts w:hint="eastAsia" w:ascii="Times New Roman" w:hAnsi="Times New Roman" w:eastAsia="方正仿宋_GBK" w:cs="Times New Roman"/>
          <w:sz w:val="32"/>
          <w:szCs w:val="32"/>
          <w:lang w:val="en-US" w:eastAsia="zh-CN"/>
        </w:rPr>
        <w:t>万元，占比</w:t>
      </w:r>
      <w:r>
        <w:rPr>
          <w:rFonts w:hint="eastAsia" w:eastAsia="方正仿宋_GBK" w:cs="Times New Roman"/>
          <w:sz w:val="32"/>
          <w:szCs w:val="32"/>
          <w:lang w:val="en-US" w:eastAsia="zh-CN"/>
        </w:rPr>
        <w:t>3.11</w:t>
      </w:r>
      <w:r>
        <w:rPr>
          <w:rFonts w:hint="eastAsia" w:ascii="Times New Roman" w:hAnsi="Times New Roman" w:eastAsia="方正仿宋_GBK" w:cs="Times New Roman"/>
          <w:sz w:val="32"/>
          <w:szCs w:val="32"/>
          <w:lang w:val="en-US" w:eastAsia="zh-CN"/>
        </w:rPr>
        <w:t>%；住房保障支出为</w:t>
      </w:r>
      <w:r>
        <w:rPr>
          <w:rFonts w:hint="eastAsia" w:eastAsia="方正仿宋_GBK" w:cs="Times New Roman"/>
          <w:sz w:val="32"/>
          <w:szCs w:val="32"/>
          <w:lang w:val="en-US" w:eastAsia="zh-CN"/>
        </w:rPr>
        <w:t>7.11</w:t>
      </w:r>
      <w:r>
        <w:rPr>
          <w:rFonts w:hint="eastAsia" w:ascii="Times New Roman" w:hAnsi="Times New Roman" w:eastAsia="方正仿宋_GBK" w:cs="Times New Roman"/>
          <w:sz w:val="32"/>
          <w:szCs w:val="32"/>
          <w:lang w:val="en-US" w:eastAsia="zh-CN"/>
        </w:rPr>
        <w:t>万元，占比</w:t>
      </w:r>
      <w:r>
        <w:rPr>
          <w:rFonts w:hint="eastAsia" w:eastAsia="方正仿宋_GBK" w:cs="Times New Roman"/>
          <w:sz w:val="32"/>
          <w:szCs w:val="32"/>
          <w:lang w:val="en-US" w:eastAsia="zh-CN"/>
        </w:rPr>
        <w:t>6.89</w:t>
      </w:r>
      <w:r>
        <w:rPr>
          <w:rFonts w:hint="eastAsia" w:ascii="Times New Roman" w:hAnsi="Times New Roman" w:eastAsia="方正仿宋_GBK" w:cs="Times New Roman"/>
          <w:sz w:val="32"/>
          <w:szCs w:val="32"/>
          <w:lang w:val="en-US" w:eastAsia="zh-CN"/>
        </w:rPr>
        <w:t>%。</w:t>
      </w:r>
    </w:p>
    <w:p w14:paraId="19A3757D">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w:t>
      </w:r>
      <w:r>
        <w:rPr>
          <w:rFonts w:ascii="Times New Roman" w:hAnsi="Times New Roman" w:eastAsia="楷体_GB2312" w:cs="Times New Roman"/>
          <w:b/>
          <w:sz w:val="32"/>
          <w:szCs w:val="32"/>
        </w:rPr>
        <w:t>结余分配和结转结余情况</w:t>
      </w:r>
      <w:r>
        <w:rPr>
          <w:rFonts w:hint="eastAsia" w:ascii="Times New Roman" w:hAnsi="Times New Roman" w:eastAsia="楷体_GB2312" w:cs="Times New Roman"/>
          <w:b/>
          <w:sz w:val="32"/>
          <w:szCs w:val="32"/>
          <w:lang w:eastAsia="zh-CN"/>
        </w:rPr>
        <w:t>。</w:t>
      </w:r>
      <w:r>
        <w:rPr>
          <w:rFonts w:hint="eastAsia" w:ascii="Times New Roman" w:hAnsi="Times New Roman" w:eastAsia="方正仿宋_GBK" w:cs="Times New Roman"/>
          <w:sz w:val="32"/>
          <w:szCs w:val="32"/>
          <w:lang w:val="en-US" w:eastAsia="zh-CN"/>
        </w:rPr>
        <w:t>小金县信访接待中心</w:t>
      </w:r>
      <w:r>
        <w:rPr>
          <w:rFonts w:hint="eastAsia" w:eastAsia="方正仿宋_GBK" w:cs="Times New Roman"/>
          <w:sz w:val="32"/>
          <w:szCs w:val="32"/>
          <w:lang w:val="en-US" w:eastAsia="zh-CN"/>
        </w:rPr>
        <w:t>2025</w:t>
      </w:r>
      <w:r>
        <w:rPr>
          <w:rFonts w:hint="eastAsia" w:ascii="Times New Roman" w:hAnsi="Times New Roman" w:eastAsia="方正仿宋_GBK" w:cs="Times New Roman"/>
          <w:sz w:val="32"/>
          <w:szCs w:val="32"/>
          <w:lang w:val="en-US" w:eastAsia="zh-CN"/>
        </w:rPr>
        <w:t>年决算报表无结转结余情况。</w:t>
      </w:r>
    </w:p>
    <w:p w14:paraId="69231A3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三、</w:t>
      </w:r>
      <w:r>
        <w:rPr>
          <w:rFonts w:ascii="Times New Roman" w:hAnsi="Times New Roman" w:eastAsia="黑体" w:cs="Times New Roman"/>
          <w:color w:val="000000"/>
          <w:kern w:val="0"/>
          <w:sz w:val="32"/>
          <w:szCs w:val="32"/>
          <w:highlight w:val="none"/>
          <w:u w:val="none"/>
          <w:shd w:val="clear" w:color="auto" w:fill="FFFFFF"/>
        </w:rPr>
        <w:t>部门</w:t>
      </w:r>
      <w:r>
        <w:rPr>
          <w:rFonts w:ascii="Times New Roman" w:hAnsi="Times New Roman" w:eastAsia="黑体" w:cs="Times New Roman"/>
          <w:color w:val="000000"/>
          <w:kern w:val="0"/>
          <w:sz w:val="32"/>
          <w:szCs w:val="32"/>
          <w:highlight w:val="none"/>
          <w:u w:val="none"/>
          <w:shd w:val="clear" w:color="auto" w:fill="FFFFFF"/>
          <w:lang w:eastAsia="zh-CN"/>
        </w:rPr>
        <w:t>预算</w:t>
      </w:r>
      <w:r>
        <w:rPr>
          <w:rFonts w:ascii="Times New Roman" w:hAnsi="Times New Roman" w:eastAsia="黑体" w:cs="Times New Roman"/>
          <w:color w:val="000000"/>
          <w:kern w:val="0"/>
          <w:sz w:val="32"/>
          <w:szCs w:val="32"/>
          <w:highlight w:val="none"/>
          <w:u w:val="none"/>
          <w:shd w:val="clear" w:color="auto" w:fill="FFFFFF"/>
        </w:rPr>
        <w:t>绩效</w:t>
      </w:r>
      <w:r>
        <w:rPr>
          <w:rFonts w:ascii="Times New Roman" w:hAnsi="Times New Roman" w:eastAsia="黑体" w:cs="Times New Roman"/>
          <w:color w:val="000000"/>
          <w:kern w:val="0"/>
          <w:sz w:val="32"/>
          <w:szCs w:val="32"/>
          <w:highlight w:val="none"/>
          <w:u w:val="none"/>
          <w:shd w:val="clear" w:color="auto" w:fill="FFFFFF"/>
          <w:lang w:eastAsia="zh-CN"/>
        </w:rPr>
        <w:t>分析</w:t>
      </w:r>
    </w:p>
    <w:p w14:paraId="77247441">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部门预算</w:t>
      </w:r>
      <w:r>
        <w:rPr>
          <w:rFonts w:ascii="Times New Roman" w:hAnsi="Times New Roman" w:eastAsia="楷体_GB2312" w:cs="Times New Roman"/>
          <w:b/>
          <w:bCs/>
          <w:color w:val="000000"/>
          <w:kern w:val="0"/>
          <w:sz w:val="32"/>
          <w:szCs w:val="32"/>
          <w:highlight w:val="none"/>
          <w:shd w:val="clear" w:color="auto" w:fill="FFFFFF"/>
          <w:lang w:val="zh-CN"/>
        </w:rPr>
        <w:t>总体绩效分析。</w:t>
      </w:r>
      <w:r>
        <w:rPr>
          <w:rFonts w:hint="eastAsia" w:ascii="Times New Roman" w:hAnsi="Times New Roman" w:eastAsia="方正仿宋_GBK" w:cs="Times New Roman"/>
          <w:sz w:val="32"/>
          <w:szCs w:val="32"/>
          <w:lang w:val="zh-CN" w:eastAsia="zh-CN"/>
        </w:rPr>
        <w:t>根据部门预算绩效评价指标体系“总体绩效”涉及二、三级指标进行逐项绩效分析并评分，依次包括履职效能、预算管理、财务管理、资产管理、采购管理等情况。</w:t>
      </w:r>
    </w:p>
    <w:p w14:paraId="51CCD230">
      <w:pPr>
        <w:keepNext w:val="0"/>
        <w:keepLines w:val="0"/>
        <w:pageBreakBefore w:val="0"/>
        <w:widowControl w:val="0"/>
        <w:kinsoku/>
        <w:wordWrap w:val="0"/>
        <w:overflowPunct/>
        <w:topLinePunct w:val="0"/>
        <w:autoSpaceDE w:val="0"/>
        <w:autoSpaceDN w:val="0"/>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楷体_GB2312" w:eastAsia="楷体_GB2312" w:cs="楷体_GB2312"/>
          <w:b/>
          <w:bCs/>
          <w:color w:val="000000"/>
          <w:kern w:val="0"/>
          <w:sz w:val="32"/>
          <w:szCs w:val="32"/>
          <w:highlight w:val="none"/>
          <w:shd w:val="clear" w:color="auto" w:fill="FFFFFF"/>
          <w:lang w:val="en-US" w:eastAsia="zh-CN"/>
        </w:rPr>
        <w:t>1.</w:t>
      </w:r>
      <w:r>
        <w:rPr>
          <w:rFonts w:hint="eastAsia" w:ascii="楷体_GB2312" w:eastAsia="楷体_GB2312" w:cs="楷体_GB2312"/>
          <w:b/>
          <w:bCs/>
          <w:color w:val="000000"/>
          <w:kern w:val="0"/>
          <w:sz w:val="32"/>
          <w:szCs w:val="32"/>
          <w:highlight w:val="none"/>
          <w:shd w:val="clear" w:color="auto" w:fill="FFFFFF"/>
          <w:lang w:val="zh-CN"/>
        </w:rPr>
        <w:t>履职效能。</w:t>
      </w:r>
      <w:r>
        <w:rPr>
          <w:rFonts w:hint="eastAsia" w:ascii="Times New Roman" w:hAnsi="Times New Roman" w:eastAsia="方正仿宋_GBK" w:cs="Times New Roman"/>
          <w:sz w:val="32"/>
          <w:szCs w:val="32"/>
          <w:lang w:val="zh-CN" w:eastAsia="zh-CN"/>
        </w:rPr>
        <w:t>小金县信访</w:t>
      </w:r>
      <w:r>
        <w:rPr>
          <w:rFonts w:hint="eastAsia" w:ascii="Times New Roman" w:hAnsi="Times New Roman" w:eastAsia="方正仿宋_GBK" w:cs="Times New Roman"/>
          <w:sz w:val="32"/>
          <w:szCs w:val="32"/>
          <w:lang w:val="en-US" w:eastAsia="zh-CN"/>
        </w:rPr>
        <w:t>接待中心</w:t>
      </w:r>
      <w:r>
        <w:rPr>
          <w:rFonts w:hint="eastAsia" w:ascii="Times New Roman" w:hAnsi="Times New Roman" w:eastAsia="方正仿宋_GBK" w:cs="Times New Roman"/>
          <w:sz w:val="32"/>
          <w:szCs w:val="32"/>
          <w:lang w:val="zh-CN" w:eastAsia="zh-CN"/>
        </w:rPr>
        <w:t>在提升履职效能方面，通过优化信访流程、强化责任落实、创新服务模式等措施，显著提高了信访案件的办理效率和质量。</w:t>
      </w:r>
      <w:r>
        <w:rPr>
          <w:rFonts w:hint="eastAsia" w:eastAsia="方正仿宋_GBK" w:cs="Times New Roman"/>
          <w:sz w:val="32"/>
          <w:szCs w:val="32"/>
          <w:lang w:val="en-US" w:eastAsia="zh-CN"/>
        </w:rPr>
        <w:t>2025</w:t>
      </w:r>
      <w:r>
        <w:rPr>
          <w:rFonts w:hint="eastAsia" w:ascii="Times New Roman" w:hAnsi="Times New Roman" w:eastAsia="方正仿宋_GBK" w:cs="Times New Roman"/>
          <w:sz w:val="32"/>
          <w:szCs w:val="32"/>
          <w:lang w:val="en-US" w:eastAsia="zh-CN"/>
        </w:rPr>
        <w:t>年，</w:t>
      </w:r>
      <w:r>
        <w:rPr>
          <w:rFonts w:hint="default" w:ascii="Times New Roman" w:hAnsi="Times New Roman" w:eastAsia="方正仿宋_GBK" w:cs="Times New Roman"/>
          <w:sz w:val="32"/>
          <w:szCs w:val="32"/>
          <w:lang w:val="zh-CN" w:eastAsia="zh-CN"/>
        </w:rPr>
        <w:t>我县信访总量</w:t>
      </w:r>
      <w:r>
        <w:rPr>
          <w:rFonts w:hint="eastAsia" w:ascii="Times New Roman" w:hAnsi="Times New Roman" w:eastAsia="方正仿宋_GBK" w:cs="Times New Roman"/>
          <w:sz w:val="32"/>
          <w:szCs w:val="32"/>
          <w:lang w:val="en-US" w:eastAsia="zh-CN"/>
        </w:rPr>
        <w:t>173</w:t>
      </w:r>
      <w:r>
        <w:rPr>
          <w:rFonts w:hint="default" w:ascii="Times New Roman" w:hAnsi="Times New Roman" w:eastAsia="方正仿宋_GBK" w:cs="Times New Roman"/>
          <w:sz w:val="32"/>
          <w:szCs w:val="32"/>
          <w:lang w:val="zh-CN" w:eastAsia="zh-CN"/>
        </w:rPr>
        <w:t>件</w:t>
      </w:r>
      <w:r>
        <w:rPr>
          <w:rFonts w:hint="eastAsia" w:ascii="Times New Roman" w:hAnsi="Times New Roman" w:eastAsia="方正仿宋_GBK" w:cs="Times New Roman"/>
          <w:sz w:val="32"/>
          <w:szCs w:val="32"/>
          <w:lang w:val="zh-CN" w:eastAsia="zh-CN"/>
        </w:rPr>
        <w:t>，</w:t>
      </w:r>
      <w:r>
        <w:rPr>
          <w:rFonts w:hint="default" w:ascii="Times New Roman" w:hAnsi="Times New Roman" w:eastAsia="方正仿宋_GBK" w:cs="Times New Roman"/>
          <w:sz w:val="32"/>
          <w:szCs w:val="32"/>
          <w:lang w:val="zh-CN" w:eastAsia="zh-CN"/>
        </w:rPr>
        <w:t>同</w:t>
      </w:r>
      <w:r>
        <w:rPr>
          <w:rFonts w:hint="eastAsia" w:ascii="Times New Roman" w:hAnsi="Times New Roman" w:eastAsia="方正仿宋_GBK" w:cs="Times New Roman"/>
          <w:sz w:val="32"/>
          <w:szCs w:val="32"/>
          <w:lang w:val="en-US" w:eastAsia="zh-CN"/>
        </w:rPr>
        <w:t>比减少134</w:t>
      </w:r>
      <w:r>
        <w:rPr>
          <w:rFonts w:hint="default" w:ascii="Times New Roman" w:hAnsi="Times New Roman" w:eastAsia="方正仿宋_GBK" w:cs="Times New Roman"/>
          <w:sz w:val="32"/>
          <w:szCs w:val="32"/>
          <w:lang w:val="zh-CN" w:eastAsia="zh-CN"/>
        </w:rPr>
        <w:t>件，</w:t>
      </w:r>
      <w:r>
        <w:rPr>
          <w:rFonts w:hint="eastAsia" w:ascii="Times New Roman" w:hAnsi="Times New Roman" w:eastAsia="方正仿宋_GBK" w:cs="Times New Roman"/>
          <w:sz w:val="32"/>
          <w:szCs w:val="32"/>
          <w:lang w:val="en-US" w:eastAsia="zh-CN"/>
        </w:rPr>
        <w:t>降低44.08</w:t>
      </w:r>
      <w:r>
        <w:rPr>
          <w:rFonts w:hint="default" w:ascii="Times New Roman" w:hAnsi="Times New Roman" w:eastAsia="方正仿宋_GBK" w:cs="Times New Roman"/>
          <w:sz w:val="32"/>
          <w:szCs w:val="32"/>
          <w:lang w:val="zh-CN" w:eastAsia="zh-CN"/>
        </w:rPr>
        <w:t>％。</w:t>
      </w:r>
      <w:r>
        <w:rPr>
          <w:rFonts w:hint="eastAsia" w:ascii="Times New Roman" w:hAnsi="Times New Roman" w:eastAsia="方正仿宋_GBK" w:cs="Times New Roman"/>
          <w:sz w:val="32"/>
          <w:szCs w:val="32"/>
          <w:lang w:val="en-US" w:eastAsia="zh-CN"/>
        </w:rPr>
        <w:t>信访三率均达到100%。</w:t>
      </w:r>
      <w:r>
        <w:rPr>
          <w:rFonts w:hint="eastAsia" w:ascii="Times New Roman" w:hAnsi="Times New Roman" w:eastAsia="方正仿宋_GBK" w:cs="Times New Roman"/>
          <w:sz w:val="32"/>
          <w:szCs w:val="32"/>
          <w:lang w:val="zh-CN" w:eastAsia="zh-CN"/>
        </w:rPr>
        <w:t>部门预算中，专项用于提升</w:t>
      </w:r>
      <w:r>
        <w:rPr>
          <w:rFonts w:hint="eastAsia" w:ascii="Times New Roman" w:hAnsi="Times New Roman" w:eastAsia="方正仿宋_GBK" w:cs="Times New Roman"/>
          <w:sz w:val="32"/>
          <w:szCs w:val="32"/>
          <w:lang w:val="en-US" w:eastAsia="zh-CN"/>
        </w:rPr>
        <w:t>信访件处理</w:t>
      </w:r>
      <w:r>
        <w:rPr>
          <w:rFonts w:hint="eastAsia" w:ascii="Times New Roman" w:hAnsi="Times New Roman" w:eastAsia="方正仿宋_GBK" w:cs="Times New Roman"/>
          <w:sz w:val="32"/>
          <w:szCs w:val="32"/>
          <w:lang w:val="zh-CN" w:eastAsia="zh-CN"/>
        </w:rPr>
        <w:t>的经费，</w:t>
      </w:r>
      <w:r>
        <w:rPr>
          <w:rFonts w:hint="eastAsia" w:ascii="Times New Roman" w:hAnsi="Times New Roman" w:eastAsia="方正仿宋_GBK" w:cs="Times New Roman"/>
          <w:sz w:val="32"/>
          <w:szCs w:val="32"/>
          <w:lang w:val="en-US" w:eastAsia="zh-CN"/>
        </w:rPr>
        <w:t>有效处理了173件信访件，化解信访矛盾17件</w:t>
      </w:r>
      <w:r>
        <w:rPr>
          <w:rFonts w:hint="eastAsia" w:ascii="Times New Roman" w:hAnsi="Times New Roman" w:eastAsia="方正仿宋_GBK" w:cs="Times New Roman"/>
          <w:sz w:val="32"/>
          <w:szCs w:val="32"/>
          <w:lang w:val="zh-CN" w:eastAsia="zh-CN"/>
        </w:rPr>
        <w:t>。同时，预算还保障了信访接待场所的改造升级，提升了群众来访体验，增强了群众的信任感和满意度。这些投入直接转化为履职效能的提升，体现了预算资金的高效利用。</w:t>
      </w:r>
    </w:p>
    <w:p w14:paraId="0077CB8D">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cs="Times New Roman"/>
          <w:color w:val="000000"/>
          <w:kern w:val="0"/>
          <w:sz w:val="32"/>
          <w:szCs w:val="32"/>
          <w:highlight w:val="none"/>
          <w:shd w:val="clear" w:color="auto" w:fill="FFFFFF"/>
          <w:lang w:val="zh-CN"/>
        </w:rPr>
      </w:pPr>
      <w:r>
        <w:rPr>
          <w:rFonts w:hint="eastAsia" w:ascii="楷体_GB2312" w:eastAsia="楷体_GB2312" w:cs="楷体_GB2312"/>
          <w:b/>
          <w:bCs/>
          <w:color w:val="000000"/>
          <w:kern w:val="0"/>
          <w:sz w:val="32"/>
          <w:szCs w:val="32"/>
          <w:highlight w:val="none"/>
          <w:shd w:val="clear" w:color="auto" w:fill="FFFFFF"/>
          <w:lang w:val="en-US" w:eastAsia="zh-CN"/>
        </w:rPr>
        <w:t>2.</w:t>
      </w:r>
      <w:r>
        <w:rPr>
          <w:rFonts w:ascii="楷体_GB2312" w:eastAsia="楷体_GB2312" w:cs="楷体_GB2312"/>
          <w:b/>
          <w:bCs/>
          <w:color w:val="000000"/>
          <w:kern w:val="0"/>
          <w:sz w:val="32"/>
          <w:szCs w:val="32"/>
          <w:highlight w:val="none"/>
          <w:shd w:val="clear" w:color="auto" w:fill="FFFFFF"/>
          <w:lang w:val="zh-CN"/>
        </w:rPr>
        <w:t>预算管理</w:t>
      </w:r>
      <w:r>
        <w:rPr>
          <w:rFonts w:hint="eastAsia" w:ascii="楷体_GB2312" w:eastAsia="楷体_GB2312" w:cs="楷体_GB2312"/>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zh-CN" w:eastAsia="zh-CN"/>
        </w:rPr>
        <w:t>小金县信访接待中心在预算管理上，坚持科学编制、严格执行、强化监督的原则。预算编制过程中，充分考虑了信访工作的实际需求与县财政状况，确保预算的合理性和可行性。执行过程中，严格按照预算计划进行资金拨付和使用，避免了资金的浪费和挪用。同时，建立健全了预算绩效评价体系，定期对预算执行情况进行评估，及时调整优化预算结构，确保预算目标的实现。此外，加强了对预算执行的监督检查，提高了预算的透明度和公信力。</w:t>
      </w:r>
    </w:p>
    <w:p w14:paraId="6E434088">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楷体_GB2312" w:eastAsia="楷体_GB2312" w:cs="楷体_GB2312"/>
          <w:b/>
          <w:bCs/>
          <w:color w:val="000000"/>
          <w:kern w:val="0"/>
          <w:sz w:val="32"/>
          <w:szCs w:val="32"/>
          <w:highlight w:val="none"/>
          <w:shd w:val="clear" w:color="auto" w:fill="FFFFFF"/>
          <w:lang w:val="en-US" w:eastAsia="zh-CN"/>
        </w:rPr>
        <w:t>3.</w:t>
      </w:r>
      <w:r>
        <w:rPr>
          <w:rFonts w:ascii="楷体_GB2312" w:eastAsia="楷体_GB2312" w:cs="楷体_GB2312"/>
          <w:b/>
          <w:bCs/>
          <w:color w:val="000000"/>
          <w:kern w:val="0"/>
          <w:sz w:val="32"/>
          <w:szCs w:val="32"/>
          <w:highlight w:val="none"/>
          <w:shd w:val="clear" w:color="auto" w:fill="FFFFFF"/>
          <w:lang w:val="zh-CN"/>
        </w:rPr>
        <w:t>财务管理</w:t>
      </w:r>
      <w:r>
        <w:rPr>
          <w:rFonts w:hint="eastAsia" w:ascii="楷体_GB2312" w:eastAsia="楷体_GB2312" w:cs="楷体_GB2312"/>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zh-CN" w:eastAsia="zh-CN"/>
        </w:rPr>
        <w:t>小金县信访接待中心在财务管理方面，注重内部控制制度的建立和完善，明确了岗位职责，规范了财务操作流程，有效防范了财务风险。通过实施财务集中核算，提高了资金使用的规范性和效率。同时，加强了对财务数据的分析和利用，为决策提供有力支持。此外，还积极推行财务信息公开，主动接受社会监督，提升了财务管理的透明度和公众的信任度。</w:t>
      </w:r>
    </w:p>
    <w:p w14:paraId="3556E5CD">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cs="Times New Roman"/>
          <w:color w:val="000000"/>
          <w:kern w:val="0"/>
          <w:sz w:val="32"/>
          <w:szCs w:val="32"/>
          <w:highlight w:val="none"/>
          <w:shd w:val="clear" w:color="auto" w:fill="FFFFFF"/>
          <w:lang w:val="zh-CN"/>
        </w:rPr>
      </w:pPr>
      <w:r>
        <w:rPr>
          <w:rFonts w:hint="eastAsia" w:ascii="楷体_GB2312" w:eastAsia="楷体_GB2312" w:cs="楷体_GB2312"/>
          <w:b/>
          <w:bCs/>
          <w:color w:val="000000"/>
          <w:kern w:val="0"/>
          <w:sz w:val="32"/>
          <w:szCs w:val="32"/>
          <w:highlight w:val="none"/>
          <w:shd w:val="clear" w:color="auto" w:fill="FFFFFF"/>
          <w:lang w:val="en-US" w:eastAsia="zh-CN"/>
        </w:rPr>
        <w:t>4.</w:t>
      </w:r>
      <w:r>
        <w:rPr>
          <w:rFonts w:ascii="楷体_GB2312" w:eastAsia="楷体_GB2312" w:cs="楷体_GB2312"/>
          <w:b/>
          <w:bCs/>
          <w:color w:val="000000"/>
          <w:kern w:val="0"/>
          <w:sz w:val="32"/>
          <w:szCs w:val="32"/>
          <w:highlight w:val="none"/>
          <w:shd w:val="clear" w:color="auto" w:fill="FFFFFF"/>
          <w:lang w:val="zh-CN"/>
        </w:rPr>
        <w:t>资产管理</w:t>
      </w:r>
      <w:r>
        <w:rPr>
          <w:rFonts w:hint="eastAsia" w:ascii="楷体_GB2312" w:eastAsia="楷体_GB2312" w:cs="楷体_GB2312"/>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zh-CN" w:eastAsia="zh-CN"/>
        </w:rPr>
        <w:t>小金县信访接待中心在资产管理中，坚持“谁使用、谁负责”的原则，明确了资产的保管责任和使用要求。通过建立健全资产管理制度，规范了资产的采购、验收、登记、使用、处置等各个环节，确保了资产的安全完整和有效利用。同时，定期对资产进行清查盘点，及时发现并处理资产管理中存在的问题，防止了资产流失和浪费。</w:t>
      </w:r>
    </w:p>
    <w:p w14:paraId="3D52EE73">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楷体_GB2312" w:hAnsi="Times New Roman" w:eastAsia="楷体_GB2312" w:cs="楷体_GB2312"/>
          <w:b/>
          <w:bCs/>
          <w:color w:val="000000"/>
          <w:kern w:val="0"/>
          <w:sz w:val="32"/>
          <w:szCs w:val="32"/>
          <w:highlight w:val="none"/>
          <w:shd w:val="clear" w:color="auto" w:fill="FFFFFF"/>
          <w:lang w:val="en-US" w:eastAsia="zh-CN"/>
        </w:rPr>
        <w:t>5.</w:t>
      </w:r>
      <w:r>
        <w:rPr>
          <w:rFonts w:ascii="楷体_GB2312" w:hAnsi="Times New Roman" w:eastAsia="楷体_GB2312" w:cs="楷体_GB2312"/>
          <w:b/>
          <w:bCs/>
          <w:color w:val="000000"/>
          <w:kern w:val="0"/>
          <w:sz w:val="32"/>
          <w:szCs w:val="32"/>
          <w:highlight w:val="none"/>
          <w:shd w:val="clear" w:color="auto" w:fill="FFFFFF"/>
          <w:lang w:val="zh-CN"/>
        </w:rPr>
        <w:t>采购管理</w:t>
      </w:r>
      <w:r>
        <w:rPr>
          <w:rFonts w:hint="eastAsia" w:ascii="楷体_GB2312" w:hAnsi="Times New Roman" w:eastAsia="楷体_GB2312" w:cs="楷体_GB2312"/>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en-US" w:eastAsia="zh-CN"/>
        </w:rPr>
        <w:t>小金县信访接待中心近两年来没有政府采购项目，但经后，如有采购我局会</w:t>
      </w:r>
      <w:r>
        <w:rPr>
          <w:rFonts w:hint="eastAsia" w:ascii="Times New Roman" w:hAnsi="Times New Roman" w:eastAsia="方正仿宋_GBK" w:cs="Times New Roman"/>
          <w:sz w:val="32"/>
          <w:szCs w:val="32"/>
          <w:lang w:val="zh-CN" w:eastAsia="zh-CN"/>
        </w:rPr>
        <w:t>严格遵守政府采购法律法规，规范了采购程序和方式。通过公开招标、竞争性谈判等方式，确保了采购活动的公平、公正和透明。同时，加强对采购项</w:t>
      </w:r>
      <w:r>
        <w:rPr>
          <w:rFonts w:hint="eastAsia" w:ascii="Times New Roman" w:hAnsi="Times New Roman" w:eastAsia="方正仿宋_GBK" w:cs="Times New Roman"/>
          <w:spacing w:val="-11"/>
          <w:sz w:val="32"/>
          <w:szCs w:val="32"/>
          <w:lang w:val="zh-CN" w:eastAsia="zh-CN"/>
        </w:rPr>
        <w:t>目的预算管理和成本控制，确保资金的使用效益最大化。</w:t>
      </w:r>
    </w:p>
    <w:p w14:paraId="3E4E4961">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489A382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常年项目绩效分析。</w:t>
      </w:r>
      <w:r>
        <w:rPr>
          <w:rFonts w:hint="eastAsia" w:ascii="Times New Roman" w:hAnsi="Times New Roman" w:eastAsia="方正仿宋_GBK" w:cs="Times New Roman"/>
          <w:sz w:val="32"/>
          <w:szCs w:val="32"/>
          <w:lang w:val="zh-CN" w:eastAsia="zh-CN"/>
        </w:rPr>
        <w:t>该类项目总数</w:t>
      </w:r>
      <w:r>
        <w:rPr>
          <w:rFonts w:hint="eastAsia"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个，涉及预算总金额</w:t>
      </w:r>
      <w:r>
        <w:rPr>
          <w:rFonts w:hint="eastAsia"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万元，1—1</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zh-CN" w:eastAsia="zh-CN"/>
        </w:rPr>
        <w:t>月预算执行总体进度为</w:t>
      </w:r>
      <w:r>
        <w:rPr>
          <w:rFonts w:hint="eastAsia" w:ascii="Times New Roman" w:hAnsi="Times New Roman" w:eastAsia="方正仿宋_GBK" w:cs="Times New Roman"/>
          <w:sz w:val="32"/>
          <w:szCs w:val="32"/>
          <w:lang w:val="en-US" w:eastAsia="zh-CN"/>
        </w:rPr>
        <w:t>100</w:t>
      </w:r>
      <w:r>
        <w:rPr>
          <w:rFonts w:hint="eastAsia" w:ascii="Times New Roman" w:hAnsi="Times New Roman" w:eastAsia="方正仿宋_GBK" w:cs="Times New Roman"/>
          <w:sz w:val="32"/>
          <w:szCs w:val="32"/>
          <w:lang w:val="zh-CN" w:eastAsia="zh-CN"/>
        </w:rPr>
        <w:t>%，其中：预算结余率大于</w:t>
      </w:r>
      <w:r>
        <w:rPr>
          <w:rFonts w:hint="eastAsia" w:ascii="Times New Roman" w:hAnsi="Times New Roman" w:eastAsia="方正仿宋_GBK" w:cs="Times New Roman"/>
          <w:sz w:val="32"/>
          <w:szCs w:val="32"/>
          <w:lang w:val="en-US" w:eastAsia="zh-CN"/>
        </w:rPr>
        <w:t>10%</w:t>
      </w:r>
      <w:r>
        <w:rPr>
          <w:rFonts w:hint="eastAsia" w:ascii="Times New Roman" w:hAnsi="Times New Roman" w:eastAsia="方正仿宋_GBK" w:cs="Times New Roman"/>
          <w:sz w:val="32"/>
          <w:szCs w:val="32"/>
          <w:lang w:val="zh-CN" w:eastAsia="zh-CN"/>
        </w:rPr>
        <w:t>的项目共计</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个。</w:t>
      </w:r>
    </w:p>
    <w:p w14:paraId="5596103F">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Times New Roman" w:hAnsi="Times New Roman" w:eastAsia="方正仿宋_GBK" w:cs="Times New Roman"/>
          <w:sz w:val="32"/>
          <w:szCs w:val="32"/>
          <w:lang w:val="en-US" w:eastAsia="zh-CN"/>
        </w:rPr>
        <w:t>阶段（一次性）项目绩效分析。</w:t>
      </w:r>
      <w:r>
        <w:rPr>
          <w:rFonts w:hint="eastAsia" w:ascii="Times New Roman" w:hAnsi="Times New Roman" w:eastAsia="方正仿宋_GBK" w:cs="Times New Roman"/>
          <w:sz w:val="32"/>
          <w:szCs w:val="32"/>
          <w:lang w:val="zh-CN" w:eastAsia="zh-CN"/>
        </w:rPr>
        <w:t>该类项目总数</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个，涉及预算总金额</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万元，1—1</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zh-CN" w:eastAsia="zh-CN"/>
        </w:rPr>
        <w:t>月预算执行总体进度为</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%，其中：预算结余率大于</w:t>
      </w:r>
      <w:r>
        <w:rPr>
          <w:rFonts w:hint="eastAsia" w:ascii="Times New Roman" w:hAnsi="Times New Roman" w:eastAsia="方正仿宋_GBK" w:cs="Times New Roman"/>
          <w:sz w:val="32"/>
          <w:szCs w:val="32"/>
          <w:lang w:val="en-US" w:eastAsia="zh-CN"/>
        </w:rPr>
        <w:t>10%</w:t>
      </w:r>
      <w:r>
        <w:rPr>
          <w:rFonts w:hint="eastAsia" w:ascii="Times New Roman" w:hAnsi="Times New Roman" w:eastAsia="方正仿宋_GBK" w:cs="Times New Roman"/>
          <w:sz w:val="32"/>
          <w:szCs w:val="32"/>
          <w:lang w:val="zh-CN" w:eastAsia="zh-CN"/>
        </w:rPr>
        <w:t>的项目共计</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lang w:val="zh-CN" w:eastAsia="zh-CN"/>
        </w:rPr>
        <w:t>个。</w:t>
      </w:r>
    </w:p>
    <w:p w14:paraId="4354F479">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cs="Times New Roman"/>
          <w:b/>
          <w:bCs/>
          <w:color w:val="000000"/>
          <w:kern w:val="0"/>
          <w:sz w:val="32"/>
          <w:szCs w:val="32"/>
          <w:highlight w:val="none"/>
          <w:shd w:val="clear" w:color="auto" w:fill="FFFFFF"/>
          <w:lang w:val="en-US" w:eastAsia="zh-CN"/>
        </w:rPr>
        <w:t>1.</w:t>
      </w:r>
      <w:r>
        <w:rPr>
          <w:rFonts w:hint="eastAsia" w:ascii="楷体_GB2312" w:eastAsia="楷体_GB2312" w:cs="楷体_GB2312"/>
          <w:b/>
          <w:bCs/>
          <w:color w:val="000000"/>
          <w:kern w:val="0"/>
          <w:sz w:val="32"/>
          <w:szCs w:val="32"/>
          <w:highlight w:val="none"/>
          <w:shd w:val="clear" w:color="auto" w:fill="FFFFFF"/>
          <w:lang w:val="zh-CN"/>
        </w:rPr>
        <w:t>项目决策。</w:t>
      </w:r>
      <w:r>
        <w:rPr>
          <w:rFonts w:hint="eastAsia" w:ascii="Times New Roman" w:hAnsi="Times New Roman" w:eastAsia="方正仿宋_GBK" w:cs="Times New Roman"/>
          <w:sz w:val="32"/>
          <w:szCs w:val="32"/>
          <w:lang w:val="en-US" w:eastAsia="zh-CN"/>
        </w:rPr>
        <w:t>小金县信访接待中心在项目决策阶段，坚持问题导向，紧密结合县域实际和群众关切，科学规划预算项目。首先，通过广泛调研，深入了解当前信访工作面临的痛点难点，如案件积压、处理效率低下等。结合政策导向和财政承受能力，精准定位预算项目，确保项目既符合实际需求，又具有前瞻性和可操作性。同时，强化预算编制的透明度和公众参与，确保项目决策的科学性和民主性。</w:t>
      </w:r>
    </w:p>
    <w:p w14:paraId="0ED5B066">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楷体_GB2312" w:hAnsi="Times New Roman" w:eastAsia="楷体_GB2312" w:cs="楷体_GB2312"/>
          <w:b/>
          <w:bCs/>
          <w:color w:val="000000"/>
          <w:kern w:val="0"/>
          <w:sz w:val="32"/>
          <w:szCs w:val="32"/>
          <w:highlight w:val="none"/>
          <w:shd w:val="clear" w:color="auto" w:fill="FFFFFF"/>
          <w:lang w:val="en-US" w:eastAsia="zh-CN"/>
        </w:rPr>
        <w:t>2.项目执行</w:t>
      </w:r>
      <w:r>
        <w:rPr>
          <w:rFonts w:hint="eastAsia" w:ascii="楷体_GB2312" w:hAnsi="Times New Roman" w:eastAsia="楷体_GB2312" w:cs="楷体_GB2312"/>
          <w:b/>
          <w:bCs/>
          <w:color w:val="000000"/>
          <w:kern w:val="0"/>
          <w:sz w:val="32"/>
          <w:szCs w:val="32"/>
          <w:highlight w:val="none"/>
          <w:shd w:val="clear" w:color="auto" w:fill="FFFFFF"/>
          <w:lang w:val="zh-CN"/>
        </w:rPr>
        <w:t>。</w:t>
      </w:r>
      <w:r>
        <w:rPr>
          <w:rFonts w:hint="eastAsia" w:ascii="Times New Roman" w:hAnsi="Times New Roman" w:eastAsia="方正仿宋_GBK" w:cs="Times New Roman"/>
          <w:sz w:val="32"/>
          <w:szCs w:val="32"/>
          <w:lang w:val="en-US" w:eastAsia="zh-CN"/>
        </w:rPr>
        <w:t>小金县信访接待中心在项目执行过程中，建立了完善的项目管理制度，明确了责任分工和时间节点，确保项目有序推进。一方面，加强资金监管，实行专款专用，严格把控资金使用方向，防止资金挪用和浪费。另一方面，注重过程监控，定期组织项目进展评估，及时发现并纠正执行中的问题，确保项目按质按量完成。此外，还注重信息化手段的应用，通过建立信访信息管理系统，提高案件处理效率和群众满意度。</w:t>
      </w:r>
    </w:p>
    <w:p w14:paraId="440C4EE1">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方正仿宋_GBK" w:cs="Times New Roman"/>
          <w:sz w:val="32"/>
          <w:szCs w:val="32"/>
          <w:lang w:val="zh-CN" w:eastAsia="zh-CN"/>
        </w:rPr>
      </w:pPr>
      <w:r>
        <w:rPr>
          <w:rFonts w:hint="eastAsia" w:ascii="楷体_GB2312" w:eastAsia="楷体_GB2312" w:cs="楷体_GB2312"/>
          <w:b/>
          <w:bCs/>
          <w:color w:val="000000"/>
          <w:kern w:val="0"/>
          <w:sz w:val="32"/>
          <w:szCs w:val="32"/>
          <w:highlight w:val="none"/>
          <w:shd w:val="clear" w:color="auto" w:fill="FFFFFF"/>
          <w:lang w:val="en-US" w:eastAsia="zh-CN"/>
        </w:rPr>
        <w:t>3.</w:t>
      </w:r>
      <w:r>
        <w:rPr>
          <w:rFonts w:hint="eastAsia" w:ascii="楷体_GB2312" w:eastAsia="楷体_GB2312" w:cs="楷体_GB2312"/>
          <w:b/>
          <w:bCs/>
          <w:color w:val="000000"/>
          <w:kern w:val="0"/>
          <w:sz w:val="32"/>
          <w:szCs w:val="32"/>
          <w:highlight w:val="none"/>
          <w:shd w:val="clear" w:color="auto" w:fill="FFFFFF"/>
          <w:lang w:val="zh-CN"/>
        </w:rPr>
        <w:t>目标实现。</w:t>
      </w:r>
      <w:r>
        <w:rPr>
          <w:rFonts w:hint="eastAsia" w:ascii="Times New Roman" w:hAnsi="Times New Roman" w:eastAsia="方正仿宋_GBK" w:cs="Times New Roman"/>
          <w:sz w:val="32"/>
          <w:szCs w:val="32"/>
          <w:lang w:val="en-US" w:eastAsia="zh-CN"/>
        </w:rPr>
        <w:t>经过精心决策和高效执行，小金县信访接待中心部门预算项目取得了显著成效，有效推动了信访工作的转型升级。一是案件处理效率大幅提升，通过优化流程、引入智能化工具，案件积压问题得到有效缓解，群众诉求得到更快响应和解决。二是群众满意度不断提高，信访渠道的畅通和高效服务赢得了群众的广泛赞誉，增强了政府的公信力和人民群众的获得感。三是社会治理水平明显提升，信访工作作为社会治理的重要组成部分，其效能的提升直接促进了社会和谐稳定。</w:t>
      </w:r>
    </w:p>
    <w:p w14:paraId="7D04F530">
      <w:pPr>
        <w:keepNext w:val="0"/>
        <w:keepLines w:val="0"/>
        <w:pageBreakBefore w:val="0"/>
        <w:widowControl w:val="0"/>
        <w:kinsoku/>
        <w:wordWrap/>
        <w:overflowPunct/>
        <w:topLinePunct w:val="0"/>
        <w:autoSpaceDE/>
        <w:autoSpaceDN/>
        <w:bidi w:val="0"/>
        <w:snapToGrid w:val="0"/>
        <w:spacing w:line="600" w:lineRule="exact"/>
        <w:ind w:firstLine="643" w:firstLineChars="200"/>
        <w:jc w:val="both"/>
        <w:textAlignment w:val="auto"/>
        <w:rPr>
          <w:rFonts w:hint="eastAsia" w:ascii="Times New Roman" w:hAnsi="Times New Roman" w:eastAsia="楷体_GB2312" w:cs="Times New Roman"/>
          <w:b/>
          <w:bCs/>
          <w:sz w:val="32"/>
          <w:szCs w:val="32"/>
          <w:lang w:val="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w:t>
      </w:r>
      <w:r>
        <w:rPr>
          <w:rFonts w:ascii="Times New Roman" w:hAnsi="Times New Roman" w:eastAsia="楷体_GB2312" w:cs="Times New Roman"/>
          <w:b/>
          <w:bCs/>
          <w:sz w:val="32"/>
          <w:szCs w:val="32"/>
          <w:lang w:val="zh-CN"/>
        </w:rPr>
        <w:t>绩效结果应用情况</w:t>
      </w:r>
      <w:r>
        <w:rPr>
          <w:rFonts w:hint="eastAsia" w:ascii="Times New Roman" w:hAnsi="Times New Roman" w:eastAsia="楷体_GB2312" w:cs="Times New Roman"/>
          <w:b/>
          <w:bCs/>
          <w:sz w:val="32"/>
          <w:szCs w:val="32"/>
          <w:lang w:val="zh-CN"/>
        </w:rPr>
        <w:t>。</w:t>
      </w:r>
    </w:p>
    <w:p w14:paraId="2069D85B">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内部应用情况。小金县信访接待中心将预算绩效结果作为内部管理的重要参考，实现了从“要钱办事”到“花钱问效”的转变。首先，在预算编制阶段，通过历史绩效数据和项目评估报告，科学设定预算目标和绩效指标，确保预算安排与信访工作实际需求相匹配。其次，在执行过程中，实施动态监控与调整机制，定期对项目进展、资金使用效率和群众满意度进行评估，及时调整优化资金配置，避免资源浪费。</w:t>
      </w:r>
    </w:p>
    <w:p w14:paraId="0033244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信息公开情况。小金县信访接待中心高度重视预算绩效信息的公开透明，将其作为提升政府公信力的关键举措。按照上级部门要求，通过政府网站、公示栏等多种渠道，及时、准确、完整地公开预算绩效目标、评价指标、评价方法及评价结果等信息，接受社会监督。</w:t>
      </w:r>
    </w:p>
    <w:p w14:paraId="33624542">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方正仿宋_GBK" w:cs="Times New Roman"/>
          <w:spacing w:val="-11"/>
          <w:sz w:val="32"/>
          <w:szCs w:val="32"/>
          <w:lang w:val="en-US" w:eastAsia="zh-CN"/>
        </w:rPr>
      </w:pPr>
      <w:r>
        <w:rPr>
          <w:rFonts w:hint="eastAsia" w:ascii="Times New Roman" w:hAnsi="Times New Roman" w:eastAsia="方正仿宋_GBK" w:cs="Times New Roman"/>
          <w:sz w:val="32"/>
          <w:szCs w:val="32"/>
          <w:lang w:val="en-US" w:eastAsia="zh-CN"/>
        </w:rPr>
        <w:t>3.整改反馈情况。针对预算绩效评价中发现的问题和不足，小金县信访接待中心建立了完善的整改反馈机制。首先，对评价报告中指出的问题进行逐一梳理，明确整改责任人和时间节点，制定具体可行的整改措施。其次，加强跟踪督查，</w:t>
      </w:r>
      <w:r>
        <w:rPr>
          <w:rFonts w:hint="eastAsia" w:ascii="Times New Roman" w:hAnsi="Times New Roman" w:eastAsia="方正仿宋_GBK" w:cs="Times New Roman"/>
          <w:spacing w:val="-11"/>
          <w:sz w:val="32"/>
          <w:szCs w:val="32"/>
          <w:lang w:val="en-US" w:eastAsia="zh-CN"/>
        </w:rPr>
        <w:t>确保整改措施落地见效，对整改不力的单位和个人进行严肃问责。</w:t>
      </w:r>
    </w:p>
    <w:p w14:paraId="558CA26A">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lang w:eastAsia="zh-CN"/>
        </w:rPr>
        <w:t>四、</w:t>
      </w:r>
      <w:r>
        <w:rPr>
          <w:rFonts w:ascii="Times New Roman" w:hAnsi="Times New Roman" w:eastAsia="黑体" w:cs="Times New Roman"/>
          <w:color w:val="000000"/>
          <w:kern w:val="0"/>
          <w:sz w:val="32"/>
          <w:szCs w:val="32"/>
          <w:highlight w:val="none"/>
          <w:shd w:val="clear" w:color="auto" w:fill="FFFFFF"/>
        </w:rPr>
        <w:t>评价结论及建议</w:t>
      </w:r>
    </w:p>
    <w:p w14:paraId="3C0F396C">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方正仿宋_GBK" w:cs="Times New Roman"/>
          <w:sz w:val="32"/>
          <w:szCs w:val="32"/>
          <w:lang w:val="en-US" w:eastAsia="zh-CN"/>
        </w:rPr>
        <w:t>小金县信访接待中心本年度预算绩效自评工作已圆满结束，通过全面细致的自我审视与评估，我局在预算执行、资金使用效率及项目管理等方面取得了积极成效，总体绩效自评得分为92分（满分100分），显示出较高的预算管理水平和项目实施效果。这一成绩不仅体现了我局对预算绩效管理的重视，也反映了全体工作人员在提升服务质量和群众满意度上的不懈努力。</w:t>
      </w:r>
    </w:p>
    <w:p w14:paraId="182F8197">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方正仿宋_GBK" w:cs="Times New Roman"/>
          <w:sz w:val="32"/>
          <w:szCs w:val="32"/>
          <w:lang w:val="en-US" w:eastAsia="zh-CN"/>
        </w:rPr>
        <w:t>尽管自评结果总体良好，但在深入剖析过程中，我们也发现了几个亟待解决的问题：</w:t>
      </w:r>
    </w:p>
    <w:p w14:paraId="4F9C5240">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 预算分配细化不足：部分预算项目在初期分配时缺乏足够的细化，导致实际执行过程中调整频繁，影响了资金使用的灵活性和效率。</w:t>
      </w:r>
    </w:p>
    <w:p w14:paraId="78D7CE3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 政策执行效果评估滞后：部分政策项目在实施后，未能及时开展有效的效果评估，难以准确掌握政策对解决信访问题、提升群众满意度的具体贡献。</w:t>
      </w:r>
    </w:p>
    <w:p w14:paraId="511265C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 内部控制管理有待加强：在预算管理、财务报销等内部控制环节，存在流程不够严谨、监督不到位的情况，增加了财务风险。</w:t>
      </w:r>
    </w:p>
    <w:p w14:paraId="62359F17">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Times New Roman" w:hAnsi="Times New Roman" w:eastAsia="方正仿宋_GBK" w:cs="Times New Roman"/>
          <w:sz w:val="32"/>
          <w:szCs w:val="32"/>
          <w:lang w:val="en-US" w:eastAsia="zh-CN"/>
        </w:rPr>
        <w:t>针对上述问题，小金县信访接待中心提出以下改进建议，以期进一步提升预算绩效管理水平：</w:t>
      </w:r>
    </w:p>
    <w:p w14:paraId="6E468C8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 优化预算分配机制：加强对预算项目的前期调研与论证，确保预算分配更加科学合理，细化预算项目，减少执行过程中的不必要调整。同时，建立预算动态调整机制，根据项目实施情况适时调整预算，提高资金使用的灵活性和效率。</w:t>
      </w:r>
    </w:p>
    <w:p w14:paraId="74D1C7C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sz w:val="32"/>
          <w:szCs w:val="32"/>
        </w:rPr>
        <w:t>2. </w:t>
      </w:r>
      <w:r>
        <w:rPr>
          <w:rFonts w:hint="eastAsia" w:ascii="Times New Roman" w:hAnsi="Times New Roman" w:eastAsia="方正仿宋_GBK" w:cs="Times New Roman"/>
          <w:sz w:val="32"/>
          <w:szCs w:val="32"/>
          <w:lang w:val="en-US" w:eastAsia="zh-CN"/>
        </w:rPr>
        <w:t>强化政策执行效果评估：建立健全政策执行效果评估体系，明确评估指标和周期，定期对政策项目的实施效果进行量化评估，确保政策精准有效，及时调整优化政策方向，提升群众满意度。</w:t>
      </w:r>
    </w:p>
    <w:p w14:paraId="67B1EBAE">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 完善内部控制管理制度：修订完善预算管理、财务报销等内部控制制度，明确职责分工，加强流程控制，确保各项经济活动合法合规。同时，强化内部监督与审计，建立风险预警机制，及时发现并纠正问题，防范财务风险。</w:t>
      </w:r>
    </w:p>
    <w:p w14:paraId="10F888FC">
      <w:pPr>
        <w:pStyle w:val="6"/>
        <w:rPr>
          <w:rFonts w:hint="eastAsia" w:ascii="Times New Roman" w:hAnsi="Times New Roman" w:eastAsia="方正仿宋_GBK" w:cs="Times New Roman"/>
          <w:sz w:val="32"/>
          <w:szCs w:val="32"/>
          <w:lang w:val="en-US" w:eastAsia="zh-CN"/>
        </w:rPr>
      </w:pPr>
    </w:p>
    <w:p w14:paraId="4CDB9192">
      <w:pPr>
        <w:rPr>
          <w:rFonts w:hint="eastAsia" w:ascii="Times New Roman" w:hAnsi="Times New Roman" w:eastAsia="方正仿宋_GBK" w:cs="Times New Roman"/>
          <w:sz w:val="32"/>
          <w:szCs w:val="32"/>
          <w:lang w:val="en-US" w:eastAsia="zh-CN"/>
        </w:rPr>
      </w:pPr>
    </w:p>
    <w:p w14:paraId="79C59229">
      <w:pPr>
        <w:pStyle w:val="6"/>
        <w:rPr>
          <w:rFonts w:hint="eastAsia" w:ascii="Times New Roman" w:hAnsi="Times New Roman" w:eastAsia="方正仿宋_GBK" w:cs="Times New Roman"/>
          <w:sz w:val="32"/>
          <w:szCs w:val="32"/>
          <w:lang w:val="en-US" w:eastAsia="zh-CN"/>
        </w:rPr>
      </w:pPr>
    </w:p>
    <w:p w14:paraId="0B12D96F">
      <w:pPr>
        <w:keepNext/>
        <w:keepLines/>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31"/>
          <w:rFonts w:hint="eastAsia" w:ascii="黑体" w:hAnsi="黑体" w:eastAsia="黑体"/>
          <w:b w:val="0"/>
          <w:color w:val="auto"/>
          <w:highlight w:val="none"/>
          <w:lang w:val="en-US" w:eastAsia="zh-CN"/>
        </w:rPr>
        <w:t>五</w:t>
      </w:r>
      <w:r>
        <w:rPr>
          <w:rStyle w:val="31"/>
          <w:rFonts w:hint="eastAsia" w:ascii="黑体" w:hAnsi="黑体" w:eastAsia="黑体"/>
          <w:b w:val="0"/>
          <w:color w:val="auto"/>
          <w:highlight w:val="none"/>
        </w:rPr>
        <w:t>部分 附表</w:t>
      </w:r>
      <w:bookmarkEnd w:id="69"/>
      <w:bookmarkEnd w:id="70"/>
      <w:bookmarkEnd w:id="71"/>
      <w:bookmarkStart w:id="73" w:name="_Toc15396619"/>
    </w:p>
    <w:p w14:paraId="765B0276">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color w:val="auto"/>
          <w:highlight w:val="none"/>
        </w:rPr>
      </w:pPr>
      <w:bookmarkStart w:id="74" w:name="_Toc18099_WPSOffice_Level2"/>
      <w:r>
        <w:rPr>
          <w:rFonts w:hint="eastAsia" w:ascii="仿宋" w:hAnsi="仿宋" w:eastAsia="仿宋"/>
          <w:b w:val="0"/>
          <w:color w:val="auto"/>
          <w:highlight w:val="none"/>
        </w:rPr>
        <w:t>一、收</w:t>
      </w:r>
      <w:r>
        <w:rPr>
          <w:rStyle w:val="32"/>
          <w:rFonts w:hint="eastAsia" w:ascii="仿宋" w:hAnsi="仿宋" w:eastAsia="仿宋"/>
          <w:b w:val="0"/>
          <w:bCs w:val="0"/>
          <w:color w:val="auto"/>
          <w:highlight w:val="none"/>
        </w:rPr>
        <w:t>入支出决算总表</w:t>
      </w:r>
      <w:bookmarkEnd w:id="73"/>
      <w:bookmarkEnd w:id="74"/>
    </w:p>
    <w:p w14:paraId="7C0E13F4">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color w:val="auto"/>
          <w:highlight w:val="none"/>
        </w:rPr>
      </w:pPr>
      <w:bookmarkStart w:id="75" w:name="_Toc24189_WPSOffice_Level2"/>
      <w:bookmarkStart w:id="76" w:name="_Toc15396620"/>
      <w:r>
        <w:rPr>
          <w:rFonts w:hint="eastAsia" w:ascii="仿宋" w:hAnsi="仿宋" w:eastAsia="仿宋"/>
          <w:b w:val="0"/>
          <w:color w:val="auto"/>
          <w:highlight w:val="none"/>
        </w:rPr>
        <w:t>二、收</w:t>
      </w:r>
      <w:r>
        <w:rPr>
          <w:rStyle w:val="32"/>
          <w:rFonts w:hint="eastAsia" w:ascii="仿宋" w:hAnsi="仿宋" w:eastAsia="仿宋"/>
          <w:b w:val="0"/>
          <w:bCs w:val="0"/>
          <w:color w:val="auto"/>
          <w:highlight w:val="none"/>
        </w:rPr>
        <w:t>入决算表</w:t>
      </w:r>
      <w:bookmarkEnd w:id="75"/>
      <w:bookmarkEnd w:id="76"/>
    </w:p>
    <w:p w14:paraId="1C34B2E5">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color w:val="auto"/>
          <w:highlight w:val="none"/>
        </w:rPr>
      </w:pPr>
      <w:bookmarkStart w:id="77" w:name="_Toc15396621"/>
      <w:bookmarkStart w:id="78" w:name="_Toc4572_WPSOffice_Level2"/>
      <w:r>
        <w:rPr>
          <w:rStyle w:val="32"/>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2"/>
          <w:rFonts w:hint="eastAsia" w:ascii="仿宋" w:hAnsi="仿宋" w:eastAsia="仿宋"/>
          <w:b w:val="0"/>
          <w:bCs w:val="0"/>
          <w:color w:val="auto"/>
          <w:highlight w:val="none"/>
        </w:rPr>
        <w:t>出决算表</w:t>
      </w:r>
      <w:bookmarkEnd w:id="77"/>
      <w:bookmarkEnd w:id="78"/>
    </w:p>
    <w:p w14:paraId="4417EF44">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b w:val="0"/>
          <w:color w:val="auto"/>
          <w:highlight w:val="none"/>
        </w:rPr>
      </w:pPr>
      <w:bookmarkStart w:id="79" w:name="_Toc15396622"/>
      <w:bookmarkStart w:id="80" w:name="_Toc6524_WPSOffice_Level2"/>
      <w:r>
        <w:rPr>
          <w:rStyle w:val="32"/>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政拨款收入支出决算总表</w:t>
      </w:r>
      <w:bookmarkEnd w:id="79"/>
      <w:bookmarkEnd w:id="80"/>
    </w:p>
    <w:p w14:paraId="32551481">
      <w:pPr>
        <w:pStyle w:val="4"/>
        <w:keepNext/>
        <w:keepLines/>
        <w:pageBreakBefore w:val="0"/>
        <w:widowControl w:val="0"/>
        <w:kinsoku/>
        <w:wordWrap/>
        <w:overflowPunct/>
        <w:topLinePunct w:val="0"/>
        <w:autoSpaceDE/>
        <w:autoSpaceDN/>
        <w:bidi w:val="0"/>
        <w:adjustRightInd/>
        <w:snapToGrid/>
        <w:textAlignment w:val="auto"/>
        <w:rPr>
          <w:rStyle w:val="32"/>
          <w:rFonts w:ascii="仿宋" w:hAnsi="仿宋" w:eastAsia="仿宋"/>
          <w:b w:val="0"/>
          <w:bCs w:val="0"/>
          <w:color w:val="auto"/>
          <w:highlight w:val="none"/>
        </w:rPr>
      </w:pPr>
      <w:bookmarkStart w:id="81" w:name="_Toc15396623"/>
      <w:bookmarkStart w:id="82" w:name="_Toc10133_WPSOffice_Level2"/>
      <w:r>
        <w:rPr>
          <w:rStyle w:val="32"/>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政拨款支出决算明细表</w:t>
      </w:r>
      <w:bookmarkEnd w:id="81"/>
      <w:bookmarkEnd w:id="82"/>
      <w:bookmarkStart w:id="83" w:name="_Toc15396624"/>
    </w:p>
    <w:p w14:paraId="68C9CDAD">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color w:val="auto"/>
          <w:highlight w:val="none"/>
        </w:rPr>
      </w:pPr>
      <w:bookmarkStart w:id="84" w:name="_Toc12238_WPSOffice_Level2"/>
      <w:r>
        <w:rPr>
          <w:rStyle w:val="32"/>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般公共预算财政拨款支出决算表</w:t>
      </w:r>
      <w:bookmarkEnd w:id="83"/>
      <w:bookmarkEnd w:id="84"/>
    </w:p>
    <w:p w14:paraId="085CC0EE">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color w:val="auto"/>
          <w:highlight w:val="none"/>
        </w:rPr>
      </w:pPr>
      <w:bookmarkStart w:id="85" w:name="_Toc23368_WPSOffice_Level2"/>
      <w:bookmarkStart w:id="86" w:name="_Toc15396625"/>
      <w:r>
        <w:rPr>
          <w:rStyle w:val="32"/>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般公共预算财政拨款支出决算明细表</w:t>
      </w:r>
      <w:bookmarkEnd w:id="85"/>
      <w:bookmarkEnd w:id="86"/>
    </w:p>
    <w:p w14:paraId="1375ACB2">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color w:val="auto"/>
          <w:highlight w:val="none"/>
        </w:rPr>
      </w:pPr>
      <w:bookmarkStart w:id="87" w:name="_Toc14679_WPSOffice_Level2"/>
      <w:bookmarkStart w:id="88" w:name="_Toc15396626"/>
      <w:r>
        <w:rPr>
          <w:rStyle w:val="32"/>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般公共预算财政拨款基本支出决算表</w:t>
      </w:r>
      <w:bookmarkEnd w:id="87"/>
      <w:bookmarkEnd w:id="88"/>
    </w:p>
    <w:p w14:paraId="3A73D57E">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color w:val="auto"/>
          <w:highlight w:val="none"/>
        </w:rPr>
      </w:pPr>
      <w:bookmarkStart w:id="89" w:name="_Toc14053_WPSOffice_Level2"/>
      <w:bookmarkStart w:id="90" w:name="_Toc15396627"/>
      <w:r>
        <w:rPr>
          <w:rStyle w:val="32"/>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般公共预算财政拨款项目支出决算表</w:t>
      </w:r>
      <w:bookmarkEnd w:id="89"/>
      <w:bookmarkEnd w:id="90"/>
    </w:p>
    <w:p w14:paraId="5B20FBC5">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color w:val="auto"/>
          <w:highlight w:val="none"/>
        </w:rPr>
      </w:pPr>
      <w:bookmarkStart w:id="91" w:name="_Toc15396628"/>
      <w:bookmarkStart w:id="92" w:name="_Toc2938_WPSOffice_Level2"/>
      <w:r>
        <w:rPr>
          <w:rStyle w:val="32"/>
          <w:rFonts w:hint="eastAsia" w:ascii="仿宋" w:hAnsi="仿宋" w:eastAsia="仿宋"/>
          <w:b w:val="0"/>
          <w:bCs w:val="0"/>
          <w:color w:val="auto"/>
          <w:highlight w:val="none"/>
        </w:rPr>
        <w:t>十、</w:t>
      </w:r>
      <w:bookmarkEnd w:id="91"/>
      <w:r>
        <w:rPr>
          <w:rFonts w:hint="eastAsia" w:ascii="仿宋" w:hAnsi="仿宋" w:eastAsia="仿宋"/>
          <w:b w:val="0"/>
          <w:color w:val="auto"/>
          <w:highlight w:val="none"/>
        </w:rPr>
        <w:t>政</w:t>
      </w:r>
      <w:r>
        <w:rPr>
          <w:rStyle w:val="32"/>
          <w:rFonts w:hint="eastAsia" w:ascii="仿宋" w:hAnsi="仿宋" w:eastAsia="仿宋"/>
          <w:b w:val="0"/>
          <w:bCs w:val="0"/>
          <w:color w:val="auto"/>
          <w:highlight w:val="none"/>
        </w:rPr>
        <w:t>府性基金预算财政拨款收入支出决算表</w:t>
      </w:r>
      <w:bookmarkEnd w:id="92"/>
    </w:p>
    <w:p w14:paraId="67789553">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color w:val="auto"/>
          <w:highlight w:val="none"/>
        </w:rPr>
      </w:pPr>
      <w:bookmarkStart w:id="93" w:name="_Toc15396629"/>
      <w:bookmarkStart w:id="94" w:name="_Toc10409_WPSOffice_Level2"/>
      <w:r>
        <w:rPr>
          <w:rStyle w:val="32"/>
          <w:rFonts w:hint="eastAsia" w:ascii="仿宋" w:hAnsi="仿宋" w:eastAsia="仿宋"/>
          <w:b w:val="0"/>
          <w:bCs w:val="0"/>
          <w:color w:val="auto"/>
          <w:highlight w:val="none"/>
        </w:rPr>
        <w:t>十一、</w:t>
      </w:r>
      <w:bookmarkEnd w:id="93"/>
      <w:r>
        <w:rPr>
          <w:rFonts w:hint="eastAsia" w:ascii="仿宋" w:hAnsi="仿宋" w:eastAsia="仿宋"/>
          <w:b w:val="0"/>
          <w:color w:val="auto"/>
          <w:highlight w:val="none"/>
        </w:rPr>
        <w:t>国</w:t>
      </w:r>
      <w:r>
        <w:rPr>
          <w:rStyle w:val="32"/>
          <w:rFonts w:hint="eastAsia" w:ascii="仿宋" w:hAnsi="仿宋" w:eastAsia="仿宋"/>
          <w:b w:val="0"/>
          <w:bCs w:val="0"/>
          <w:color w:val="auto"/>
          <w:highlight w:val="none"/>
        </w:rPr>
        <w:t>有资本经营预算</w:t>
      </w:r>
      <w:r>
        <w:rPr>
          <w:rStyle w:val="32"/>
          <w:rFonts w:hint="eastAsia" w:ascii="仿宋" w:hAnsi="仿宋" w:eastAsia="仿宋"/>
          <w:b w:val="0"/>
          <w:bCs w:val="0"/>
          <w:color w:val="auto"/>
          <w:highlight w:val="none"/>
          <w:lang w:eastAsia="zh-CN"/>
        </w:rPr>
        <w:t>财政拨款收入</w:t>
      </w:r>
      <w:r>
        <w:rPr>
          <w:rStyle w:val="32"/>
          <w:rFonts w:hint="eastAsia" w:ascii="仿宋" w:hAnsi="仿宋" w:eastAsia="仿宋"/>
          <w:b w:val="0"/>
          <w:bCs w:val="0"/>
          <w:color w:val="auto"/>
          <w:highlight w:val="none"/>
        </w:rPr>
        <w:t>支出决算表</w:t>
      </w:r>
      <w:bookmarkEnd w:id="94"/>
    </w:p>
    <w:p w14:paraId="4791B9CB">
      <w:pPr>
        <w:pStyle w:val="4"/>
        <w:keepNext/>
        <w:keepLines/>
        <w:pageBreakBefore w:val="0"/>
        <w:widowControl w:val="0"/>
        <w:kinsoku/>
        <w:wordWrap/>
        <w:overflowPunct/>
        <w:topLinePunct w:val="0"/>
        <w:autoSpaceDE/>
        <w:autoSpaceDN/>
        <w:bidi w:val="0"/>
        <w:adjustRightInd/>
        <w:snapToGrid/>
        <w:textAlignment w:val="auto"/>
        <w:rPr>
          <w:rFonts w:ascii="仿宋" w:hAnsi="仿宋" w:eastAsia="仿宋"/>
          <w:color w:val="auto"/>
          <w:highlight w:val="none"/>
        </w:rPr>
      </w:pPr>
      <w:bookmarkStart w:id="95" w:name="_Toc15396630"/>
      <w:bookmarkStart w:id="96" w:name="_Toc14406_WPSOffice_Level2"/>
      <w:r>
        <w:rPr>
          <w:rStyle w:val="32"/>
          <w:rFonts w:hint="eastAsia" w:ascii="仿宋" w:hAnsi="仿宋" w:eastAsia="仿宋"/>
          <w:b w:val="0"/>
          <w:bCs w:val="0"/>
          <w:color w:val="auto"/>
          <w:highlight w:val="none"/>
        </w:rPr>
        <w:t>十二、</w:t>
      </w:r>
      <w:bookmarkEnd w:id="95"/>
      <w:r>
        <w:rPr>
          <w:rStyle w:val="32"/>
          <w:rFonts w:hint="eastAsia" w:ascii="仿宋" w:hAnsi="仿宋" w:eastAsia="仿宋"/>
          <w:b w:val="0"/>
          <w:bCs w:val="0"/>
          <w:color w:val="auto"/>
          <w:highlight w:val="none"/>
          <w:lang w:eastAsia="zh-CN"/>
        </w:rPr>
        <w:t>国有资本经营预算财政拨款支出决算表</w:t>
      </w:r>
      <w:bookmarkEnd w:id="96"/>
    </w:p>
    <w:p w14:paraId="53313921">
      <w:pPr>
        <w:pStyle w:val="4"/>
        <w:keepNext/>
        <w:keepLines/>
        <w:pageBreakBefore w:val="0"/>
        <w:widowControl w:val="0"/>
        <w:kinsoku/>
        <w:wordWrap/>
        <w:overflowPunct/>
        <w:topLinePunct w:val="0"/>
        <w:autoSpaceDE/>
        <w:autoSpaceDN/>
        <w:bidi w:val="0"/>
        <w:adjustRightInd/>
        <w:snapToGrid/>
        <w:textAlignment w:val="auto"/>
        <w:rPr>
          <w:rStyle w:val="32"/>
          <w:rFonts w:hint="eastAsia" w:ascii="仿宋" w:hAnsi="仿宋" w:eastAsia="仿宋"/>
          <w:b w:val="0"/>
          <w:bCs w:val="0"/>
          <w:color w:val="auto"/>
          <w:highlight w:val="none"/>
          <w:lang w:eastAsia="zh-CN"/>
        </w:rPr>
      </w:pPr>
      <w:bookmarkStart w:id="97" w:name="_Toc15396631"/>
      <w:bookmarkStart w:id="98" w:name="_Toc27684_WPSOffice_Level2"/>
      <w:r>
        <w:rPr>
          <w:rStyle w:val="32"/>
          <w:rFonts w:hint="eastAsia" w:ascii="仿宋" w:hAnsi="仿宋" w:eastAsia="仿宋"/>
          <w:b w:val="0"/>
          <w:bCs w:val="0"/>
          <w:color w:val="auto"/>
          <w:highlight w:val="none"/>
        </w:rPr>
        <w:t>十三、</w:t>
      </w:r>
      <w:bookmarkEnd w:id="97"/>
      <w:r>
        <w:rPr>
          <w:rStyle w:val="32"/>
          <w:rFonts w:hint="eastAsia" w:ascii="仿宋" w:hAnsi="仿宋" w:eastAsia="仿宋"/>
          <w:b w:val="0"/>
          <w:bCs w:val="0"/>
          <w:color w:val="auto"/>
          <w:highlight w:val="none"/>
          <w:lang w:eastAsia="zh-CN"/>
        </w:rPr>
        <w:t>财政拨款“三公”经费支出决算表</w:t>
      </w:r>
      <w:bookmarkEnd w:id="98"/>
    </w:p>
    <w:sectPr>
      <w:headerReference r:id="rId3" w:type="default"/>
      <w:footerReference r:id="rId4" w:type="default"/>
      <w:pgSz w:w="11906" w:h="16838"/>
      <w:pgMar w:top="2098" w:right="1474"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altName w:val="黑体"/>
    <w:panose1 w:val="02010601030101010101"/>
    <w:charset w:val="86"/>
    <w:family w:val="script"/>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54B1FD3">
        <w:pPr>
          <w:pStyle w:val="12"/>
          <w:jc w:val="center"/>
        </w:pPr>
        <w:r>
          <w:fldChar w:fldCharType="begin"/>
        </w:r>
        <w:r>
          <w:instrText xml:space="preserve">PAGE   \* MERGEFORMAT</w:instrText>
        </w:r>
        <w:r>
          <w:fldChar w:fldCharType="separate"/>
        </w:r>
        <w:r>
          <w:rPr>
            <w:lang w:val="zh-CN"/>
          </w:rPr>
          <w:t>8</w:t>
        </w:r>
        <w:r>
          <w:fldChar w:fldCharType="end"/>
        </w:r>
      </w:p>
    </w:sdtContent>
  </w:sdt>
  <w:p w14:paraId="10E55244">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6239A">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43E91"/>
    <w:rsid w:val="0307447D"/>
    <w:rsid w:val="066E0107"/>
    <w:rsid w:val="07996F6E"/>
    <w:rsid w:val="0A2032A3"/>
    <w:rsid w:val="0C2E5F0B"/>
    <w:rsid w:val="0F98263C"/>
    <w:rsid w:val="101860EC"/>
    <w:rsid w:val="10C055FF"/>
    <w:rsid w:val="118107EC"/>
    <w:rsid w:val="13D50BC4"/>
    <w:rsid w:val="15A67643"/>
    <w:rsid w:val="16BB723D"/>
    <w:rsid w:val="1BE8440E"/>
    <w:rsid w:val="1D155CEE"/>
    <w:rsid w:val="1FF35744"/>
    <w:rsid w:val="21CE4A01"/>
    <w:rsid w:val="23860B96"/>
    <w:rsid w:val="240371BF"/>
    <w:rsid w:val="29FD04D3"/>
    <w:rsid w:val="2BF94E3B"/>
    <w:rsid w:val="2C4E70D8"/>
    <w:rsid w:val="2C8A61B5"/>
    <w:rsid w:val="2DF04E50"/>
    <w:rsid w:val="2F040D46"/>
    <w:rsid w:val="2F230B34"/>
    <w:rsid w:val="319F7F4E"/>
    <w:rsid w:val="3304709D"/>
    <w:rsid w:val="36AA5135"/>
    <w:rsid w:val="376D39B2"/>
    <w:rsid w:val="37E16F03"/>
    <w:rsid w:val="38D469F0"/>
    <w:rsid w:val="3CB35A7E"/>
    <w:rsid w:val="3D98207C"/>
    <w:rsid w:val="3E78745D"/>
    <w:rsid w:val="3FF70E93"/>
    <w:rsid w:val="44E268DA"/>
    <w:rsid w:val="47D127E5"/>
    <w:rsid w:val="4A2616B1"/>
    <w:rsid w:val="4A627F82"/>
    <w:rsid w:val="4B0E749A"/>
    <w:rsid w:val="4B4F25DA"/>
    <w:rsid w:val="4BE068DB"/>
    <w:rsid w:val="4D18609A"/>
    <w:rsid w:val="4D577224"/>
    <w:rsid w:val="4EAB630A"/>
    <w:rsid w:val="4ECE2238"/>
    <w:rsid w:val="537E6D0A"/>
    <w:rsid w:val="57E4104C"/>
    <w:rsid w:val="5AF92295"/>
    <w:rsid w:val="5C115076"/>
    <w:rsid w:val="5CD71FC4"/>
    <w:rsid w:val="69A16D3D"/>
    <w:rsid w:val="6AC62DA1"/>
    <w:rsid w:val="6C4A05C8"/>
    <w:rsid w:val="6DA91B28"/>
    <w:rsid w:val="6E7E3605"/>
    <w:rsid w:val="6FF5CC65"/>
    <w:rsid w:val="715C0E4B"/>
    <w:rsid w:val="72734D90"/>
    <w:rsid w:val="73AD73D5"/>
    <w:rsid w:val="73B6EB34"/>
    <w:rsid w:val="744731E5"/>
    <w:rsid w:val="76E3355F"/>
    <w:rsid w:val="778769C8"/>
    <w:rsid w:val="79C207E7"/>
    <w:rsid w:val="79EE5BA4"/>
    <w:rsid w:val="7A1B4096"/>
    <w:rsid w:val="7A894339"/>
    <w:rsid w:val="7EEF11D3"/>
    <w:rsid w:val="7FA30C79"/>
    <w:rsid w:val="7FB7269E"/>
    <w:rsid w:val="7FC96657"/>
    <w:rsid w:val="D8D6DB89"/>
    <w:rsid w:val="DB6F4CAB"/>
    <w:rsid w:val="DF6F9789"/>
    <w:rsid w:val="DFFD1A9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ToCaption"/>
    <w:basedOn w:val="1"/>
    <w:next w:val="1"/>
    <w:qFormat/>
    <w:uiPriority w:val="0"/>
    <w:pPr>
      <w:ind w:left="400" w:leftChars="200" w:hanging="200" w:hangingChars="200"/>
      <w:textAlignment w:val="baseline"/>
    </w:pPr>
  </w:style>
  <w:style w:type="paragraph" w:styleId="6">
    <w:name w:val="Salutation"/>
    <w:basedOn w:val="1"/>
    <w:next w:val="1"/>
    <w:qFormat/>
    <w:uiPriority w:val="0"/>
    <w:pPr>
      <w:spacing w:line="240" w:lineRule="auto"/>
      <w:ind w:firstLine="0"/>
    </w:pPr>
    <w:rPr>
      <w:rFonts w:ascii="Calibri" w:hAnsi="Calibri" w:eastAsia="宋体"/>
      <w:sz w:val="21"/>
    </w:rPr>
  </w:style>
  <w:style w:type="paragraph" w:styleId="7">
    <w:name w:val="Body Text"/>
    <w:basedOn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3"/>
    <w:qFormat/>
    <w:uiPriority w:val="9"/>
    <w:rPr>
      <w:rFonts w:ascii="Times New Roman" w:hAnsi="Times New Roman"/>
      <w:b/>
      <w:bCs/>
      <w:kern w:val="44"/>
      <w:sz w:val="44"/>
      <w:szCs w:val="44"/>
    </w:rPr>
  </w:style>
  <w:style w:type="character" w:customStyle="1" w:styleId="32">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1"/>
    <w:semiHidden/>
    <w:qFormat/>
    <w:uiPriority w:val="99"/>
    <w:rPr>
      <w:rFonts w:ascii="Times New Roman" w:hAnsi="Times New Roman"/>
      <w:kern w:val="2"/>
      <w:sz w:val="18"/>
      <w:szCs w:val="18"/>
    </w:rPr>
  </w:style>
  <w:style w:type="character" w:customStyle="1" w:styleId="35">
    <w:name w:val="标题 3 Char"/>
    <w:basedOn w:val="19"/>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media/kylin/0888034e-1a56-4724-8e18-41ade9cbcbc22/&#31185;&#21327;&#36130;&#21153;&#36164;&#26009;/&#31185;&#21327;&#36130;&#21153;&#36164;&#26009;/AAA&#36130;&#21153;&#36164;&#26009;/A&#20844;&#25991;&#21253;/2025&#24180;&#20844;&#25991;&#21253;/2025&#24180;&#36130;&#21153;&#25253;&#34920;/2025&#24180;&#24230;&#20915;&#31639;&#20844;&#24320;/&#20915;&#31639;&#20844;&#24320;&#30011;&#22270;202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106.65</c:v>
                </c:pt>
                <c:pt idx="1">
                  <c:v>106.65</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103.22</c:v>
                </c:pt>
                <c:pt idx="1">
                  <c:v>103.22</c:v>
                </c:pt>
              </c:numCache>
            </c:numRef>
          </c:val>
        </c:ser>
        <c:dLbls>
          <c:showLegendKey val="0"/>
          <c:showVal val="0"/>
          <c:showCatName val="0"/>
          <c:showSerName val="0"/>
          <c:showPercent val="0"/>
          <c:showBubbleSize val="0"/>
        </c:dLbls>
        <c:gapWidth val="246"/>
        <c:overlap val="-28"/>
        <c:axId val="368193348"/>
        <c:axId val="28662419"/>
      </c:barChart>
      <c:catAx>
        <c:axId val="368193348"/>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662419"/>
        <c:crosses val="autoZero"/>
        <c:auto val="1"/>
        <c:lblAlgn val="ctr"/>
        <c:lblOffset val="100"/>
        <c:noMultiLvlLbl val="0"/>
      </c:catAx>
      <c:valAx>
        <c:axId val="28662419"/>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金额：万元</a:t>
                </a:r>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1933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95bd7fa-e8ff-4532-81ef-d7f522f53a9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年收入决算结构图</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0"/>
              <c:delete val="1"/>
            </c:dLbl>
            <c:dLbl>
              <c:idx val="1"/>
              <c:delete val="1"/>
            </c:dLbl>
            <c:dLbl>
              <c:idx val="2"/>
              <c:delete val="1"/>
            </c:dLbl>
            <c:dLbl>
              <c:idx val="3"/>
              <c:delete val="1"/>
            </c:dLbl>
            <c:dLbl>
              <c:idx val="4"/>
              <c:delete val="1"/>
            </c:dLbl>
            <c:dLbl>
              <c:idx val="5"/>
              <c:delete val="1"/>
            </c:dLbl>
            <c:dLbl>
              <c:idx val="6"/>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[决算公开画图2025.xlsx]Sheet1!$F$3:$F$9</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[决算公开画图2025.xlsx]Sheet1!$G$3:$G$9</c:f>
              <c:numCache>
                <c:formatCode>General</c:formatCode>
                <c:ptCount val="7"/>
                <c:pt idx="0">
                  <c:v>164.39</c:v>
                </c:pt>
                <c:pt idx="1">
                  <c:v>0</c:v>
                </c:pt>
                <c:pt idx="2">
                  <c:v>0</c:v>
                </c:pt>
                <c:pt idx="3">
                  <c:v>0</c:v>
                </c:pt>
                <c:pt idx="4">
                  <c:v>0</c:v>
                </c:pt>
                <c:pt idx="5">
                  <c:v>0</c:v>
                </c:pt>
                <c:pt idx="6">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4e01deb-5cf2-40c0-b1eb-f84fd37a7ca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103.22</c:v>
                </c:pt>
                <c:pt idx="1">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6eb9834-1dff-4b47-b181-26db371d28c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106.65</c:v>
                </c:pt>
                <c:pt idx="1">
                  <c:v>106.65</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103.22</c:v>
                </c:pt>
                <c:pt idx="1">
                  <c:v>103.22</c:v>
                </c:pt>
              </c:numCache>
            </c:numRef>
          </c:val>
        </c:ser>
        <c:dLbls>
          <c:showLegendKey val="0"/>
          <c:showVal val="1"/>
          <c:showCatName val="0"/>
          <c:showSerName val="0"/>
          <c:showPercent val="0"/>
          <c:showBubbleSize val="0"/>
        </c:dLbls>
        <c:gapWidth val="246"/>
        <c:overlap val="-28"/>
        <c:axId val="173341794"/>
        <c:axId val="928037412"/>
      </c:barChart>
      <c:catAx>
        <c:axId val="173341794"/>
        <c:scaling>
          <c:orientation val="minMax"/>
        </c:scaling>
        <c:delete val="0"/>
        <c:axPos val="b"/>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8037412"/>
        <c:crosses val="autoZero"/>
        <c:auto val="1"/>
        <c:lblAlgn val="ctr"/>
        <c:lblOffset val="100"/>
        <c:noMultiLvlLbl val="0"/>
      </c:catAx>
      <c:valAx>
        <c:axId val="928037412"/>
        <c:scaling>
          <c:orientation val="minMax"/>
        </c:scaling>
        <c:delete val="0"/>
        <c:axPos val="l"/>
        <c:majorGridlines>
          <c:spPr>
            <a:ln w="9525" cap="flat" cmpd="sng" algn="ctr">
              <a:solidFill>
                <a:schemeClr val="lt1">
                  <a:lumMod val="902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金额：万元</a:t>
                </a:r>
              </a:p>
            </c:rich>
          </c:tx>
          <c:layout/>
          <c:overlay val="0"/>
          <c:spPr>
            <a:noFill/>
            <a:ln>
              <a:noFill/>
            </a:ln>
            <a:effectLst/>
          </c:spPr>
        </c:title>
        <c:numFmt formatCode="General" sourceLinked="1"/>
        <c:majorTickMark val="out"/>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3417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00c2ee9-505f-487a-b1f3-fa44a21f291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b="0">
                <a:latin typeface="方正仿宋_GBK" panose="03000509000000000000" charset="-122"/>
                <a:ea typeface="方正仿宋_GBK" panose="03000509000000000000" charset="-122"/>
              </a:rPr>
              <a:t>一般公共预算财政拨款支出（万元）</a:t>
            </a:r>
            <a:endParaRPr b="0">
              <a:latin typeface="方正仿宋_GBK" panose="03000509000000000000" charset="-122"/>
              <a:ea typeface="方正仿宋_GBK" panose="03000509000000000000" charset="-122"/>
            </a:endParaRPr>
          </a:p>
        </c:rich>
      </c:tx>
      <c:layout>
        <c:manualLayout>
          <c:xMode val="edge"/>
          <c:yMode val="edge"/>
          <c:x val="0.220815961882073"/>
          <c:y val="0.03996003996004"/>
        </c:manualLayout>
      </c:layout>
      <c:overlay val="0"/>
      <c:spPr>
        <a:noFill/>
        <a:ln>
          <a:noFill/>
        </a:ln>
        <a:effectLst/>
      </c:spPr>
    </c:title>
    <c:autoTitleDeleted val="0"/>
    <c:plotArea>
      <c:layout/>
      <c:barChart>
        <c:barDir val="col"/>
        <c:grouping val="clustered"/>
        <c:varyColors val="0"/>
        <c:ser>
          <c:idx val="0"/>
          <c:order val="0"/>
          <c:tx>
            <c:strRef>
              <c:f>Sheet2!$B$1</c:f>
              <c:strCache>
                <c:ptCount val="1"/>
                <c:pt idx="0">
                  <c:v>一般公共预算财政拨款支出（万元）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Sheet2!$A$2:$A$3</c:f>
              <c:strCache>
                <c:ptCount val="2"/>
                <c:pt idx="0">
                  <c:v>2024年</c:v>
                </c:pt>
                <c:pt idx="1">
                  <c:v>2025年</c:v>
                </c:pt>
              </c:strCache>
            </c:strRef>
          </c:cat>
          <c:val>
            <c:numRef>
              <c:f>Sheet2!$B$2:$B$3</c:f>
              <c:numCache>
                <c:formatCode>General</c:formatCode>
                <c:ptCount val="2"/>
                <c:pt idx="0">
                  <c:v>106.65</c:v>
                </c:pt>
                <c:pt idx="1">
                  <c:v>103.22</c:v>
                </c:pt>
              </c:numCache>
            </c:numRef>
          </c:val>
        </c:ser>
        <c:dLbls>
          <c:showLegendKey val="0"/>
          <c:showVal val="1"/>
          <c:showCatName val="0"/>
          <c:showSerName val="0"/>
          <c:showPercent val="0"/>
          <c:showBubbleSize val="0"/>
        </c:dLbls>
        <c:gapWidth val="246"/>
        <c:overlap val="-28"/>
        <c:axId val="846726967"/>
        <c:axId val="493808295"/>
      </c:barChart>
      <c:catAx>
        <c:axId val="846726967"/>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3808295"/>
        <c:crosses val="autoZero"/>
        <c:auto val="1"/>
        <c:lblAlgn val="ctr"/>
        <c:lblOffset val="100"/>
        <c:noMultiLvlLbl val="0"/>
      </c:catAx>
      <c:valAx>
        <c:axId val="4938082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726967"/>
        <c:crosses val="autoZero"/>
        <c:crossBetween val="between"/>
      </c:valAx>
      <c:spPr>
        <a:noFill/>
        <a:ln>
          <a:noFill/>
        </a:ln>
        <a:effectLst/>
      </c:spPr>
    </c:plotArea>
    <c:plotVisOnly val="1"/>
    <c:dispBlanksAs val="gap"/>
    <c:showDLblsOverMax val="0"/>
    <c:extLst>
      <c:ext uri="{0b15fc19-7d7d-44ad-8c2d-2c3a37ce22c3}">
        <chartProps xmlns="https://web.wps.cn/et/2018/main" chartId="{856c97eb-6aa7-4218-b966-73919b70efa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88.16</c:v>
                </c:pt>
                <c:pt idx="1">
                  <c:v>4.73</c:v>
                </c:pt>
                <c:pt idx="2">
                  <c:v>3.21</c:v>
                </c:pt>
                <c:pt idx="3">
                  <c:v>7.11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d20d35-8800-4268-a5be-3ba6e477f66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8ecef94-5902-4523-ae8d-f3dcdc281b52}"/>
        <w:style w:val=""/>
        <w:category>
          <w:name w:val="常规"/>
          <w:gallery w:val="placeholder"/>
        </w:category>
        <w:types>
          <w:type w:val="bbPlcHdr"/>
        </w:types>
        <w:behaviors>
          <w:behavior w:val="content"/>
        </w:behaviors>
        <w:description w:val=""/>
        <w:guid w:val="{38ecef94-5902-4523-ae8d-f3dcdc281b52}"/>
      </w:docPartPr>
      <w:docPartBody>
        <w:p w14:paraId="664D376A">
          <w:r>
            <w:rPr>
              <w:color w:val="808080"/>
            </w:rPr>
            <w:t>单击此处输入文字。</w:t>
          </w:r>
        </w:p>
      </w:docPartBody>
    </w:docPart>
    <w:docPart>
      <w:docPartPr>
        <w:name w:val="{38e32eca-91db-48bb-a838-1acefd3d438c}"/>
        <w:style w:val=""/>
        <w:category>
          <w:name w:val="常规"/>
          <w:gallery w:val="placeholder"/>
        </w:category>
        <w:types>
          <w:type w:val="bbPlcHdr"/>
        </w:types>
        <w:behaviors>
          <w:behavior w:val="content"/>
        </w:behaviors>
        <w:description w:val=""/>
        <w:guid w:val="{38e32eca-91db-48bb-a838-1acefd3d438c}"/>
      </w:docPartPr>
      <w:docPartBody>
        <w:p w14:paraId="22D432CD">
          <w:r>
            <w:rPr>
              <w:color w:val="808080"/>
            </w:rPr>
            <w:t>单击此处输入文字。</w:t>
          </w:r>
        </w:p>
      </w:docPartBody>
    </w:docPart>
    <w:docPart>
      <w:docPartPr>
        <w:name w:val="{0d276873-cbb3-43e0-9b1e-96ff4242519b}"/>
        <w:style w:val=""/>
        <w:category>
          <w:name w:val="常规"/>
          <w:gallery w:val="placeholder"/>
        </w:category>
        <w:types>
          <w:type w:val="bbPlcHdr"/>
        </w:types>
        <w:behaviors>
          <w:behavior w:val="content"/>
        </w:behaviors>
        <w:description w:val=""/>
        <w:guid w:val="{0d276873-cbb3-43e0-9b1e-96ff4242519b}"/>
      </w:docPartPr>
      <w:docPartBody>
        <w:p w14:paraId="3CC299C8">
          <w:r>
            <w:rPr>
              <w:color w:val="808080"/>
            </w:rPr>
            <w:t>单击此处输入文字。</w:t>
          </w:r>
        </w:p>
      </w:docPartBody>
    </w:docPart>
    <w:docPart>
      <w:docPartPr>
        <w:name w:val="{c635b9b5-8dd0-403f-98db-945bc351bcdf}"/>
        <w:style w:val=""/>
        <w:category>
          <w:name w:val="常规"/>
          <w:gallery w:val="placeholder"/>
        </w:category>
        <w:types>
          <w:type w:val="bbPlcHdr"/>
        </w:types>
        <w:behaviors>
          <w:behavior w:val="content"/>
        </w:behaviors>
        <w:description w:val=""/>
        <w:guid w:val="{c635b9b5-8dd0-403f-98db-945bc351bcdf}"/>
      </w:docPartPr>
      <w:docPartBody>
        <w:p w14:paraId="4A6A91A2">
          <w:r>
            <w:rPr>
              <w:color w:val="808080"/>
            </w:rPr>
            <w:t>单击此处输入文字。</w:t>
          </w:r>
        </w:p>
      </w:docPartBody>
    </w:docPart>
    <w:docPart>
      <w:docPartPr>
        <w:name w:val="{752c8316-53dd-4c39-bb90-2668de07c0ac}"/>
        <w:style w:val=""/>
        <w:category>
          <w:name w:val="常规"/>
          <w:gallery w:val="placeholder"/>
        </w:category>
        <w:types>
          <w:type w:val="bbPlcHdr"/>
        </w:types>
        <w:behaviors>
          <w:behavior w:val="content"/>
        </w:behaviors>
        <w:description w:val=""/>
        <w:guid w:val="{752c8316-53dd-4c39-bb90-2668de07c0ac}"/>
      </w:docPartPr>
      <w:docPartBody>
        <w:p w14:paraId="75812F6C">
          <w:r>
            <w:rPr>
              <w:color w:val="808080"/>
            </w:rPr>
            <w:t>单击此处输入文字。</w:t>
          </w:r>
        </w:p>
      </w:docPartBody>
    </w:docPart>
    <w:docPart>
      <w:docPartPr>
        <w:name w:val="{faeecf69-7122-467a-9ef9-ce31c8566b8c}"/>
        <w:style w:val=""/>
        <w:category>
          <w:name w:val="常规"/>
          <w:gallery w:val="placeholder"/>
        </w:category>
        <w:types>
          <w:type w:val="bbPlcHdr"/>
        </w:types>
        <w:behaviors>
          <w:behavior w:val="content"/>
        </w:behaviors>
        <w:description w:val=""/>
        <w:guid w:val="{faeecf69-7122-467a-9ef9-ce31c8566b8c}"/>
      </w:docPartPr>
      <w:docPartBody>
        <w:p w14:paraId="47F4896D">
          <w:r>
            <w:rPr>
              <w:color w:val="808080"/>
            </w:rPr>
            <w:t>单击此处输入文字。</w:t>
          </w:r>
        </w:p>
      </w:docPartBody>
    </w:docPart>
    <w:docPart>
      <w:docPartPr>
        <w:name w:val="{d4da7243-0be9-4322-bb4e-14408e3c21cb}"/>
        <w:style w:val=""/>
        <w:category>
          <w:name w:val="常规"/>
          <w:gallery w:val="placeholder"/>
        </w:category>
        <w:types>
          <w:type w:val="bbPlcHdr"/>
        </w:types>
        <w:behaviors>
          <w:behavior w:val="content"/>
        </w:behaviors>
        <w:description w:val=""/>
        <w:guid w:val="{d4da7243-0be9-4322-bb4e-14408e3c21cb}"/>
      </w:docPartPr>
      <w:docPartBody>
        <w:p w14:paraId="0E7A1253">
          <w:r>
            <w:rPr>
              <w:color w:val="808080"/>
            </w:rPr>
            <w:t>单击此处输入文字。</w:t>
          </w:r>
        </w:p>
      </w:docPartBody>
    </w:docPart>
    <w:docPart>
      <w:docPartPr>
        <w:name w:val="{45c74954-a477-443e-8719-5583d091caed}"/>
        <w:style w:val=""/>
        <w:category>
          <w:name w:val="常规"/>
          <w:gallery w:val="placeholder"/>
        </w:category>
        <w:types>
          <w:type w:val="bbPlcHdr"/>
        </w:types>
        <w:behaviors>
          <w:behavior w:val="content"/>
        </w:behaviors>
        <w:description w:val=""/>
        <w:guid w:val="{45c74954-a477-443e-8719-5583d091caed}"/>
      </w:docPartPr>
      <w:docPartBody>
        <w:p w14:paraId="75EDF84C">
          <w:r>
            <w:rPr>
              <w:color w:val="808080"/>
            </w:rPr>
            <w:t>单击此处输入文字。</w:t>
          </w:r>
        </w:p>
      </w:docPartBody>
    </w:docPart>
    <w:docPart>
      <w:docPartPr>
        <w:name w:val="{a9e5c1c2-89ec-4c7b-827a-f97a0463f76b}"/>
        <w:style w:val=""/>
        <w:category>
          <w:name w:val="常规"/>
          <w:gallery w:val="placeholder"/>
        </w:category>
        <w:types>
          <w:type w:val="bbPlcHdr"/>
        </w:types>
        <w:behaviors>
          <w:behavior w:val="content"/>
        </w:behaviors>
        <w:description w:val=""/>
        <w:guid w:val="{a9e5c1c2-89ec-4c7b-827a-f97a0463f76b}"/>
      </w:docPartPr>
      <w:docPartBody>
        <w:p w14:paraId="5205CB5B">
          <w:r>
            <w:rPr>
              <w:color w:val="808080"/>
            </w:rPr>
            <w:t>单击此处输入文字。</w:t>
          </w:r>
        </w:p>
      </w:docPartBody>
    </w:docPart>
    <w:docPart>
      <w:docPartPr>
        <w:name w:val="{a93befac-47f5-473e-8443-49bda7671bd3}"/>
        <w:style w:val=""/>
        <w:category>
          <w:name w:val="常规"/>
          <w:gallery w:val="placeholder"/>
        </w:category>
        <w:types>
          <w:type w:val="bbPlcHdr"/>
        </w:types>
        <w:behaviors>
          <w:behavior w:val="content"/>
        </w:behaviors>
        <w:description w:val=""/>
        <w:guid w:val="{a93befac-47f5-473e-8443-49bda7671bd3}"/>
      </w:docPartPr>
      <w:docPartBody>
        <w:p w14:paraId="7F9386EA">
          <w:r>
            <w:rPr>
              <w:color w:val="808080"/>
            </w:rPr>
            <w:t>单击此处输入文字。</w:t>
          </w:r>
        </w:p>
      </w:docPartBody>
    </w:docPart>
    <w:docPart>
      <w:docPartPr>
        <w:name w:val="{337801bc-72e2-409e-9b2a-b3135f0dba1f}"/>
        <w:style w:val=""/>
        <w:category>
          <w:name w:val="常规"/>
          <w:gallery w:val="placeholder"/>
        </w:category>
        <w:types>
          <w:type w:val="bbPlcHdr"/>
        </w:types>
        <w:behaviors>
          <w:behavior w:val="content"/>
        </w:behaviors>
        <w:description w:val=""/>
        <w:guid w:val="{337801bc-72e2-409e-9b2a-b3135f0dba1f}"/>
      </w:docPartPr>
      <w:docPartBody>
        <w:p w14:paraId="056B22D9">
          <w:r>
            <w:rPr>
              <w:color w:val="808080"/>
            </w:rPr>
            <w:t>单击此处输入文字。</w:t>
          </w:r>
        </w:p>
      </w:docPartBody>
    </w:docPart>
    <w:docPart>
      <w:docPartPr>
        <w:name w:val="{6f341652-f6fc-403c-bd63-fda70a847a09}"/>
        <w:style w:val=""/>
        <w:category>
          <w:name w:val="常规"/>
          <w:gallery w:val="placeholder"/>
        </w:category>
        <w:types>
          <w:type w:val="bbPlcHdr"/>
        </w:types>
        <w:behaviors>
          <w:behavior w:val="content"/>
        </w:behaviors>
        <w:description w:val=""/>
        <w:guid w:val="{6f341652-f6fc-403c-bd63-fda70a847a09}"/>
      </w:docPartPr>
      <w:docPartBody>
        <w:p w14:paraId="445C081A">
          <w:r>
            <w:rPr>
              <w:color w:val="808080"/>
            </w:rPr>
            <w:t>单击此处输入文字。</w:t>
          </w:r>
        </w:p>
      </w:docPartBody>
    </w:docPart>
    <w:docPart>
      <w:docPartPr>
        <w:name w:val="{0e4bfcc7-53b1-48f4-846c-abc92f584d68}"/>
        <w:style w:val=""/>
        <w:category>
          <w:name w:val="常规"/>
          <w:gallery w:val="placeholder"/>
        </w:category>
        <w:types>
          <w:type w:val="bbPlcHdr"/>
        </w:types>
        <w:behaviors>
          <w:behavior w:val="content"/>
        </w:behaviors>
        <w:description w:val=""/>
        <w:guid w:val="{0e4bfcc7-53b1-48f4-846c-abc92f584d68}"/>
      </w:docPartPr>
      <w:docPartBody>
        <w:p w14:paraId="01CD61AC">
          <w:r>
            <w:rPr>
              <w:color w:val="808080"/>
            </w:rPr>
            <w:t>单击此处输入文字。</w:t>
          </w:r>
        </w:p>
      </w:docPartBody>
    </w:docPart>
    <w:docPart>
      <w:docPartPr>
        <w:name w:val="{02beafa0-5e31-454f-8a6a-6e419e83594c}"/>
        <w:style w:val=""/>
        <w:category>
          <w:name w:val="常规"/>
          <w:gallery w:val="placeholder"/>
        </w:category>
        <w:types>
          <w:type w:val="bbPlcHdr"/>
        </w:types>
        <w:behaviors>
          <w:behavior w:val="content"/>
        </w:behaviors>
        <w:description w:val=""/>
        <w:guid w:val="{02beafa0-5e31-454f-8a6a-6e419e83594c}"/>
      </w:docPartPr>
      <w:docPartBody>
        <w:p w14:paraId="347ACA56">
          <w:r>
            <w:rPr>
              <w:color w:val="808080"/>
            </w:rPr>
            <w:t>单击此处输入文字。</w:t>
          </w:r>
        </w:p>
      </w:docPartBody>
    </w:docPart>
    <w:docPart>
      <w:docPartPr>
        <w:name w:val="{eb3b63fe-080e-41ba-bdc0-f1f8e37fa45b}"/>
        <w:style w:val=""/>
        <w:category>
          <w:name w:val="常规"/>
          <w:gallery w:val="placeholder"/>
        </w:category>
        <w:types>
          <w:type w:val="bbPlcHdr"/>
        </w:types>
        <w:behaviors>
          <w:behavior w:val="content"/>
        </w:behaviors>
        <w:description w:val=""/>
        <w:guid w:val="{eb3b63fe-080e-41ba-bdc0-f1f8e37fa45b}"/>
      </w:docPartPr>
      <w:docPartBody>
        <w:p w14:paraId="4A8648D6">
          <w:r>
            <w:rPr>
              <w:color w:val="808080"/>
            </w:rPr>
            <w:t>单击此处输入文字。</w:t>
          </w:r>
        </w:p>
      </w:docPartBody>
    </w:docPart>
    <w:docPart>
      <w:docPartPr>
        <w:name w:val="{5f716dfd-c44e-42d9-bb8d-a05d194c4004}"/>
        <w:style w:val=""/>
        <w:category>
          <w:name w:val="常规"/>
          <w:gallery w:val="placeholder"/>
        </w:category>
        <w:types>
          <w:type w:val="bbPlcHdr"/>
        </w:types>
        <w:behaviors>
          <w:behavior w:val="content"/>
        </w:behaviors>
        <w:description w:val=""/>
        <w:guid w:val="{5f716dfd-c44e-42d9-bb8d-a05d194c4004}"/>
      </w:docPartPr>
      <w:docPartBody>
        <w:p w14:paraId="46B1DB39">
          <w:r>
            <w:rPr>
              <w:color w:val="808080"/>
            </w:rPr>
            <w:t>单击此处输入文字。</w:t>
          </w:r>
        </w:p>
      </w:docPartBody>
    </w:docPart>
    <w:docPart>
      <w:docPartPr>
        <w:name w:val="{ec1cab99-81e7-4f80-b919-7999a162743f}"/>
        <w:style w:val=""/>
        <w:category>
          <w:name w:val="常规"/>
          <w:gallery w:val="placeholder"/>
        </w:category>
        <w:types>
          <w:type w:val="bbPlcHdr"/>
        </w:types>
        <w:behaviors>
          <w:behavior w:val="content"/>
        </w:behaviors>
        <w:description w:val=""/>
        <w:guid w:val="{ec1cab99-81e7-4f80-b919-7999a162743f}"/>
      </w:docPartPr>
      <w:docPartBody>
        <w:p w14:paraId="0E634A85">
          <w:r>
            <w:rPr>
              <w:color w:val="808080"/>
            </w:rPr>
            <w:t>单击此处输入文字。</w:t>
          </w:r>
        </w:p>
      </w:docPartBody>
    </w:docPart>
    <w:docPart>
      <w:docPartPr>
        <w:name w:val="{03c61c13-7ed7-450b-bd41-538d1a4befca}"/>
        <w:style w:val=""/>
        <w:category>
          <w:name w:val="常规"/>
          <w:gallery w:val="placeholder"/>
        </w:category>
        <w:types>
          <w:type w:val="bbPlcHdr"/>
        </w:types>
        <w:behaviors>
          <w:behavior w:val="content"/>
        </w:behaviors>
        <w:description w:val=""/>
        <w:guid w:val="{03c61c13-7ed7-450b-bd41-538d1a4befca}"/>
      </w:docPartPr>
      <w:docPartBody>
        <w:p w14:paraId="47FD4C54">
          <w:r>
            <w:rPr>
              <w:color w:val="808080"/>
            </w:rPr>
            <w:t>单击此处输入文字。</w:t>
          </w:r>
        </w:p>
      </w:docPartBody>
    </w:docPart>
    <w:docPart>
      <w:docPartPr>
        <w:name w:val="{63a26222-1a33-4770-9b41-4c7b64a34372}"/>
        <w:style w:val=""/>
        <w:category>
          <w:name w:val="常规"/>
          <w:gallery w:val="placeholder"/>
        </w:category>
        <w:types>
          <w:type w:val="bbPlcHdr"/>
        </w:types>
        <w:behaviors>
          <w:behavior w:val="content"/>
        </w:behaviors>
        <w:description w:val=""/>
        <w:guid w:val="{63a26222-1a33-4770-9b41-4c7b64a34372}"/>
      </w:docPartPr>
      <w:docPartBody>
        <w:p w14:paraId="1AFCBC5A">
          <w:r>
            <w:rPr>
              <w:color w:val="808080"/>
            </w:rPr>
            <w:t>单击此处输入文字。</w:t>
          </w:r>
        </w:p>
      </w:docPartBody>
    </w:docPart>
    <w:docPart>
      <w:docPartPr>
        <w:name w:val="{55593fbd-7cd2-419a-929a-31ef07a7e071}"/>
        <w:style w:val=""/>
        <w:category>
          <w:name w:val="常规"/>
          <w:gallery w:val="placeholder"/>
        </w:category>
        <w:types>
          <w:type w:val="bbPlcHdr"/>
        </w:types>
        <w:behaviors>
          <w:behavior w:val="content"/>
        </w:behaviors>
        <w:description w:val=""/>
        <w:guid w:val="{55593fbd-7cd2-419a-929a-31ef07a7e071}"/>
      </w:docPartPr>
      <w:docPartBody>
        <w:p w14:paraId="7CFAD170">
          <w:r>
            <w:rPr>
              <w:color w:val="808080"/>
            </w:rPr>
            <w:t>单击此处输入文字。</w:t>
          </w:r>
        </w:p>
      </w:docPartBody>
    </w:docPart>
    <w:docPart>
      <w:docPartPr>
        <w:name w:val="{b79498a1-7b4d-4c63-9ba6-265dbbdc1d73}"/>
        <w:style w:val=""/>
        <w:category>
          <w:name w:val="常规"/>
          <w:gallery w:val="placeholder"/>
        </w:category>
        <w:types>
          <w:type w:val="bbPlcHdr"/>
        </w:types>
        <w:behaviors>
          <w:behavior w:val="content"/>
        </w:behaviors>
        <w:description w:val=""/>
        <w:guid w:val="{b79498a1-7b4d-4c63-9ba6-265dbbdc1d73}"/>
      </w:docPartPr>
      <w:docPartBody>
        <w:p w14:paraId="0F83367A">
          <w:r>
            <w:rPr>
              <w:color w:val="808080"/>
            </w:rPr>
            <w:t>单击此处输入文字。</w:t>
          </w:r>
        </w:p>
      </w:docPartBody>
    </w:docPart>
    <w:docPart>
      <w:docPartPr>
        <w:name w:val="{9bfa4cc0-aded-47df-bdf0-3d0d28fe4673}"/>
        <w:style w:val=""/>
        <w:category>
          <w:name w:val="常规"/>
          <w:gallery w:val="placeholder"/>
        </w:category>
        <w:types>
          <w:type w:val="bbPlcHdr"/>
        </w:types>
        <w:behaviors>
          <w:behavior w:val="content"/>
        </w:behaviors>
        <w:description w:val=""/>
        <w:guid w:val="{9bfa4cc0-aded-47df-bdf0-3d0d28fe4673}"/>
      </w:docPartPr>
      <w:docPartBody>
        <w:p w14:paraId="59C9B915">
          <w:r>
            <w:rPr>
              <w:color w:val="808080"/>
            </w:rPr>
            <w:t>单击此处输入文字。</w:t>
          </w:r>
        </w:p>
      </w:docPartBody>
    </w:docPart>
    <w:docPart>
      <w:docPartPr>
        <w:name w:val="{e7fccdb1-95f6-434d-bb4b-72eb4d384d01}"/>
        <w:style w:val=""/>
        <w:category>
          <w:name w:val="常规"/>
          <w:gallery w:val="placeholder"/>
        </w:category>
        <w:types>
          <w:type w:val="bbPlcHdr"/>
        </w:types>
        <w:behaviors>
          <w:behavior w:val="content"/>
        </w:behaviors>
        <w:description w:val=""/>
        <w:guid w:val="{e7fccdb1-95f6-434d-bb4b-72eb4d384d01}"/>
      </w:docPartPr>
      <w:docPartBody>
        <w:p w14:paraId="1A81C11C">
          <w:r>
            <w:rPr>
              <w:color w:val="808080"/>
            </w:rPr>
            <w:t>单击此处输入文字。</w:t>
          </w:r>
        </w:p>
      </w:docPartBody>
    </w:docPart>
    <w:docPart>
      <w:docPartPr>
        <w:name w:val="{ef853360-369b-4e6f-8f79-b8851c0452ec}"/>
        <w:style w:val=""/>
        <w:category>
          <w:name w:val="常规"/>
          <w:gallery w:val="placeholder"/>
        </w:category>
        <w:types>
          <w:type w:val="bbPlcHdr"/>
        </w:types>
        <w:behaviors>
          <w:behavior w:val="content"/>
        </w:behaviors>
        <w:description w:val=""/>
        <w:guid w:val="{ef853360-369b-4e6f-8f79-b8851c0452ec}"/>
      </w:docPartPr>
      <w:docPartBody>
        <w:p w14:paraId="54B03765">
          <w:r>
            <w:rPr>
              <w:color w:val="808080"/>
            </w:rPr>
            <w:t>单击此处输入文字。</w:t>
          </w:r>
        </w:p>
      </w:docPartBody>
    </w:docPart>
    <w:docPart>
      <w:docPartPr>
        <w:name w:val="{4c43cac6-ba4a-4647-a664-945256cacd50}"/>
        <w:style w:val=""/>
        <w:category>
          <w:name w:val="常规"/>
          <w:gallery w:val="placeholder"/>
        </w:category>
        <w:types>
          <w:type w:val="bbPlcHdr"/>
        </w:types>
        <w:behaviors>
          <w:behavior w:val="content"/>
        </w:behaviors>
        <w:description w:val=""/>
        <w:guid w:val="{4c43cac6-ba4a-4647-a664-945256cacd50}"/>
      </w:docPartPr>
      <w:docPartBody>
        <w:p w14:paraId="3629377C">
          <w:r>
            <w:rPr>
              <w:color w:val="808080"/>
            </w:rPr>
            <w:t>单击此处输入文字。</w:t>
          </w:r>
        </w:p>
      </w:docPartBody>
    </w:docPart>
    <w:docPart>
      <w:docPartPr>
        <w:name w:val="{20b7699f-ffdd-451f-9765-dd9260b91153}"/>
        <w:style w:val=""/>
        <w:category>
          <w:name w:val="常规"/>
          <w:gallery w:val="placeholder"/>
        </w:category>
        <w:types>
          <w:type w:val="bbPlcHdr"/>
        </w:types>
        <w:behaviors>
          <w:behavior w:val="content"/>
        </w:behaviors>
        <w:description w:val=""/>
        <w:guid w:val="{20b7699f-ffdd-451f-9765-dd9260b91153}"/>
      </w:docPartPr>
      <w:docPartBody>
        <w:p w14:paraId="082128F2">
          <w:r>
            <w:rPr>
              <w:color w:val="808080"/>
            </w:rPr>
            <w:t>单击此处输入文字。</w:t>
          </w:r>
        </w:p>
      </w:docPartBody>
    </w:docPart>
    <w:docPart>
      <w:docPartPr>
        <w:name w:val="{cb09fc81-1ca8-4857-9caf-1b68f236639a}"/>
        <w:style w:val=""/>
        <w:category>
          <w:name w:val="常规"/>
          <w:gallery w:val="placeholder"/>
        </w:category>
        <w:types>
          <w:type w:val="bbPlcHdr"/>
        </w:types>
        <w:behaviors>
          <w:behavior w:val="content"/>
        </w:behaviors>
        <w:description w:val=""/>
        <w:guid w:val="{cb09fc81-1ca8-4857-9caf-1b68f236639a}"/>
      </w:docPartPr>
      <w:docPartBody>
        <w:p w14:paraId="10C8104A">
          <w:r>
            <w:rPr>
              <w:color w:val="808080"/>
            </w:rPr>
            <w:t>单击此处输入文字。</w:t>
          </w:r>
        </w:p>
      </w:docPartBody>
    </w:docPart>
    <w:docPart>
      <w:docPartPr>
        <w:name w:val="{dc4588fd-e456-4dda-ad16-ef898c94a3d9}"/>
        <w:style w:val=""/>
        <w:category>
          <w:name w:val="常规"/>
          <w:gallery w:val="placeholder"/>
        </w:category>
        <w:types>
          <w:type w:val="bbPlcHdr"/>
        </w:types>
        <w:behaviors>
          <w:behavior w:val="content"/>
        </w:behaviors>
        <w:description w:val=""/>
        <w:guid w:val="{dc4588fd-e456-4dda-ad16-ef898c94a3d9}"/>
      </w:docPartPr>
      <w:docPartBody>
        <w:p w14:paraId="0238F7EF">
          <w:r>
            <w:rPr>
              <w:color w:val="808080"/>
            </w:rPr>
            <w:t>单击此处输入文字。</w:t>
          </w:r>
        </w:p>
      </w:docPartBody>
    </w:docPart>
    <w:docPart>
      <w:docPartPr>
        <w:name w:val="{29a7f29e-8064-423c-b7bb-203449848f0e}"/>
        <w:style w:val=""/>
        <w:category>
          <w:name w:val="常规"/>
          <w:gallery w:val="placeholder"/>
        </w:category>
        <w:types>
          <w:type w:val="bbPlcHdr"/>
        </w:types>
        <w:behaviors>
          <w:behavior w:val="content"/>
        </w:behaviors>
        <w:description w:val=""/>
        <w:guid w:val="{29a7f29e-8064-423c-b7bb-203449848f0e}"/>
      </w:docPartPr>
      <w:docPartBody>
        <w:p w14:paraId="0A1EFB2C">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3953</Words>
  <Characters>4360</Characters>
  <Lines>61</Lines>
  <Paragraphs>17</Paragraphs>
  <TotalTime>3</TotalTime>
  <ScaleCrop>false</ScaleCrop>
  <LinksUpToDate>false</LinksUpToDate>
  <CharactersWithSpaces>4424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2020-08-05T09:49:00Z</dcterms:created>
  <dc:creator>曹颖</dc:creator>
  <cp:lastModifiedBy>不能说的秘密</cp:lastModifiedBy>
  <cp:lastPrinted>2023-07-31T10:35:00Z</cp:lastPrinted>
  <dcterms:modified xsi:type="dcterms:W3CDTF">2026-10-14T07:45:22Z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99C6802276CC4D738854C25335A480C7</vt:lpwstr>
  </property>
  <property fmtid="{D5CDD505-2E9C-101B-9397-08002B2CF9AE}" pid="4" name="KSOTemplateDocerSaveRecord">
    <vt:lpwstr>eyJoZGlkIjoiN2I3YTI1ODZjYmFiY2Y4MDlhODc1ZjY1ZmRhMTgzM2EiLCJ1c2VySWQiOiIyNjcyNDkyNzQifQ==</vt:lpwstr>
  </property>
</Properties>
</file>