
<file path=[Content_Types].xml><?xml version="1.0" encoding="utf-8"?>
<Types xmlns="http://schemas.openxmlformats.org/package/2006/content-types">
  <Default Extension="xlsx" ContentType="application/vnd.openxmlformats-officedocument.spreadsheetml.shee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B9C50B">
      <w:pPr>
        <w:spacing w:line="600" w:lineRule="exact"/>
        <w:jc w:val="center"/>
        <w:outlineLvl w:val="0"/>
        <w:rPr>
          <w:rFonts w:ascii="方正小标宋简体" w:hAnsi="宋体" w:eastAsia="方正小标宋简体"/>
          <w:color w:val="auto"/>
          <w:sz w:val="72"/>
          <w:szCs w:val="72"/>
          <w:highlight w:val="none"/>
        </w:rPr>
      </w:pPr>
      <w:bookmarkStart w:id="0" w:name="_Toc15377425"/>
      <w:bookmarkStart w:id="1" w:name="_Toc15396475"/>
      <w:bookmarkStart w:id="2" w:name="_Toc15396597"/>
      <w:bookmarkStart w:id="3" w:name="_Toc15377193"/>
      <w:bookmarkStart w:id="4" w:name="_Toc15378441"/>
      <w:bookmarkStart w:id="5" w:name="_Toc15306267"/>
    </w:p>
    <w:p w14:paraId="6E8CC970">
      <w:pPr>
        <w:spacing w:line="600" w:lineRule="exact"/>
        <w:jc w:val="center"/>
        <w:outlineLvl w:val="0"/>
        <w:rPr>
          <w:rFonts w:ascii="方正小标宋简体" w:hAnsi="宋体" w:eastAsia="方正小标宋简体"/>
          <w:color w:val="auto"/>
          <w:sz w:val="72"/>
          <w:szCs w:val="72"/>
          <w:highlight w:val="none"/>
        </w:rPr>
      </w:pPr>
    </w:p>
    <w:p w14:paraId="450106B7">
      <w:pPr>
        <w:spacing w:line="600" w:lineRule="exact"/>
        <w:jc w:val="center"/>
        <w:outlineLvl w:val="0"/>
        <w:rPr>
          <w:rFonts w:ascii="方正小标宋简体" w:hAnsi="宋体" w:eastAsia="方正小标宋简体"/>
          <w:color w:val="auto"/>
          <w:sz w:val="72"/>
          <w:szCs w:val="72"/>
          <w:highlight w:val="none"/>
        </w:rPr>
      </w:pPr>
    </w:p>
    <w:p w14:paraId="70D8BF8F">
      <w:pPr>
        <w:adjustRightInd w:val="0"/>
        <w:snapToGrid w:val="0"/>
        <w:spacing w:line="360" w:lineRule="auto"/>
        <w:jc w:val="center"/>
        <w:outlineLvl w:val="0"/>
        <w:rPr>
          <w:rFonts w:hint="eastAsia" w:ascii="方正小标宋简体" w:hAnsi="方正小标宋简体" w:eastAsia="方正小标宋简体" w:cs="方正小标宋简体"/>
          <w:color w:val="auto"/>
          <w:sz w:val="72"/>
          <w:szCs w:val="72"/>
          <w:highlight w:val="none"/>
        </w:rPr>
      </w:pPr>
      <w:r>
        <w:rPr>
          <w:rFonts w:hint="eastAsia" w:ascii="方正小标宋简体" w:hAnsi="方正小标宋简体" w:eastAsia="方正小标宋简体" w:cs="方正小标宋简体"/>
          <w:color w:val="auto"/>
          <w:sz w:val="72"/>
          <w:szCs w:val="72"/>
          <w:highlight w:val="none"/>
          <w:lang w:eastAsia="zh-CN"/>
        </w:rPr>
        <w:t>2025</w:t>
      </w:r>
      <w:r>
        <w:rPr>
          <w:rFonts w:hint="eastAsia" w:ascii="方正小标宋简体" w:hAnsi="方正小标宋简体" w:eastAsia="方正小标宋简体" w:cs="方正小标宋简体"/>
          <w:color w:val="auto"/>
          <w:sz w:val="72"/>
          <w:szCs w:val="72"/>
          <w:highlight w:val="none"/>
        </w:rPr>
        <w:t>年度</w:t>
      </w:r>
      <w:bookmarkEnd w:id="0"/>
      <w:bookmarkEnd w:id="1"/>
      <w:bookmarkEnd w:id="2"/>
      <w:bookmarkEnd w:id="3"/>
      <w:bookmarkEnd w:id="4"/>
    </w:p>
    <w:p w14:paraId="2EB56C8D">
      <w:pPr>
        <w:adjustRightInd w:val="0"/>
        <w:snapToGrid w:val="0"/>
        <w:spacing w:line="360" w:lineRule="auto"/>
        <w:jc w:val="center"/>
        <w:outlineLvl w:val="0"/>
        <w:rPr>
          <w:rFonts w:hint="eastAsia" w:ascii="方正小标宋简体" w:hAnsi="方正小标宋简体" w:eastAsia="方正小标宋简体" w:cs="方正小标宋简体"/>
          <w:color w:val="auto"/>
          <w:sz w:val="72"/>
          <w:szCs w:val="72"/>
          <w:highlight w:val="none"/>
          <w:lang w:val="en-US" w:eastAsia="zh-CN"/>
        </w:rPr>
      </w:pPr>
      <w:bookmarkStart w:id="6" w:name="_Toc15396598"/>
      <w:bookmarkStart w:id="7" w:name="_Toc15377194"/>
      <w:bookmarkStart w:id="8" w:name="_Toc15377426"/>
      <w:bookmarkStart w:id="9" w:name="_Toc15378442"/>
      <w:bookmarkStart w:id="10" w:name="_Toc15396476"/>
      <w:r>
        <w:rPr>
          <w:rFonts w:hint="eastAsia" w:ascii="方正小标宋简体" w:hAnsi="方正小标宋简体" w:eastAsia="方正小标宋简体" w:cs="方正小标宋简体"/>
          <w:color w:val="auto"/>
          <w:sz w:val="72"/>
          <w:szCs w:val="72"/>
          <w:highlight w:val="none"/>
        </w:rPr>
        <w:t>四川省</w:t>
      </w:r>
      <w:bookmarkEnd w:id="5"/>
      <w:bookmarkStart w:id="11" w:name="_Toc15306268"/>
      <w:r>
        <w:rPr>
          <w:rFonts w:hint="eastAsia" w:ascii="方正小标宋简体" w:hAnsi="方正小标宋简体" w:eastAsia="方正小标宋简体" w:cs="方正小标宋简体"/>
          <w:color w:val="auto"/>
          <w:sz w:val="72"/>
          <w:szCs w:val="72"/>
          <w:highlight w:val="none"/>
          <w:lang w:val="en-US" w:eastAsia="zh-CN"/>
        </w:rPr>
        <w:t>小金县信访局机关</w:t>
      </w:r>
    </w:p>
    <w:p w14:paraId="65C16357">
      <w:pPr>
        <w:adjustRightInd w:val="0"/>
        <w:snapToGrid w:val="0"/>
        <w:spacing w:line="360" w:lineRule="auto"/>
        <w:jc w:val="center"/>
        <w:outlineLvl w:val="0"/>
        <w:rPr>
          <w:rFonts w:hint="eastAsia" w:ascii="方正小标宋简体" w:hAnsi="方正小标宋简体" w:eastAsia="方正小标宋简体" w:cs="方正小标宋简体"/>
          <w:color w:val="auto"/>
          <w:sz w:val="72"/>
          <w:szCs w:val="72"/>
          <w:highlight w:val="none"/>
        </w:rPr>
      </w:pPr>
      <w:r>
        <w:rPr>
          <w:rFonts w:hint="eastAsia" w:ascii="方正小标宋简体" w:hAnsi="方正小标宋简体" w:eastAsia="方正小标宋简体" w:cs="方正小标宋简体"/>
          <w:color w:val="auto"/>
          <w:sz w:val="72"/>
          <w:szCs w:val="72"/>
          <w:highlight w:val="none"/>
        </w:rPr>
        <w:t>部门决算</w:t>
      </w:r>
      <w:bookmarkEnd w:id="6"/>
      <w:bookmarkEnd w:id="7"/>
      <w:bookmarkEnd w:id="8"/>
      <w:bookmarkEnd w:id="9"/>
      <w:bookmarkEnd w:id="10"/>
      <w:bookmarkEnd w:id="11"/>
    </w:p>
    <w:p w14:paraId="719F98C2">
      <w:pPr>
        <w:adjustRightInd w:val="0"/>
        <w:snapToGrid w:val="0"/>
        <w:spacing w:line="360" w:lineRule="auto"/>
        <w:jc w:val="center"/>
        <w:outlineLvl w:val="0"/>
        <w:rPr>
          <w:rFonts w:ascii="方正小标宋简体" w:hAnsi="宋体" w:eastAsia="方正小标宋简体"/>
          <w:color w:val="auto"/>
          <w:sz w:val="52"/>
          <w:szCs w:val="52"/>
          <w:highlight w:val="none"/>
        </w:rPr>
      </w:pPr>
      <w:r>
        <w:rPr>
          <w:rFonts w:hint="eastAsia" w:ascii="方正小标宋简体" w:hAnsi="宋体" w:eastAsia="方正小标宋简体"/>
          <w:color w:val="auto"/>
          <w:sz w:val="52"/>
          <w:szCs w:val="52"/>
          <w:highlight w:val="none"/>
        </w:rPr>
        <w:t>(</w:t>
      </w:r>
      <w:r>
        <w:rPr>
          <w:rFonts w:hint="eastAsia" w:ascii="方正小标宋简体" w:hAnsi="宋体" w:eastAsia="方正小标宋简体"/>
          <w:color w:val="auto"/>
          <w:sz w:val="52"/>
          <w:szCs w:val="52"/>
          <w:highlight w:val="none"/>
          <w:lang w:val="en-US" w:eastAsia="zh-CN"/>
        </w:rPr>
        <w:t>机关</w:t>
      </w:r>
      <w:r>
        <w:rPr>
          <w:rFonts w:hint="eastAsia" w:ascii="方正小标宋简体" w:hAnsi="宋体" w:eastAsia="方正小标宋简体"/>
          <w:color w:val="auto"/>
          <w:sz w:val="52"/>
          <w:szCs w:val="52"/>
          <w:highlight w:val="none"/>
        </w:rPr>
        <w:t>)</w:t>
      </w:r>
    </w:p>
    <w:p w14:paraId="26141ECA">
      <w:pPr>
        <w:widowControl/>
        <w:jc w:val="center"/>
        <w:rPr>
          <w:rFonts w:ascii="黑体" w:hAnsi="黑体" w:eastAsia="黑体"/>
          <w:color w:val="auto"/>
          <w:sz w:val="48"/>
          <w:szCs w:val="48"/>
          <w:highlight w:val="none"/>
        </w:rPr>
      </w:pPr>
      <w:r>
        <w:rPr>
          <w:rFonts w:ascii="方正小标宋简体" w:hAnsi="宋体" w:eastAsia="方正小标宋简体"/>
          <w:color w:val="auto"/>
          <w:sz w:val="36"/>
          <w:szCs w:val="36"/>
          <w:highlight w:val="none"/>
        </w:rPr>
        <w:br w:type="page"/>
      </w:r>
      <w:r>
        <w:rPr>
          <w:rFonts w:hint="eastAsia" w:ascii="黑体" w:hAnsi="黑体" w:eastAsia="黑体"/>
          <w:color w:val="auto"/>
          <w:sz w:val="48"/>
          <w:szCs w:val="48"/>
          <w:highlight w:val="none"/>
        </w:rPr>
        <w:t>目录</w:t>
      </w:r>
    </w:p>
    <w:p w14:paraId="66927262">
      <w:pPr>
        <w:widowControl/>
        <w:jc w:val="center"/>
        <w:rPr>
          <w:rFonts w:ascii="黑体" w:hAnsi="黑体" w:eastAsia="黑体" w:cstheme="minorBidi"/>
          <w:color w:val="auto"/>
          <w:sz w:val="28"/>
          <w:szCs w:val="28"/>
          <w:highlight w:val="none"/>
        </w:rPr>
      </w:pPr>
    </w:p>
    <w:p w14:paraId="0678D925">
      <w:pPr>
        <w:pStyle w:val="14"/>
        <w:rPr>
          <w:color w:val="auto"/>
          <w:highlight w:val="none"/>
        </w:rPr>
      </w:pPr>
      <w:r>
        <w:rPr>
          <w:rFonts w:hint="eastAsia"/>
          <w:color w:val="auto"/>
          <w:highlight w:val="none"/>
        </w:rPr>
        <w:t>公开时间：20</w:t>
      </w:r>
      <w:r>
        <w:rPr>
          <w:rFonts w:hint="eastAsia"/>
          <w:color w:val="auto"/>
          <w:highlight w:val="none"/>
          <w:lang w:val="en-US" w:eastAsia="zh-CN"/>
        </w:rPr>
        <w:t>26</w:t>
      </w:r>
      <w:r>
        <w:rPr>
          <w:rFonts w:hint="eastAsia"/>
          <w:color w:val="auto"/>
          <w:highlight w:val="none"/>
        </w:rPr>
        <w:t>年</w:t>
      </w:r>
      <w:r>
        <w:rPr>
          <w:rFonts w:hint="eastAsia"/>
          <w:color w:val="auto"/>
          <w:highlight w:val="none"/>
          <w:lang w:val="en-US" w:eastAsia="zh-CN"/>
        </w:rPr>
        <w:t>10</w:t>
      </w:r>
      <w:r>
        <w:rPr>
          <w:rFonts w:hint="eastAsia"/>
          <w:color w:val="auto"/>
          <w:highlight w:val="none"/>
        </w:rPr>
        <w:t>月</w:t>
      </w:r>
      <w:r>
        <w:rPr>
          <w:rFonts w:hint="eastAsia"/>
          <w:color w:val="auto"/>
          <w:highlight w:val="none"/>
          <w:lang w:val="en-US" w:eastAsia="zh-CN"/>
        </w:rPr>
        <w:t xml:space="preserve">16日 </w:t>
      </w:r>
    </w:p>
    <w:sdt>
      <w:sdtPr>
        <w:rPr>
          <w:rFonts w:ascii="宋体" w:hAnsi="宋体" w:eastAsia="宋体" w:cs="Times New Roman"/>
          <w:kern w:val="2"/>
          <w:sz w:val="21"/>
          <w:szCs w:val="24"/>
          <w:lang w:val="en-US" w:eastAsia="zh-CN" w:bidi="ar-SA"/>
        </w:rPr>
        <w:id w:val="147475102"/>
        <w15:color w:val="DBDBDB"/>
        <w:docPartObj>
          <w:docPartGallery w:val="Table of Contents"/>
          <w:docPartUnique/>
        </w:docPartObj>
      </w:sdtPr>
      <w:sdtEndPr>
        <w:rPr>
          <w:rFonts w:hint="default" w:ascii="宋体" w:hAnsi="宋体" w:eastAsia="宋体" w:cs="Times New Roman"/>
          <w:kern w:val="2"/>
          <w:sz w:val="20"/>
          <w:szCs w:val="20"/>
          <w:lang w:val="en-US" w:eastAsia="zh-CN" w:bidi="ar-SA"/>
        </w:rPr>
      </w:sdtEndPr>
      <w:sdtContent>
        <w:p w14:paraId="010CAE07">
          <w:pPr>
            <w:spacing w:before="0" w:beforeLines="0" w:after="0" w:afterLines="0" w:line="240" w:lineRule="auto"/>
            <w:ind w:left="0" w:leftChars="0" w:right="0" w:rightChars="0" w:firstLine="0" w:firstLineChars="0"/>
            <w:jc w:val="center"/>
          </w:pPr>
          <w:bookmarkStart w:id="12" w:name="_Toc13791_WPSOffice_Type2"/>
          <w:r>
            <w:rPr>
              <w:rFonts w:ascii="宋体" w:hAnsi="宋体" w:eastAsia="宋体"/>
              <w:sz w:val="21"/>
            </w:rPr>
            <w:t>目录</w:t>
          </w:r>
        </w:p>
        <w:p w14:paraId="7B229544">
          <w:pPr>
            <w:pStyle w:val="38"/>
            <w:tabs>
              <w:tab w:val="right" w:leader="dot" w:pos="8306"/>
            </w:tabs>
          </w:pPr>
          <w:r>
            <w:rPr>
              <w:b/>
              <w:bCs/>
            </w:rPr>
            <w:fldChar w:fldCharType="begin"/>
          </w:r>
          <w:r>
            <w:instrText xml:space="preserve"> HYPERLINK \l _Toc20630_WPSOffice_Level1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147452612"/>
              <w:placeholder>
                <w:docPart w:val="{38ecef94-5902-4523-ae8d-f3dcdc281b52}"/>
              </w:placeholder>
              <w15:color w:val="509DF3"/>
            </w:sdtPr>
            <w:sdtEndPr>
              <w:rPr>
                <w:rFonts w:ascii="Times New Roman" w:hAnsi="Times New Roman" w:eastAsia="宋体" w:cs="Times New Roman"/>
                <w:b/>
                <w:bCs/>
                <w:kern w:val="2"/>
                <w:sz w:val="21"/>
                <w:szCs w:val="24"/>
                <w:lang w:val="en-US" w:eastAsia="zh-CN" w:bidi="ar-SA"/>
              </w:rPr>
            </w:sdtEndPr>
            <w:sdtContent>
              <w:r>
                <w:rPr>
                  <w:rFonts w:hint="eastAsia" w:ascii="黑体" w:hAnsi="黑体" w:eastAsia="黑体" w:cs="Times New Roman"/>
                  <w:b/>
                  <w:bCs/>
                </w:rPr>
                <w:t>第一部分 部门概况</w:t>
              </w:r>
            </w:sdtContent>
          </w:sdt>
          <w:r>
            <w:rPr>
              <w:b/>
              <w:bCs/>
            </w:rPr>
            <w:tab/>
          </w:r>
          <w:r>
            <w:rPr>
              <w:rFonts w:hint="eastAsia"/>
              <w:b/>
              <w:bCs/>
              <w:lang w:val="en-US" w:eastAsia="zh-CN"/>
            </w:rPr>
            <w:t>3</w:t>
          </w:r>
          <w:r>
            <w:rPr>
              <w:b/>
              <w:bCs/>
            </w:rPr>
            <w:fldChar w:fldCharType="end"/>
          </w:r>
        </w:p>
        <w:p w14:paraId="6259EE56">
          <w:pPr>
            <w:pStyle w:val="39"/>
            <w:tabs>
              <w:tab w:val="right" w:leader="dot" w:pos="8306"/>
            </w:tabs>
          </w:pPr>
          <w:r>
            <w:fldChar w:fldCharType="begin"/>
          </w:r>
          <w:r>
            <w:instrText xml:space="preserve"> HYPERLINK \l _Toc13791_WPSOffice_Level2 </w:instrText>
          </w:r>
          <w:r>
            <w:fldChar w:fldCharType="separate"/>
          </w:r>
          <w:sdt>
            <w:sdtPr>
              <w:rPr>
                <w:rFonts w:ascii="Times New Roman" w:hAnsi="Times New Roman" w:eastAsia="宋体" w:cs="Times New Roman"/>
                <w:kern w:val="2"/>
                <w:sz w:val="21"/>
                <w:szCs w:val="24"/>
                <w:lang w:val="en-US" w:eastAsia="zh-CN" w:bidi="ar-SA"/>
              </w:rPr>
              <w:id w:val="147479860"/>
              <w:placeholder>
                <w:docPart w:val="{38e32eca-91db-48bb-a838-1acefd3d438c}"/>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黑体" w:hAnsi="黑体" w:eastAsia="黑体" w:cstheme="majorBidi"/>
                </w:rPr>
                <w:t>一、部门职责</w:t>
              </w:r>
            </w:sdtContent>
          </w:sdt>
          <w:r>
            <w:tab/>
          </w:r>
          <w:r>
            <w:rPr>
              <w:rFonts w:hint="eastAsia"/>
              <w:lang w:val="en-US" w:eastAsia="zh-CN"/>
            </w:rPr>
            <w:t>3</w:t>
          </w:r>
          <w:r>
            <w:fldChar w:fldCharType="end"/>
          </w:r>
        </w:p>
        <w:p w14:paraId="1BBAD1B0">
          <w:pPr>
            <w:pStyle w:val="39"/>
            <w:tabs>
              <w:tab w:val="right" w:leader="dot" w:pos="8306"/>
            </w:tabs>
          </w:pPr>
          <w:r>
            <w:fldChar w:fldCharType="begin"/>
          </w:r>
          <w:r>
            <w:instrText xml:space="preserve"> HYPERLINK \l _Toc20630_WPSOffice_Level2 </w:instrText>
          </w:r>
          <w:r>
            <w:fldChar w:fldCharType="separate"/>
          </w:r>
          <w:sdt>
            <w:sdtPr>
              <w:rPr>
                <w:rFonts w:ascii="Times New Roman" w:hAnsi="Times New Roman" w:eastAsia="宋体" w:cs="Times New Roman"/>
                <w:kern w:val="2"/>
                <w:sz w:val="21"/>
                <w:szCs w:val="24"/>
                <w:lang w:val="en-US" w:eastAsia="zh-CN" w:bidi="ar-SA"/>
              </w:rPr>
              <w:id w:val="147476035"/>
              <w:placeholder>
                <w:docPart w:val="{0d276873-cbb3-43e0-9b1e-96ff4242519b}"/>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黑体" w:eastAsia="黑体" w:hAnsiTheme="majorHAnsi" w:cstheme="majorBidi"/>
                </w:rPr>
                <w:t>二、</w:t>
              </w:r>
              <w:r>
                <w:rPr>
                  <w:rFonts w:hint="eastAsia" w:ascii="黑体" w:hAnsi="黑体" w:eastAsia="黑体" w:cstheme="majorBidi"/>
                </w:rPr>
                <w:t>机构设置</w:t>
              </w:r>
            </w:sdtContent>
          </w:sdt>
          <w:r>
            <w:tab/>
          </w:r>
          <w:r>
            <w:rPr>
              <w:rFonts w:hint="eastAsia"/>
              <w:lang w:val="en-US" w:eastAsia="zh-CN"/>
            </w:rPr>
            <w:t>3</w:t>
          </w:r>
          <w:r>
            <w:fldChar w:fldCharType="end"/>
          </w:r>
        </w:p>
        <w:p w14:paraId="79AEF5C6">
          <w:pPr>
            <w:pStyle w:val="38"/>
            <w:tabs>
              <w:tab w:val="right" w:leader="dot" w:pos="8306"/>
            </w:tabs>
          </w:pPr>
          <w:r>
            <w:rPr>
              <w:b/>
              <w:bCs/>
            </w:rPr>
            <w:fldChar w:fldCharType="begin"/>
          </w:r>
          <w:r>
            <w:instrText xml:space="preserve"> HYPERLINK \l _Toc6457_WPSOffice_Level1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147465318"/>
              <w:placeholder>
                <w:docPart w:val="{c635b9b5-8dd0-403f-98db-945bc351bcdf}"/>
              </w:placeholder>
              <w15:color w:val="509DF3"/>
            </w:sdtPr>
            <w:sdtEndPr>
              <w:rPr>
                <w:rFonts w:ascii="Times New Roman" w:hAnsi="Times New Roman" w:eastAsia="宋体" w:cs="Times New Roman"/>
                <w:b/>
                <w:bCs/>
                <w:kern w:val="2"/>
                <w:sz w:val="21"/>
                <w:szCs w:val="24"/>
                <w:lang w:val="en-US" w:eastAsia="zh-CN" w:bidi="ar-SA"/>
              </w:rPr>
            </w:sdtEndPr>
            <w:sdtContent>
              <w:r>
                <w:rPr>
                  <w:rFonts w:hint="eastAsia" w:ascii="黑体" w:hAnsi="黑体" w:eastAsia="黑体" w:cs="Times New Roman"/>
                  <w:b/>
                  <w:bCs/>
                </w:rPr>
                <w:t xml:space="preserve">第二部分 </w:t>
              </w:r>
              <w:r>
                <w:rPr>
                  <w:rFonts w:hint="eastAsia" w:ascii="黑体" w:hAnsi="黑体" w:eastAsia="黑体" w:cs="Times New Roman"/>
                  <w:b/>
                  <w:bCs/>
                  <w:lang w:eastAsia="zh-CN"/>
                </w:rPr>
                <w:t>202</w:t>
              </w:r>
              <w:r>
                <w:rPr>
                  <w:rFonts w:hint="eastAsia" w:ascii="黑体" w:hAnsi="黑体" w:eastAsia="黑体" w:cs="Times New Roman"/>
                  <w:b/>
                  <w:bCs/>
                  <w:lang w:val="en-US" w:eastAsia="zh-CN"/>
                </w:rPr>
                <w:t>5</w:t>
              </w:r>
              <w:r>
                <w:rPr>
                  <w:rFonts w:hint="eastAsia" w:ascii="黑体" w:hAnsi="黑体" w:eastAsia="黑体" w:cs="Times New Roman"/>
                  <w:b/>
                  <w:bCs/>
                </w:rPr>
                <w:t>年度部门决算情况说明</w:t>
              </w:r>
            </w:sdtContent>
          </w:sdt>
          <w:r>
            <w:rPr>
              <w:b/>
              <w:bCs/>
            </w:rPr>
            <w:tab/>
          </w:r>
          <w:r>
            <w:rPr>
              <w:rFonts w:hint="eastAsia"/>
              <w:b/>
              <w:bCs/>
              <w:lang w:val="en-US" w:eastAsia="zh-CN"/>
            </w:rPr>
            <w:t>3</w:t>
          </w:r>
          <w:r>
            <w:rPr>
              <w:b/>
              <w:bCs/>
            </w:rPr>
            <w:fldChar w:fldCharType="end"/>
          </w:r>
        </w:p>
        <w:p w14:paraId="2C3FB98B">
          <w:pPr>
            <w:pStyle w:val="39"/>
            <w:tabs>
              <w:tab w:val="right" w:leader="dot" w:pos="8306"/>
            </w:tabs>
          </w:pPr>
          <w:r>
            <w:fldChar w:fldCharType="begin"/>
          </w:r>
          <w:r>
            <w:instrText xml:space="preserve"> HYPERLINK \l _Toc6457_WPSOffice_Level2 </w:instrText>
          </w:r>
          <w:r>
            <w:fldChar w:fldCharType="separate"/>
          </w:r>
          <w:sdt>
            <w:sdtPr>
              <w:rPr>
                <w:rFonts w:ascii="Times New Roman" w:hAnsi="Times New Roman" w:eastAsia="宋体" w:cs="Times New Roman"/>
                <w:kern w:val="2"/>
                <w:sz w:val="21"/>
                <w:szCs w:val="24"/>
                <w:lang w:val="en-US" w:eastAsia="zh-CN" w:bidi="ar-SA"/>
              </w:rPr>
              <w:id w:val="147471449"/>
              <w:placeholder>
                <w:docPart w:val="{752c8316-53dd-4c39-bb90-2668de07c0ac}"/>
              </w:placeholder>
              <w15:color w:val="509DF3"/>
            </w:sdtPr>
            <w:sdtEndPr>
              <w:rPr>
                <w:rFonts w:ascii="Times New Roman" w:hAnsi="Times New Roman" w:eastAsia="宋体" w:cs="Times New Roman"/>
                <w:kern w:val="2"/>
                <w:sz w:val="21"/>
                <w:szCs w:val="24"/>
                <w:lang w:val="en-US" w:eastAsia="zh-CN" w:bidi="ar-SA"/>
              </w:rPr>
            </w:sdtEndPr>
            <w:sdtContent>
              <w:r>
                <w:rPr>
                  <w:rFonts w:hint="default" w:ascii="黑体" w:hAnsi="黑体" w:eastAsia="黑体" w:cstheme="majorBidi"/>
                </w:rPr>
                <w:t xml:space="preserve">一、 </w:t>
              </w:r>
              <w:r>
                <w:rPr>
                  <w:rFonts w:hint="eastAsia" w:ascii="黑体" w:hAnsi="黑体" w:eastAsia="黑体" w:cs="Times New Roman"/>
                </w:rPr>
                <w:t>收</w:t>
              </w:r>
              <w:r>
                <w:rPr>
                  <w:rFonts w:hint="eastAsia" w:ascii="黑体" w:hAnsi="黑体" w:eastAsia="黑体" w:cstheme="majorBidi"/>
                </w:rPr>
                <w:t>入支出决算总体情况说明</w:t>
              </w:r>
            </w:sdtContent>
          </w:sdt>
          <w:r>
            <w:tab/>
          </w:r>
          <w:r>
            <w:rPr>
              <w:rFonts w:hint="eastAsia"/>
              <w:lang w:val="en-US" w:eastAsia="zh-CN"/>
            </w:rPr>
            <w:t>3</w:t>
          </w:r>
          <w:r>
            <w:fldChar w:fldCharType="end"/>
          </w:r>
        </w:p>
        <w:p w14:paraId="1D89E9E8">
          <w:pPr>
            <w:pStyle w:val="39"/>
            <w:tabs>
              <w:tab w:val="right" w:leader="dot" w:pos="8306"/>
            </w:tabs>
          </w:pPr>
          <w:r>
            <w:fldChar w:fldCharType="begin"/>
          </w:r>
          <w:r>
            <w:instrText xml:space="preserve"> HYPERLINK \l _Toc5354_WPSOffice_Level2 </w:instrText>
          </w:r>
          <w:r>
            <w:fldChar w:fldCharType="separate"/>
          </w:r>
          <w:sdt>
            <w:sdtPr>
              <w:rPr>
                <w:rFonts w:ascii="Times New Roman" w:hAnsi="Times New Roman" w:eastAsia="宋体" w:cs="Times New Roman"/>
                <w:kern w:val="2"/>
                <w:sz w:val="21"/>
                <w:szCs w:val="24"/>
                <w:lang w:val="en-US" w:eastAsia="zh-CN" w:bidi="ar-SA"/>
              </w:rPr>
              <w:id w:val="147464830"/>
              <w:placeholder>
                <w:docPart w:val="{faeecf69-7122-467a-9ef9-ce31c8566b8c}"/>
              </w:placeholder>
              <w15:color w:val="509DF3"/>
            </w:sdtPr>
            <w:sdtEndPr>
              <w:rPr>
                <w:rFonts w:ascii="Times New Roman" w:hAnsi="Times New Roman" w:eastAsia="宋体" w:cs="Times New Roman"/>
                <w:kern w:val="2"/>
                <w:sz w:val="21"/>
                <w:szCs w:val="24"/>
                <w:lang w:val="en-US" w:eastAsia="zh-CN" w:bidi="ar-SA"/>
              </w:rPr>
            </w:sdtEndPr>
            <w:sdtContent>
              <w:r>
                <w:rPr>
                  <w:rFonts w:hint="default" w:ascii="黑体" w:hAnsi="黑体" w:eastAsia="黑体" w:cstheme="majorBidi"/>
                </w:rPr>
                <w:t xml:space="preserve">二、 </w:t>
              </w:r>
              <w:r>
                <w:rPr>
                  <w:rFonts w:hint="eastAsia" w:ascii="黑体" w:hAnsi="黑体" w:eastAsia="黑体" w:cs="Times New Roman"/>
                </w:rPr>
                <w:t>收</w:t>
              </w:r>
              <w:r>
                <w:rPr>
                  <w:rFonts w:hint="eastAsia" w:ascii="黑体" w:hAnsi="黑体" w:eastAsia="黑体" w:cstheme="majorBidi"/>
                </w:rPr>
                <w:t>入决算情况说明</w:t>
              </w:r>
            </w:sdtContent>
          </w:sdt>
          <w:r>
            <w:tab/>
          </w:r>
          <w:r>
            <w:rPr>
              <w:rFonts w:hint="eastAsia"/>
              <w:lang w:val="en-US" w:eastAsia="zh-CN"/>
            </w:rPr>
            <w:t>3</w:t>
          </w:r>
          <w:r>
            <w:fldChar w:fldCharType="end"/>
          </w:r>
        </w:p>
        <w:p w14:paraId="3A8D8C5D">
          <w:pPr>
            <w:pStyle w:val="39"/>
            <w:tabs>
              <w:tab w:val="right" w:leader="dot" w:pos="8306"/>
            </w:tabs>
          </w:pPr>
          <w:r>
            <w:fldChar w:fldCharType="begin"/>
          </w:r>
          <w:r>
            <w:instrText xml:space="preserve"> HYPERLINK \l _Toc313_WPSOffice_Level2 </w:instrText>
          </w:r>
          <w:r>
            <w:fldChar w:fldCharType="separate"/>
          </w:r>
          <w:sdt>
            <w:sdtPr>
              <w:rPr>
                <w:rFonts w:ascii="Times New Roman" w:hAnsi="Times New Roman" w:eastAsia="宋体" w:cs="Times New Roman"/>
                <w:kern w:val="2"/>
                <w:sz w:val="21"/>
                <w:szCs w:val="24"/>
                <w:lang w:val="en-US" w:eastAsia="zh-CN" w:bidi="ar-SA"/>
              </w:rPr>
              <w:id w:val="147468010"/>
              <w:placeholder>
                <w:docPart w:val="{d4da7243-0be9-4322-bb4e-14408e3c21cb}"/>
              </w:placeholder>
              <w15:color w:val="509DF3"/>
            </w:sdtPr>
            <w:sdtEndPr>
              <w:rPr>
                <w:rFonts w:ascii="Times New Roman" w:hAnsi="Times New Roman" w:eastAsia="宋体" w:cs="Times New Roman"/>
                <w:kern w:val="2"/>
                <w:sz w:val="21"/>
                <w:szCs w:val="24"/>
                <w:lang w:val="en-US" w:eastAsia="zh-CN" w:bidi="ar-SA"/>
              </w:rPr>
            </w:sdtEndPr>
            <w:sdtContent>
              <w:r>
                <w:rPr>
                  <w:rFonts w:hint="default" w:ascii="黑体" w:hAnsi="黑体" w:eastAsia="黑体" w:cstheme="majorBidi"/>
                </w:rPr>
                <w:t xml:space="preserve">三、 </w:t>
              </w:r>
              <w:r>
                <w:rPr>
                  <w:rFonts w:hint="eastAsia" w:ascii="黑体" w:hAnsi="黑体" w:eastAsia="黑体" w:cs="Times New Roman"/>
                </w:rPr>
                <w:t>支</w:t>
              </w:r>
              <w:r>
                <w:rPr>
                  <w:rFonts w:hint="eastAsia" w:ascii="黑体" w:hAnsi="黑体" w:eastAsia="黑体" w:cstheme="majorBidi"/>
                </w:rPr>
                <w:t>出决算情况说明</w:t>
              </w:r>
            </w:sdtContent>
          </w:sdt>
          <w:r>
            <w:tab/>
          </w:r>
          <w:r>
            <w:rPr>
              <w:rFonts w:hint="eastAsia"/>
              <w:lang w:val="en-US" w:eastAsia="zh-CN"/>
            </w:rPr>
            <w:t>4</w:t>
          </w:r>
          <w:r>
            <w:fldChar w:fldCharType="end"/>
          </w:r>
        </w:p>
        <w:p w14:paraId="7A337A9B">
          <w:pPr>
            <w:pStyle w:val="39"/>
            <w:tabs>
              <w:tab w:val="right" w:leader="dot" w:pos="8306"/>
            </w:tabs>
          </w:pPr>
          <w:r>
            <w:fldChar w:fldCharType="begin"/>
          </w:r>
          <w:r>
            <w:instrText xml:space="preserve"> HYPERLINK \l _Toc15769_WPSOffice_Level2 </w:instrText>
          </w:r>
          <w:r>
            <w:fldChar w:fldCharType="separate"/>
          </w:r>
          <w:sdt>
            <w:sdtPr>
              <w:rPr>
                <w:rFonts w:ascii="Times New Roman" w:hAnsi="Times New Roman" w:eastAsia="宋体" w:cs="Times New Roman"/>
                <w:kern w:val="2"/>
                <w:sz w:val="21"/>
                <w:szCs w:val="24"/>
                <w:lang w:val="en-US" w:eastAsia="zh-CN" w:bidi="ar-SA"/>
              </w:rPr>
              <w:id w:val="147468960"/>
              <w:placeholder>
                <w:docPart w:val="{45c74954-a477-443e-8719-5583d091caed}"/>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黑体" w:hAnsi="黑体" w:eastAsia="黑体" w:cs="Times New Roman"/>
                </w:rPr>
                <w:t>四、财</w:t>
              </w:r>
              <w:r>
                <w:rPr>
                  <w:rFonts w:hint="eastAsia" w:ascii="黑体" w:hAnsi="黑体" w:eastAsia="黑体" w:cstheme="majorBidi"/>
                </w:rPr>
                <w:t>政拨款收入支出决算总体情况说明</w:t>
              </w:r>
            </w:sdtContent>
          </w:sdt>
          <w:r>
            <w:tab/>
          </w:r>
          <w:r>
            <w:rPr>
              <w:rFonts w:hint="eastAsia"/>
              <w:lang w:val="en-US" w:eastAsia="zh-CN"/>
            </w:rPr>
            <w:t>4</w:t>
          </w:r>
          <w:r>
            <w:fldChar w:fldCharType="end"/>
          </w:r>
        </w:p>
        <w:p w14:paraId="54FA1DA5">
          <w:pPr>
            <w:pStyle w:val="39"/>
            <w:tabs>
              <w:tab w:val="right" w:leader="dot" w:pos="8306"/>
            </w:tabs>
          </w:pPr>
          <w:r>
            <w:fldChar w:fldCharType="begin"/>
          </w:r>
          <w:r>
            <w:instrText xml:space="preserve"> HYPERLINK \l _Toc26178_WPSOffice_Level2 </w:instrText>
          </w:r>
          <w:r>
            <w:fldChar w:fldCharType="separate"/>
          </w:r>
          <w:sdt>
            <w:sdtPr>
              <w:rPr>
                <w:rFonts w:ascii="Times New Roman" w:hAnsi="Times New Roman" w:eastAsia="宋体" w:cs="Times New Roman"/>
                <w:kern w:val="2"/>
                <w:sz w:val="21"/>
                <w:szCs w:val="24"/>
                <w:lang w:val="en-US" w:eastAsia="zh-CN" w:bidi="ar-SA"/>
              </w:rPr>
              <w:id w:val="147471325"/>
              <w:placeholder>
                <w:docPart w:val="{a9e5c1c2-89ec-4c7b-827a-f97a0463f76b}"/>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黑体" w:hAnsi="黑体" w:eastAsia="黑体" w:cs="Times New Roman"/>
                </w:rPr>
                <w:t>五、一</w:t>
              </w:r>
              <w:r>
                <w:rPr>
                  <w:rFonts w:hint="eastAsia" w:ascii="黑体" w:hAnsi="黑体" w:eastAsia="黑体" w:cstheme="majorBidi"/>
                </w:rPr>
                <w:t>般公共预算财政拨款支出决算情况说明</w:t>
              </w:r>
            </w:sdtContent>
          </w:sdt>
          <w:r>
            <w:tab/>
          </w:r>
          <w:r>
            <w:rPr>
              <w:rFonts w:hint="eastAsia"/>
              <w:lang w:val="en-US" w:eastAsia="zh-CN"/>
            </w:rPr>
            <w:t>4</w:t>
          </w:r>
          <w:r>
            <w:fldChar w:fldCharType="end"/>
          </w:r>
        </w:p>
        <w:p w14:paraId="4B01595F">
          <w:pPr>
            <w:pStyle w:val="39"/>
            <w:tabs>
              <w:tab w:val="right" w:leader="dot" w:pos="8306"/>
            </w:tabs>
            <w:rPr>
              <w:rFonts w:hint="eastAsia" w:eastAsia="宋体"/>
              <w:lang w:val="en-US" w:eastAsia="zh-CN"/>
            </w:rPr>
          </w:pPr>
          <w:r>
            <w:fldChar w:fldCharType="begin"/>
          </w:r>
          <w:r>
            <w:instrText xml:space="preserve"> HYPERLINK \l _Toc28123_WPSOffice_Level2 </w:instrText>
          </w:r>
          <w:r>
            <w:fldChar w:fldCharType="separate"/>
          </w:r>
          <w:sdt>
            <w:sdtPr>
              <w:rPr>
                <w:rFonts w:ascii="Times New Roman" w:hAnsi="Times New Roman" w:eastAsia="宋体" w:cs="Times New Roman"/>
                <w:kern w:val="2"/>
                <w:sz w:val="21"/>
                <w:szCs w:val="24"/>
                <w:lang w:val="en-US" w:eastAsia="zh-CN" w:bidi="ar-SA"/>
              </w:rPr>
              <w:id w:val="147453213"/>
              <w:placeholder>
                <w:docPart w:val="{a93befac-47f5-473e-8443-49bda7671bd3}"/>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黑体" w:hAnsi="Times New Roman" w:eastAsia="黑体" w:cs="Times New Roman"/>
                </w:rPr>
                <w:t>六、</w:t>
              </w:r>
              <w:r>
                <w:rPr>
                  <w:rFonts w:hint="eastAsia" w:ascii="黑体" w:hAnsi="黑体" w:eastAsia="黑体" w:cs="Times New Roman"/>
                </w:rPr>
                <w:t>一</w:t>
              </w:r>
              <w:r>
                <w:rPr>
                  <w:rFonts w:hint="eastAsia" w:ascii="黑体" w:hAnsi="黑体" w:eastAsia="黑体" w:cstheme="majorBidi"/>
                </w:rPr>
                <w:t>般公共预算财政拨款基本支出决算情况说明</w:t>
              </w:r>
            </w:sdtContent>
          </w:sdt>
          <w:r>
            <w:tab/>
          </w:r>
          <w:r>
            <w:rPr>
              <w:rFonts w:hint="eastAsia"/>
              <w:lang w:val="en-US" w:eastAsia="zh-CN"/>
            </w:rPr>
            <w:t>5</w:t>
          </w:r>
          <w:r>
            <w:fldChar w:fldCharType="end"/>
          </w:r>
        </w:p>
        <w:p w14:paraId="60B781F7">
          <w:pPr>
            <w:pStyle w:val="39"/>
            <w:tabs>
              <w:tab w:val="right" w:leader="dot" w:pos="8306"/>
            </w:tabs>
          </w:pPr>
          <w:r>
            <w:fldChar w:fldCharType="begin"/>
          </w:r>
          <w:r>
            <w:instrText xml:space="preserve"> HYPERLINK \l _Toc16777_WPSOffice_Level2 </w:instrText>
          </w:r>
          <w:r>
            <w:fldChar w:fldCharType="separate"/>
          </w:r>
          <w:sdt>
            <w:sdtPr>
              <w:rPr>
                <w:rFonts w:ascii="Times New Roman" w:hAnsi="Times New Roman" w:eastAsia="宋体" w:cs="Times New Roman"/>
                <w:kern w:val="2"/>
                <w:sz w:val="21"/>
                <w:szCs w:val="24"/>
                <w:lang w:val="en-US" w:eastAsia="zh-CN" w:bidi="ar-SA"/>
              </w:rPr>
              <w:id w:val="147477572"/>
              <w:placeholder>
                <w:docPart w:val="{337801bc-72e2-409e-9b2a-b3135f0dba1f}"/>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黑体" w:hAnsi="Times New Roman" w:eastAsia="黑体" w:cs="Times New Roman"/>
                </w:rPr>
                <w:t>七、</w:t>
              </w:r>
              <w:r>
                <w:rPr>
                  <w:rFonts w:hint="eastAsia" w:ascii="黑体" w:hAnsi="黑体" w:eastAsia="黑体" w:cstheme="majorBidi"/>
                </w:rPr>
                <w:t>财政拨款“三公”经费支出决算情况说明</w:t>
              </w:r>
            </w:sdtContent>
          </w:sdt>
          <w:r>
            <w:tab/>
          </w:r>
          <w:r>
            <w:rPr>
              <w:rFonts w:hint="eastAsia"/>
              <w:lang w:val="en-US" w:eastAsia="zh-CN"/>
            </w:rPr>
            <w:t>6</w:t>
          </w:r>
          <w:r>
            <w:fldChar w:fldCharType="end"/>
          </w:r>
        </w:p>
        <w:p w14:paraId="2560C769">
          <w:pPr>
            <w:pStyle w:val="39"/>
            <w:tabs>
              <w:tab w:val="right" w:leader="dot" w:pos="8306"/>
            </w:tabs>
          </w:pPr>
          <w:r>
            <w:fldChar w:fldCharType="begin"/>
          </w:r>
          <w:r>
            <w:instrText xml:space="preserve"> HYPERLINK \l _Toc31105_WPSOffice_Level2 </w:instrText>
          </w:r>
          <w:r>
            <w:fldChar w:fldCharType="separate"/>
          </w:r>
          <w:sdt>
            <w:sdtPr>
              <w:rPr>
                <w:rFonts w:ascii="Times New Roman" w:hAnsi="Times New Roman" w:eastAsia="宋体" w:cs="Times New Roman"/>
                <w:kern w:val="2"/>
                <w:sz w:val="21"/>
                <w:szCs w:val="24"/>
                <w:lang w:val="en-US" w:eastAsia="zh-CN" w:bidi="ar-SA"/>
              </w:rPr>
              <w:id w:val="147470505"/>
              <w:placeholder>
                <w:docPart w:val="{6f341652-f6fc-403c-bd63-fda70a847a09}"/>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黑体" w:hAnsi="Times New Roman" w:eastAsia="黑体" w:cs="Times New Roman"/>
                </w:rPr>
                <w:t>八、</w:t>
              </w:r>
              <w:r>
                <w:rPr>
                  <w:rFonts w:hint="eastAsia" w:ascii="黑体" w:hAnsi="黑体" w:eastAsia="黑体" w:cstheme="majorBidi"/>
                </w:rPr>
                <w:t>政府性基金预算支出决算情况说明</w:t>
              </w:r>
            </w:sdtContent>
          </w:sdt>
          <w:r>
            <w:tab/>
          </w:r>
          <w:r>
            <w:rPr>
              <w:rFonts w:hint="eastAsia"/>
              <w:lang w:val="en-US" w:eastAsia="zh-CN"/>
            </w:rPr>
            <w:t>7</w:t>
          </w:r>
          <w:r>
            <w:fldChar w:fldCharType="end"/>
          </w:r>
        </w:p>
        <w:p w14:paraId="5D7E681A">
          <w:pPr>
            <w:pStyle w:val="39"/>
            <w:tabs>
              <w:tab w:val="right" w:leader="dot" w:pos="8306"/>
            </w:tabs>
          </w:pPr>
          <w:r>
            <w:fldChar w:fldCharType="begin"/>
          </w:r>
          <w:r>
            <w:instrText xml:space="preserve"> HYPERLINK \l _Toc8514_WPSOffice_Level2 </w:instrText>
          </w:r>
          <w:r>
            <w:fldChar w:fldCharType="separate"/>
          </w:r>
          <w:sdt>
            <w:sdtPr>
              <w:rPr>
                <w:rFonts w:ascii="Times New Roman" w:hAnsi="Times New Roman" w:eastAsia="宋体" w:cs="Times New Roman"/>
                <w:kern w:val="2"/>
                <w:sz w:val="21"/>
                <w:szCs w:val="24"/>
                <w:lang w:val="en-US" w:eastAsia="zh-CN" w:bidi="ar-SA"/>
              </w:rPr>
              <w:id w:val="147480124"/>
              <w:placeholder>
                <w:docPart w:val="{0e4bfcc7-53b1-48f4-846c-abc92f584d68}"/>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黑体" w:hAnsi="黑体" w:eastAsia="黑体" w:cstheme="majorBidi"/>
                </w:rPr>
                <w:t>九、 国有资本经营预算支出决算情况说明</w:t>
              </w:r>
            </w:sdtContent>
          </w:sdt>
          <w:r>
            <w:tab/>
          </w:r>
          <w:r>
            <w:rPr>
              <w:rFonts w:hint="eastAsia"/>
              <w:lang w:val="en-US" w:eastAsia="zh-CN"/>
            </w:rPr>
            <w:t>7</w:t>
          </w:r>
          <w:r>
            <w:fldChar w:fldCharType="end"/>
          </w:r>
        </w:p>
        <w:p w14:paraId="7BAB60CA">
          <w:pPr>
            <w:pStyle w:val="39"/>
            <w:tabs>
              <w:tab w:val="right" w:leader="dot" w:pos="8306"/>
            </w:tabs>
          </w:pPr>
          <w:r>
            <w:fldChar w:fldCharType="begin"/>
          </w:r>
          <w:r>
            <w:instrText xml:space="preserve"> HYPERLINK \l _Toc16629_WPSOffice_Level2 </w:instrText>
          </w:r>
          <w:r>
            <w:fldChar w:fldCharType="separate"/>
          </w:r>
          <w:sdt>
            <w:sdtPr>
              <w:rPr>
                <w:rFonts w:ascii="Times New Roman" w:hAnsi="Times New Roman" w:eastAsia="宋体" w:cs="Times New Roman"/>
                <w:kern w:val="2"/>
                <w:sz w:val="21"/>
                <w:szCs w:val="24"/>
                <w:lang w:val="en-US" w:eastAsia="zh-CN" w:bidi="ar-SA"/>
              </w:rPr>
              <w:id w:val="147467340"/>
              <w:placeholder>
                <w:docPart w:val="{02beafa0-5e31-454f-8a6a-6e419e83594c}"/>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黑体" w:hAnsi="黑体" w:eastAsia="黑体" w:cstheme="majorBidi"/>
                </w:rPr>
                <w:t>十、 其他重要事项的情况说明</w:t>
              </w:r>
            </w:sdtContent>
          </w:sdt>
          <w:r>
            <w:tab/>
          </w:r>
          <w:r>
            <w:rPr>
              <w:rFonts w:hint="eastAsia"/>
              <w:lang w:val="en-US" w:eastAsia="zh-CN"/>
            </w:rPr>
            <w:t>7</w:t>
          </w:r>
          <w:r>
            <w:fldChar w:fldCharType="end"/>
          </w:r>
        </w:p>
        <w:p w14:paraId="6FBE1ADD">
          <w:pPr>
            <w:pStyle w:val="38"/>
            <w:tabs>
              <w:tab w:val="right" w:leader="dot" w:pos="8306"/>
            </w:tabs>
            <w:rPr>
              <w:rFonts w:hint="eastAsia" w:eastAsia="宋体"/>
              <w:lang w:val="en-US" w:eastAsia="zh-CN"/>
            </w:rPr>
          </w:pPr>
          <w:r>
            <w:rPr>
              <w:b/>
              <w:bCs/>
            </w:rPr>
            <w:fldChar w:fldCharType="begin"/>
          </w:r>
          <w:r>
            <w:instrText xml:space="preserve"> HYPERLINK \l _Toc5354_WPSOffice_Level1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147464340"/>
              <w:placeholder>
                <w:docPart w:val="{eb3b63fe-080e-41ba-bdc0-f1f8e37fa45b}"/>
              </w:placeholder>
              <w15:color w:val="509DF3"/>
            </w:sdtPr>
            <w:sdtEndPr>
              <w:rPr>
                <w:rFonts w:ascii="Times New Roman" w:hAnsi="Times New Roman" w:eastAsia="宋体" w:cs="Times New Roman"/>
                <w:b/>
                <w:bCs/>
                <w:kern w:val="2"/>
                <w:sz w:val="21"/>
                <w:szCs w:val="24"/>
                <w:lang w:val="en-US" w:eastAsia="zh-CN" w:bidi="ar-SA"/>
              </w:rPr>
            </w:sdtEndPr>
            <w:sdtContent>
              <w:r>
                <w:rPr>
                  <w:rFonts w:hint="eastAsia" w:ascii="黑体" w:hAnsi="黑体" w:eastAsia="黑体" w:cs="Times New Roman"/>
                  <w:b/>
                  <w:bCs/>
                </w:rPr>
                <w:t>第三部分 名词解释</w:t>
              </w:r>
            </w:sdtContent>
          </w:sdt>
          <w:r>
            <w:rPr>
              <w:b/>
              <w:bCs/>
            </w:rPr>
            <w:tab/>
          </w:r>
          <w:r>
            <w:rPr>
              <w:b/>
              <w:bCs/>
            </w:rPr>
            <w:fldChar w:fldCharType="end"/>
          </w:r>
          <w:r>
            <w:rPr>
              <w:rFonts w:hint="eastAsia"/>
              <w:b/>
              <w:bCs/>
              <w:lang w:val="en-US" w:eastAsia="zh-CN"/>
            </w:rPr>
            <w:t>9</w:t>
          </w:r>
        </w:p>
        <w:p w14:paraId="7C586E47">
          <w:pPr>
            <w:pStyle w:val="38"/>
            <w:tabs>
              <w:tab w:val="right" w:leader="dot" w:pos="8306"/>
            </w:tabs>
            <w:rPr>
              <w:rFonts w:hint="eastAsia" w:eastAsia="宋体"/>
              <w:lang w:val="en-US" w:eastAsia="zh-CN"/>
            </w:rPr>
          </w:pPr>
          <w:r>
            <w:rPr>
              <w:b/>
              <w:bCs/>
            </w:rPr>
            <w:fldChar w:fldCharType="begin"/>
          </w:r>
          <w:r>
            <w:instrText xml:space="preserve"> HYPERLINK \l _Toc15769_WPSOffice_Level1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147462118"/>
              <w:placeholder>
                <w:docPart w:val="{5f716dfd-c44e-42d9-bb8d-a05d194c4004}"/>
              </w:placeholder>
              <w15:color w:val="509DF3"/>
            </w:sdtPr>
            <w:sdtEndPr>
              <w:rPr>
                <w:rFonts w:ascii="Times New Roman" w:hAnsi="Times New Roman" w:eastAsia="宋体" w:cs="Times New Roman"/>
                <w:b/>
                <w:bCs/>
                <w:kern w:val="2"/>
                <w:sz w:val="21"/>
                <w:szCs w:val="24"/>
                <w:lang w:val="en-US" w:eastAsia="zh-CN" w:bidi="ar-SA"/>
              </w:rPr>
            </w:sdtEndPr>
            <w:sdtContent>
              <w:r>
                <w:rPr>
                  <w:rFonts w:hint="eastAsia" w:ascii="黑体" w:hAnsi="黑体" w:eastAsia="黑体" w:cs="Times New Roman"/>
                  <w:b/>
                  <w:bCs/>
                </w:rPr>
                <w:t>第</w:t>
              </w:r>
              <w:r>
                <w:rPr>
                  <w:rFonts w:hint="eastAsia" w:ascii="黑体" w:hAnsi="黑体" w:eastAsia="黑体" w:cs="Times New Roman"/>
                  <w:b/>
                  <w:bCs/>
                  <w:lang w:val="en-US" w:eastAsia="zh-CN"/>
                </w:rPr>
                <w:t>四</w:t>
              </w:r>
              <w:r>
                <w:rPr>
                  <w:rFonts w:hint="eastAsia" w:ascii="黑体" w:hAnsi="黑体" w:eastAsia="黑体" w:cs="Times New Roman"/>
                  <w:b/>
                  <w:bCs/>
                </w:rPr>
                <w:t>部分 附表</w:t>
              </w:r>
            </w:sdtContent>
          </w:sdt>
          <w:r>
            <w:rPr>
              <w:b/>
              <w:bCs/>
            </w:rPr>
            <w:tab/>
          </w:r>
          <w:r>
            <w:rPr>
              <w:rFonts w:hint="eastAsia"/>
              <w:b/>
              <w:bCs/>
              <w:lang w:val="en-US" w:eastAsia="zh-CN"/>
            </w:rPr>
            <w:t>1</w:t>
          </w:r>
          <w:r>
            <w:rPr>
              <w:b/>
              <w:bCs/>
            </w:rPr>
            <w:fldChar w:fldCharType="end"/>
          </w:r>
          <w:r>
            <w:rPr>
              <w:rFonts w:hint="eastAsia"/>
              <w:b/>
              <w:bCs/>
              <w:lang w:val="en-US" w:eastAsia="zh-CN"/>
            </w:rPr>
            <w:t>2</w:t>
          </w:r>
        </w:p>
        <w:p w14:paraId="345E037D">
          <w:pPr>
            <w:pStyle w:val="39"/>
            <w:tabs>
              <w:tab w:val="right" w:leader="dot" w:pos="8306"/>
            </w:tabs>
            <w:rPr>
              <w:rFonts w:hint="eastAsia" w:eastAsia="宋体"/>
              <w:lang w:val="en-US" w:eastAsia="zh-CN"/>
            </w:rPr>
          </w:pPr>
          <w:r>
            <w:fldChar w:fldCharType="begin"/>
          </w:r>
          <w:r>
            <w:instrText xml:space="preserve"> HYPERLINK \l _Toc18099_WPSOffice_Level2 </w:instrText>
          </w:r>
          <w:r>
            <w:fldChar w:fldCharType="separate"/>
          </w:r>
          <w:sdt>
            <w:sdtPr>
              <w:rPr>
                <w:rFonts w:ascii="Times New Roman" w:hAnsi="Times New Roman" w:eastAsia="宋体" w:cs="Times New Roman"/>
                <w:kern w:val="2"/>
                <w:sz w:val="21"/>
                <w:szCs w:val="24"/>
                <w:lang w:val="en-US" w:eastAsia="zh-CN" w:bidi="ar-SA"/>
              </w:rPr>
              <w:id w:val="147465917"/>
              <w:placeholder>
                <w:docPart w:val="{ec1cab99-81e7-4f80-b919-7999a162743f}"/>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仿宋" w:hAnsi="仿宋" w:eastAsia="仿宋" w:cstheme="majorBidi"/>
                </w:rPr>
                <w:t>一、收入支出决算总表</w:t>
              </w:r>
            </w:sdtContent>
          </w:sdt>
          <w:r>
            <w:tab/>
          </w:r>
          <w:r>
            <w:rPr>
              <w:rFonts w:hint="eastAsia"/>
              <w:lang w:val="en-US" w:eastAsia="zh-CN"/>
            </w:rPr>
            <w:t>1</w:t>
          </w:r>
          <w:r>
            <w:fldChar w:fldCharType="end"/>
          </w:r>
          <w:r>
            <w:rPr>
              <w:rFonts w:hint="eastAsia"/>
              <w:lang w:val="en-US" w:eastAsia="zh-CN"/>
            </w:rPr>
            <w:t>2</w:t>
          </w:r>
        </w:p>
        <w:p w14:paraId="04987644">
          <w:pPr>
            <w:pStyle w:val="39"/>
            <w:tabs>
              <w:tab w:val="right" w:leader="dot" w:pos="8306"/>
            </w:tabs>
            <w:rPr>
              <w:rFonts w:hint="eastAsia" w:eastAsia="宋体"/>
              <w:lang w:val="en-US" w:eastAsia="zh-CN"/>
            </w:rPr>
          </w:pPr>
          <w:r>
            <w:fldChar w:fldCharType="begin"/>
          </w:r>
          <w:r>
            <w:instrText xml:space="preserve"> HYPERLINK \l _Toc24189_WPSOffice_Level2 </w:instrText>
          </w:r>
          <w:r>
            <w:fldChar w:fldCharType="separate"/>
          </w:r>
          <w:sdt>
            <w:sdtPr>
              <w:rPr>
                <w:rFonts w:ascii="Times New Roman" w:hAnsi="Times New Roman" w:eastAsia="宋体" w:cs="Times New Roman"/>
                <w:kern w:val="2"/>
                <w:sz w:val="21"/>
                <w:szCs w:val="24"/>
                <w:lang w:val="en-US" w:eastAsia="zh-CN" w:bidi="ar-SA"/>
              </w:rPr>
              <w:id w:val="147458021"/>
              <w:placeholder>
                <w:docPart w:val="{03c61c13-7ed7-450b-bd41-538d1a4befca}"/>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仿宋" w:hAnsi="仿宋" w:eastAsia="仿宋" w:cstheme="majorBidi"/>
                </w:rPr>
                <w:t>二、收入决算表</w:t>
              </w:r>
            </w:sdtContent>
          </w:sdt>
          <w:r>
            <w:tab/>
          </w:r>
          <w:r>
            <w:rPr>
              <w:rFonts w:hint="eastAsia"/>
              <w:lang w:val="en-US" w:eastAsia="zh-CN"/>
            </w:rPr>
            <w:t>1</w:t>
          </w:r>
          <w:r>
            <w:fldChar w:fldCharType="end"/>
          </w:r>
          <w:r>
            <w:rPr>
              <w:rFonts w:hint="eastAsia"/>
              <w:lang w:val="en-US" w:eastAsia="zh-CN"/>
            </w:rPr>
            <w:t>2</w:t>
          </w:r>
        </w:p>
        <w:p w14:paraId="3FBC98F9">
          <w:pPr>
            <w:pStyle w:val="39"/>
            <w:tabs>
              <w:tab w:val="right" w:leader="dot" w:pos="8306"/>
            </w:tabs>
            <w:rPr>
              <w:rFonts w:hint="eastAsia" w:eastAsia="宋体"/>
              <w:lang w:val="en-US" w:eastAsia="zh-CN"/>
            </w:rPr>
          </w:pPr>
          <w:r>
            <w:fldChar w:fldCharType="begin"/>
          </w:r>
          <w:r>
            <w:instrText xml:space="preserve"> HYPERLINK \l _Toc4572_WPSOffice_Level2 </w:instrText>
          </w:r>
          <w:r>
            <w:fldChar w:fldCharType="separate"/>
          </w:r>
          <w:sdt>
            <w:sdtPr>
              <w:rPr>
                <w:rFonts w:ascii="Times New Roman" w:hAnsi="Times New Roman" w:eastAsia="宋体" w:cs="Times New Roman"/>
                <w:kern w:val="2"/>
                <w:sz w:val="21"/>
                <w:szCs w:val="24"/>
                <w:lang w:val="en-US" w:eastAsia="zh-CN" w:bidi="ar-SA"/>
              </w:rPr>
              <w:id w:val="147470135"/>
              <w:placeholder>
                <w:docPart w:val="{63a26222-1a33-4770-9b41-4c7b64a34372}"/>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仿宋" w:hAnsi="仿宋" w:eastAsia="仿宋" w:cstheme="majorBidi"/>
                </w:rPr>
                <w:t>三、支出决算表</w:t>
              </w:r>
            </w:sdtContent>
          </w:sdt>
          <w:r>
            <w:tab/>
          </w:r>
          <w:r>
            <w:rPr>
              <w:rFonts w:hint="eastAsia"/>
              <w:lang w:val="en-US" w:eastAsia="zh-CN"/>
            </w:rPr>
            <w:t>1</w:t>
          </w:r>
          <w:r>
            <w:fldChar w:fldCharType="end"/>
          </w:r>
          <w:r>
            <w:rPr>
              <w:rFonts w:hint="eastAsia"/>
              <w:lang w:val="en-US" w:eastAsia="zh-CN"/>
            </w:rPr>
            <w:t>2</w:t>
          </w:r>
        </w:p>
        <w:p w14:paraId="45718A8D">
          <w:pPr>
            <w:pStyle w:val="39"/>
            <w:tabs>
              <w:tab w:val="right" w:leader="dot" w:pos="8306"/>
            </w:tabs>
            <w:rPr>
              <w:rFonts w:hint="eastAsia" w:eastAsia="宋体"/>
              <w:lang w:val="en-US" w:eastAsia="zh-CN"/>
            </w:rPr>
          </w:pPr>
          <w:r>
            <w:fldChar w:fldCharType="begin"/>
          </w:r>
          <w:r>
            <w:instrText xml:space="preserve"> HYPERLINK \l _Toc6524_WPSOffice_Level2 </w:instrText>
          </w:r>
          <w:r>
            <w:fldChar w:fldCharType="separate"/>
          </w:r>
          <w:sdt>
            <w:sdtPr>
              <w:rPr>
                <w:rFonts w:ascii="Times New Roman" w:hAnsi="Times New Roman" w:eastAsia="宋体" w:cs="Times New Roman"/>
                <w:kern w:val="2"/>
                <w:sz w:val="21"/>
                <w:szCs w:val="24"/>
                <w:lang w:val="en-US" w:eastAsia="zh-CN" w:bidi="ar-SA"/>
              </w:rPr>
              <w:id w:val="147455346"/>
              <w:placeholder>
                <w:docPart w:val="{55593fbd-7cd2-419a-929a-31ef07a7e071}"/>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仿宋" w:hAnsi="仿宋" w:eastAsia="仿宋" w:cstheme="majorBidi"/>
                </w:rPr>
                <w:t>四、财政拨款收入支出决算总表</w:t>
              </w:r>
            </w:sdtContent>
          </w:sdt>
          <w:r>
            <w:tab/>
          </w:r>
          <w:r>
            <w:rPr>
              <w:rFonts w:hint="eastAsia"/>
              <w:lang w:val="en-US" w:eastAsia="zh-CN"/>
            </w:rPr>
            <w:t>1</w:t>
          </w:r>
          <w:r>
            <w:fldChar w:fldCharType="end"/>
          </w:r>
          <w:r>
            <w:rPr>
              <w:rFonts w:hint="eastAsia"/>
              <w:lang w:val="en-US" w:eastAsia="zh-CN"/>
            </w:rPr>
            <w:t>2</w:t>
          </w:r>
        </w:p>
        <w:p w14:paraId="50E8B045">
          <w:pPr>
            <w:pStyle w:val="39"/>
            <w:tabs>
              <w:tab w:val="right" w:leader="dot" w:pos="8306"/>
            </w:tabs>
            <w:rPr>
              <w:rFonts w:hint="eastAsia" w:eastAsia="宋体"/>
              <w:lang w:val="en-US" w:eastAsia="zh-CN"/>
            </w:rPr>
          </w:pPr>
          <w:r>
            <w:fldChar w:fldCharType="begin"/>
          </w:r>
          <w:r>
            <w:instrText xml:space="preserve"> HYPERLINK \l _Toc10133_WPSOffice_Level2 </w:instrText>
          </w:r>
          <w:r>
            <w:fldChar w:fldCharType="separate"/>
          </w:r>
          <w:sdt>
            <w:sdtPr>
              <w:rPr>
                <w:rFonts w:ascii="Times New Roman" w:hAnsi="Times New Roman" w:eastAsia="宋体" w:cs="Times New Roman"/>
                <w:kern w:val="2"/>
                <w:sz w:val="21"/>
                <w:szCs w:val="24"/>
                <w:lang w:val="en-US" w:eastAsia="zh-CN" w:bidi="ar-SA"/>
              </w:rPr>
              <w:id w:val="147458171"/>
              <w:placeholder>
                <w:docPart w:val="{b79498a1-7b4d-4c63-9ba6-265dbbdc1d73}"/>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仿宋" w:hAnsi="仿宋" w:eastAsia="仿宋" w:cstheme="majorBidi"/>
                </w:rPr>
                <w:t>五、财政拨款支出决算明细表</w:t>
              </w:r>
            </w:sdtContent>
          </w:sdt>
          <w:r>
            <w:tab/>
          </w:r>
          <w:r>
            <w:rPr>
              <w:rFonts w:hint="eastAsia"/>
              <w:lang w:val="en-US" w:eastAsia="zh-CN"/>
            </w:rPr>
            <w:t>1</w:t>
          </w:r>
          <w:r>
            <w:fldChar w:fldCharType="end"/>
          </w:r>
          <w:r>
            <w:rPr>
              <w:rFonts w:hint="eastAsia"/>
              <w:lang w:val="en-US" w:eastAsia="zh-CN"/>
            </w:rPr>
            <w:t>2</w:t>
          </w:r>
        </w:p>
        <w:p w14:paraId="16791357">
          <w:pPr>
            <w:pStyle w:val="39"/>
            <w:tabs>
              <w:tab w:val="right" w:leader="dot" w:pos="8306"/>
            </w:tabs>
            <w:rPr>
              <w:rFonts w:hint="eastAsia" w:eastAsia="宋体"/>
              <w:lang w:val="en-US" w:eastAsia="zh-CN"/>
            </w:rPr>
          </w:pPr>
          <w:r>
            <w:fldChar w:fldCharType="begin"/>
          </w:r>
          <w:r>
            <w:instrText xml:space="preserve"> HYPERLINK \l _Toc12238_WPSOffice_Level2 </w:instrText>
          </w:r>
          <w:r>
            <w:fldChar w:fldCharType="separate"/>
          </w:r>
          <w:sdt>
            <w:sdtPr>
              <w:rPr>
                <w:rFonts w:ascii="Times New Roman" w:hAnsi="Times New Roman" w:eastAsia="宋体" w:cs="Times New Roman"/>
                <w:kern w:val="2"/>
                <w:sz w:val="21"/>
                <w:szCs w:val="24"/>
                <w:lang w:val="en-US" w:eastAsia="zh-CN" w:bidi="ar-SA"/>
              </w:rPr>
              <w:id w:val="147455811"/>
              <w:placeholder>
                <w:docPart w:val="{9bfa4cc0-aded-47df-bdf0-3d0d28fe4673}"/>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仿宋" w:hAnsi="仿宋" w:eastAsia="仿宋" w:cstheme="majorBidi"/>
                </w:rPr>
                <w:t>六、一般公共预算财政拨款支出决算表</w:t>
              </w:r>
            </w:sdtContent>
          </w:sdt>
          <w:r>
            <w:tab/>
          </w:r>
          <w:r>
            <w:rPr>
              <w:rFonts w:hint="eastAsia"/>
              <w:lang w:val="en-US" w:eastAsia="zh-CN"/>
            </w:rPr>
            <w:t>1</w:t>
          </w:r>
          <w:r>
            <w:fldChar w:fldCharType="end"/>
          </w:r>
          <w:r>
            <w:rPr>
              <w:rFonts w:hint="eastAsia"/>
              <w:lang w:val="en-US" w:eastAsia="zh-CN"/>
            </w:rPr>
            <w:t>2</w:t>
          </w:r>
        </w:p>
        <w:p w14:paraId="5F131824">
          <w:pPr>
            <w:pStyle w:val="39"/>
            <w:tabs>
              <w:tab w:val="right" w:leader="dot" w:pos="8306"/>
            </w:tabs>
            <w:rPr>
              <w:rFonts w:hint="eastAsia" w:eastAsia="宋体"/>
              <w:lang w:val="en-US" w:eastAsia="zh-CN"/>
            </w:rPr>
          </w:pPr>
          <w:r>
            <w:fldChar w:fldCharType="begin"/>
          </w:r>
          <w:r>
            <w:instrText xml:space="preserve"> HYPERLINK \l _Toc23368_WPSOffice_Level2 </w:instrText>
          </w:r>
          <w:r>
            <w:fldChar w:fldCharType="separate"/>
          </w:r>
          <w:sdt>
            <w:sdtPr>
              <w:rPr>
                <w:rFonts w:ascii="Times New Roman" w:hAnsi="Times New Roman" w:eastAsia="宋体" w:cs="Times New Roman"/>
                <w:kern w:val="2"/>
                <w:sz w:val="21"/>
                <w:szCs w:val="24"/>
                <w:lang w:val="en-US" w:eastAsia="zh-CN" w:bidi="ar-SA"/>
              </w:rPr>
              <w:id w:val="147456013"/>
              <w:placeholder>
                <w:docPart w:val="{e7fccdb1-95f6-434d-bb4b-72eb4d384d01}"/>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仿宋" w:hAnsi="仿宋" w:eastAsia="仿宋" w:cstheme="majorBidi"/>
                </w:rPr>
                <w:t>七、一般公共预算财政拨款支出决算明细表</w:t>
              </w:r>
            </w:sdtContent>
          </w:sdt>
          <w:r>
            <w:tab/>
          </w:r>
          <w:r>
            <w:rPr>
              <w:rFonts w:hint="eastAsia"/>
              <w:lang w:val="en-US" w:eastAsia="zh-CN"/>
            </w:rPr>
            <w:t>1</w:t>
          </w:r>
          <w:r>
            <w:fldChar w:fldCharType="end"/>
          </w:r>
          <w:r>
            <w:rPr>
              <w:rFonts w:hint="eastAsia"/>
              <w:lang w:val="en-US" w:eastAsia="zh-CN"/>
            </w:rPr>
            <w:t>2</w:t>
          </w:r>
        </w:p>
        <w:p w14:paraId="0287563F">
          <w:pPr>
            <w:pStyle w:val="39"/>
            <w:tabs>
              <w:tab w:val="right" w:leader="dot" w:pos="8306"/>
            </w:tabs>
            <w:rPr>
              <w:rFonts w:hint="eastAsia" w:eastAsia="宋体"/>
              <w:lang w:val="en-US" w:eastAsia="zh-CN"/>
            </w:rPr>
          </w:pPr>
          <w:r>
            <w:fldChar w:fldCharType="begin"/>
          </w:r>
          <w:r>
            <w:instrText xml:space="preserve"> HYPERLINK \l _Toc14679_WPSOffice_Level2 </w:instrText>
          </w:r>
          <w:r>
            <w:fldChar w:fldCharType="separate"/>
          </w:r>
          <w:sdt>
            <w:sdtPr>
              <w:rPr>
                <w:rFonts w:ascii="Times New Roman" w:hAnsi="Times New Roman" w:eastAsia="宋体" w:cs="Times New Roman"/>
                <w:kern w:val="2"/>
                <w:sz w:val="21"/>
                <w:szCs w:val="24"/>
                <w:lang w:val="en-US" w:eastAsia="zh-CN" w:bidi="ar-SA"/>
              </w:rPr>
              <w:id w:val="147458013"/>
              <w:placeholder>
                <w:docPart w:val="{ef853360-369b-4e6f-8f79-b8851c0452ec}"/>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仿宋" w:hAnsi="仿宋" w:eastAsia="仿宋" w:cstheme="majorBidi"/>
                </w:rPr>
                <w:t>八、一般公共预算财政拨款基本支出决算表</w:t>
              </w:r>
            </w:sdtContent>
          </w:sdt>
          <w:r>
            <w:tab/>
          </w:r>
          <w:r>
            <w:rPr>
              <w:rFonts w:hint="eastAsia"/>
              <w:lang w:val="en-US" w:eastAsia="zh-CN"/>
            </w:rPr>
            <w:t>1</w:t>
          </w:r>
          <w:r>
            <w:fldChar w:fldCharType="end"/>
          </w:r>
          <w:r>
            <w:rPr>
              <w:rFonts w:hint="eastAsia"/>
              <w:lang w:val="en-US" w:eastAsia="zh-CN"/>
            </w:rPr>
            <w:t>2</w:t>
          </w:r>
        </w:p>
        <w:p w14:paraId="6A502CD5">
          <w:pPr>
            <w:pStyle w:val="39"/>
            <w:tabs>
              <w:tab w:val="right" w:leader="dot" w:pos="8306"/>
            </w:tabs>
            <w:rPr>
              <w:rFonts w:hint="eastAsia" w:eastAsia="宋体"/>
              <w:lang w:val="en-US" w:eastAsia="zh-CN"/>
            </w:rPr>
          </w:pPr>
          <w:r>
            <w:fldChar w:fldCharType="begin"/>
          </w:r>
          <w:r>
            <w:instrText xml:space="preserve"> HYPERLINK \l _Toc14053_WPSOffice_Level2 </w:instrText>
          </w:r>
          <w:r>
            <w:fldChar w:fldCharType="separate"/>
          </w:r>
          <w:sdt>
            <w:sdtPr>
              <w:rPr>
                <w:rFonts w:ascii="Times New Roman" w:hAnsi="Times New Roman" w:eastAsia="宋体" w:cs="Times New Roman"/>
                <w:kern w:val="2"/>
                <w:sz w:val="21"/>
                <w:szCs w:val="24"/>
                <w:lang w:val="en-US" w:eastAsia="zh-CN" w:bidi="ar-SA"/>
              </w:rPr>
              <w:id w:val="147481910"/>
              <w:placeholder>
                <w:docPart w:val="{4c43cac6-ba4a-4647-a664-945256cacd50}"/>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仿宋" w:hAnsi="仿宋" w:eastAsia="仿宋" w:cstheme="majorBidi"/>
                </w:rPr>
                <w:t>九、一般公共预算财政拨款项目支出决算表</w:t>
              </w:r>
            </w:sdtContent>
          </w:sdt>
          <w:r>
            <w:tab/>
          </w:r>
          <w:r>
            <w:rPr>
              <w:rFonts w:hint="eastAsia"/>
              <w:lang w:val="en-US" w:eastAsia="zh-CN"/>
            </w:rPr>
            <w:t>1</w:t>
          </w:r>
          <w:r>
            <w:fldChar w:fldCharType="end"/>
          </w:r>
          <w:r>
            <w:rPr>
              <w:rFonts w:hint="eastAsia"/>
              <w:lang w:val="en-US" w:eastAsia="zh-CN"/>
            </w:rPr>
            <w:t>2</w:t>
          </w:r>
        </w:p>
        <w:p w14:paraId="61AF5FEA">
          <w:pPr>
            <w:pStyle w:val="39"/>
            <w:tabs>
              <w:tab w:val="right" w:leader="dot" w:pos="8306"/>
            </w:tabs>
            <w:rPr>
              <w:rFonts w:hint="eastAsia" w:eastAsia="宋体"/>
              <w:lang w:val="en-US" w:eastAsia="zh-CN"/>
            </w:rPr>
          </w:pPr>
          <w:r>
            <w:fldChar w:fldCharType="begin"/>
          </w:r>
          <w:r>
            <w:instrText xml:space="preserve"> HYPERLINK \l _Toc2938_WPSOffice_Level2 </w:instrText>
          </w:r>
          <w:r>
            <w:fldChar w:fldCharType="separate"/>
          </w:r>
          <w:sdt>
            <w:sdtPr>
              <w:rPr>
                <w:rFonts w:ascii="Times New Roman" w:hAnsi="Times New Roman" w:eastAsia="宋体" w:cs="Times New Roman"/>
                <w:kern w:val="2"/>
                <w:sz w:val="21"/>
                <w:szCs w:val="24"/>
                <w:lang w:val="en-US" w:eastAsia="zh-CN" w:bidi="ar-SA"/>
              </w:rPr>
              <w:id w:val="147453149"/>
              <w:placeholder>
                <w:docPart w:val="{20b7699f-ffdd-451f-9765-dd9260b91153}"/>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仿宋" w:hAnsi="仿宋" w:eastAsia="仿宋" w:cstheme="majorBidi"/>
                </w:rPr>
                <w:t>十、政府性基金预算财政拨款收入支出决算表</w:t>
              </w:r>
            </w:sdtContent>
          </w:sdt>
          <w:r>
            <w:tab/>
          </w:r>
          <w:r>
            <w:rPr>
              <w:rFonts w:hint="eastAsia"/>
              <w:lang w:val="en-US" w:eastAsia="zh-CN"/>
            </w:rPr>
            <w:t>1</w:t>
          </w:r>
          <w:r>
            <w:fldChar w:fldCharType="end"/>
          </w:r>
          <w:r>
            <w:rPr>
              <w:rFonts w:hint="eastAsia"/>
              <w:lang w:val="en-US" w:eastAsia="zh-CN"/>
            </w:rPr>
            <w:t>2</w:t>
          </w:r>
        </w:p>
        <w:p w14:paraId="7B6A3163">
          <w:pPr>
            <w:pStyle w:val="39"/>
            <w:tabs>
              <w:tab w:val="right" w:leader="dot" w:pos="8306"/>
            </w:tabs>
            <w:rPr>
              <w:rFonts w:hint="eastAsia" w:eastAsia="宋体"/>
              <w:lang w:val="en-US" w:eastAsia="zh-CN"/>
            </w:rPr>
          </w:pPr>
          <w:r>
            <w:fldChar w:fldCharType="begin"/>
          </w:r>
          <w:r>
            <w:instrText xml:space="preserve"> HYPERLINK \l _Toc10409_WPSOffice_Level2 </w:instrText>
          </w:r>
          <w:r>
            <w:fldChar w:fldCharType="separate"/>
          </w:r>
          <w:sdt>
            <w:sdtPr>
              <w:rPr>
                <w:rFonts w:ascii="Times New Roman" w:hAnsi="Times New Roman" w:eastAsia="宋体" w:cs="Times New Roman"/>
                <w:kern w:val="2"/>
                <w:sz w:val="21"/>
                <w:szCs w:val="24"/>
                <w:lang w:val="en-US" w:eastAsia="zh-CN" w:bidi="ar-SA"/>
              </w:rPr>
              <w:id w:val="147455140"/>
              <w:placeholder>
                <w:docPart w:val="{cb09fc81-1ca8-4857-9caf-1b68f236639a}"/>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仿宋" w:hAnsi="仿宋" w:eastAsia="仿宋" w:cstheme="majorBidi"/>
                </w:rPr>
                <w:t>十一、国有资本经营预算财政拨款收入支出决算表</w:t>
              </w:r>
            </w:sdtContent>
          </w:sdt>
          <w:r>
            <w:tab/>
          </w:r>
          <w:r>
            <w:rPr>
              <w:rFonts w:hint="eastAsia"/>
              <w:lang w:val="en-US" w:eastAsia="zh-CN"/>
            </w:rPr>
            <w:t>1</w:t>
          </w:r>
          <w:r>
            <w:fldChar w:fldCharType="end"/>
          </w:r>
          <w:r>
            <w:rPr>
              <w:rFonts w:hint="eastAsia"/>
              <w:lang w:val="en-US" w:eastAsia="zh-CN"/>
            </w:rPr>
            <w:t>2</w:t>
          </w:r>
        </w:p>
        <w:p w14:paraId="58A7B5B4">
          <w:pPr>
            <w:pStyle w:val="39"/>
            <w:tabs>
              <w:tab w:val="right" w:leader="dot" w:pos="8306"/>
            </w:tabs>
            <w:rPr>
              <w:rFonts w:hint="eastAsia" w:eastAsia="宋体"/>
              <w:lang w:val="en-US" w:eastAsia="zh-CN"/>
            </w:rPr>
          </w:pPr>
          <w:r>
            <w:fldChar w:fldCharType="begin"/>
          </w:r>
          <w:r>
            <w:instrText xml:space="preserve"> HYPERLINK \l _Toc14406_WPSOffice_Level2 </w:instrText>
          </w:r>
          <w:r>
            <w:fldChar w:fldCharType="separate"/>
          </w:r>
          <w:sdt>
            <w:sdtPr>
              <w:rPr>
                <w:rFonts w:ascii="Times New Roman" w:hAnsi="Times New Roman" w:eastAsia="宋体" w:cs="Times New Roman"/>
                <w:kern w:val="2"/>
                <w:sz w:val="21"/>
                <w:szCs w:val="24"/>
                <w:lang w:val="en-US" w:eastAsia="zh-CN" w:bidi="ar-SA"/>
              </w:rPr>
              <w:id w:val="147453866"/>
              <w:placeholder>
                <w:docPart w:val="{dc4588fd-e456-4dda-ad16-ef898c94a3d9}"/>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仿宋" w:hAnsi="仿宋" w:eastAsia="仿宋" w:cstheme="majorBidi"/>
                </w:rPr>
                <w:t>十二、国有资本经营预算财政拨款支出决算表</w:t>
              </w:r>
            </w:sdtContent>
          </w:sdt>
          <w:r>
            <w:tab/>
          </w:r>
          <w:r>
            <w:rPr>
              <w:rFonts w:hint="eastAsia"/>
              <w:lang w:val="en-US" w:eastAsia="zh-CN"/>
            </w:rPr>
            <w:t>1</w:t>
          </w:r>
          <w:r>
            <w:fldChar w:fldCharType="end"/>
          </w:r>
          <w:r>
            <w:rPr>
              <w:rFonts w:hint="eastAsia"/>
              <w:lang w:val="en-US" w:eastAsia="zh-CN"/>
            </w:rPr>
            <w:t>2</w:t>
          </w:r>
        </w:p>
        <w:p w14:paraId="4CEB089F">
          <w:pPr>
            <w:pStyle w:val="39"/>
            <w:tabs>
              <w:tab w:val="right" w:leader="dot" w:pos="8306"/>
            </w:tabs>
          </w:pPr>
          <w:r>
            <w:fldChar w:fldCharType="begin"/>
          </w:r>
          <w:r>
            <w:instrText xml:space="preserve"> HYPERLINK \l _Toc27684_WPSOffice_Level2 </w:instrText>
          </w:r>
          <w:r>
            <w:fldChar w:fldCharType="separate"/>
          </w:r>
          <w:sdt>
            <w:sdtPr>
              <w:rPr>
                <w:rFonts w:ascii="Times New Roman" w:hAnsi="Times New Roman" w:eastAsia="宋体" w:cs="Times New Roman"/>
                <w:kern w:val="2"/>
                <w:sz w:val="21"/>
                <w:szCs w:val="24"/>
                <w:lang w:val="en-US" w:eastAsia="zh-CN" w:bidi="ar-SA"/>
              </w:rPr>
              <w:id w:val="147483608"/>
              <w:placeholder>
                <w:docPart w:val="{29a7f29e-8064-423c-b7bb-203449848f0e}"/>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仿宋" w:hAnsi="仿宋" w:eastAsia="仿宋" w:cstheme="majorBidi"/>
                </w:rPr>
                <w:t>十三、财政拨款“三公”经费支出决算表</w:t>
              </w:r>
            </w:sdtContent>
          </w:sdt>
          <w:r>
            <w:tab/>
          </w:r>
          <w:r>
            <w:rPr>
              <w:rFonts w:hint="eastAsia"/>
              <w:lang w:val="en-US" w:eastAsia="zh-CN"/>
            </w:rPr>
            <w:t>1</w:t>
          </w:r>
          <w:r>
            <w:fldChar w:fldCharType="end"/>
          </w:r>
          <w:bookmarkEnd w:id="12"/>
          <w:r>
            <w:rPr>
              <w:rFonts w:hint="eastAsia"/>
              <w:lang w:val="en-US" w:eastAsia="zh-CN"/>
            </w:rPr>
            <w:t>2</w:t>
          </w:r>
        </w:p>
      </w:sdtContent>
    </w:sdt>
    <w:p w14:paraId="2BE69B15">
      <w:pPr>
        <w:rPr>
          <w:color w:val="auto"/>
          <w:highlight w:val="none"/>
        </w:rPr>
      </w:pPr>
    </w:p>
    <w:p w14:paraId="20C95A0E">
      <w:pPr>
        <w:widowControl/>
        <w:spacing w:line="440" w:lineRule="exact"/>
        <w:jc w:val="left"/>
        <w:rPr>
          <w:rFonts w:ascii="仿宋" w:hAnsi="仿宋" w:eastAsia="仿宋"/>
          <w:bCs/>
          <w:color w:val="auto"/>
          <w:kern w:val="44"/>
          <w:sz w:val="24"/>
          <w:highlight w:val="none"/>
        </w:rPr>
      </w:pPr>
      <w:bookmarkStart w:id="13" w:name="_Toc15396599"/>
      <w:bookmarkStart w:id="14" w:name="_Toc15377196"/>
      <w:r>
        <w:rPr>
          <w:rFonts w:ascii="仿宋" w:hAnsi="仿宋" w:eastAsia="仿宋"/>
          <w:b/>
          <w:color w:val="auto"/>
          <w:sz w:val="24"/>
          <w:highlight w:val="none"/>
        </w:rPr>
        <w:br w:type="page"/>
      </w:r>
    </w:p>
    <w:p w14:paraId="4D0809DE">
      <w:pPr>
        <w:pStyle w:val="3"/>
        <w:jc w:val="center"/>
        <w:rPr>
          <w:rStyle w:val="31"/>
          <w:rFonts w:ascii="黑体" w:hAnsi="黑体" w:eastAsia="黑体"/>
          <w:b/>
          <w:bCs w:val="0"/>
          <w:color w:val="auto"/>
          <w:highlight w:val="none"/>
        </w:rPr>
      </w:pPr>
      <w:bookmarkStart w:id="15" w:name="_Toc20630_WPSOffice_Level1"/>
      <w:r>
        <w:rPr>
          <w:rFonts w:hint="eastAsia" w:ascii="黑体" w:hAnsi="黑体" w:eastAsia="黑体"/>
          <w:b w:val="0"/>
          <w:color w:val="auto"/>
          <w:highlight w:val="none"/>
        </w:rPr>
        <w:t xml:space="preserve">第一部分 </w:t>
      </w:r>
      <w:r>
        <w:rPr>
          <w:rStyle w:val="31"/>
          <w:rFonts w:hint="eastAsia" w:ascii="黑体" w:hAnsi="黑体" w:eastAsia="黑体"/>
          <w:b w:val="0"/>
          <w:bCs w:val="0"/>
          <w:color w:val="auto"/>
          <w:highlight w:val="none"/>
        </w:rPr>
        <w:t>部门概况</w:t>
      </w:r>
      <w:bookmarkEnd w:id="13"/>
      <w:bookmarkEnd w:id="14"/>
      <w:bookmarkEnd w:id="15"/>
    </w:p>
    <w:p w14:paraId="4B6A827E">
      <w:pPr>
        <w:pStyle w:val="4"/>
        <w:keepNext/>
        <w:keepLines/>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黑体" w:hAnsi="黑体" w:eastAsia="黑体"/>
          <w:b w:val="0"/>
          <w:color w:val="auto"/>
          <w:highlight w:val="none"/>
          <w:lang w:eastAsia="zh-CN"/>
        </w:rPr>
      </w:pPr>
      <w:bookmarkStart w:id="16" w:name="_Toc15377197"/>
      <w:bookmarkStart w:id="17" w:name="_Toc15396600"/>
      <w:bookmarkStart w:id="18" w:name="_Toc13791_WPSOffice_Level2"/>
      <w:r>
        <w:rPr>
          <w:rFonts w:hint="eastAsia" w:ascii="黑体" w:hAnsi="黑体" w:eastAsia="黑体"/>
          <w:b w:val="0"/>
          <w:color w:val="auto"/>
          <w:highlight w:val="none"/>
        </w:rPr>
        <w:t>一、</w:t>
      </w:r>
      <w:bookmarkEnd w:id="16"/>
      <w:bookmarkEnd w:id="17"/>
      <w:r>
        <w:rPr>
          <w:rFonts w:hint="eastAsia" w:ascii="黑体" w:hAnsi="黑体" w:eastAsia="黑体"/>
          <w:b w:val="0"/>
          <w:color w:val="auto"/>
          <w:highlight w:val="none"/>
          <w:lang w:eastAsia="zh-CN"/>
        </w:rPr>
        <w:t>部门职责</w:t>
      </w:r>
      <w:bookmarkEnd w:id="18"/>
    </w:p>
    <w:p w14:paraId="5717EE83">
      <w:pPr>
        <w:pStyle w:val="17"/>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firstLine="640" w:firstLineChars="200"/>
        <w:textAlignment w:val="auto"/>
        <w:rPr>
          <w:rFonts w:hint="eastAsia"/>
          <w:spacing w:val="-11"/>
          <w:lang w:eastAsia="zh-CN"/>
        </w:rPr>
      </w:pPr>
      <w:r>
        <w:rPr>
          <w:rFonts w:hint="eastAsia" w:ascii="仿宋_GB2312" w:eastAsia="仿宋_GB2312" w:cs="仿宋_GB2312"/>
          <w:kern w:val="2"/>
          <w:sz w:val="32"/>
          <w:szCs w:val="32"/>
          <w:lang w:val="en-US" w:eastAsia="zh-CN" w:bidi="ar-SA"/>
        </w:rPr>
        <w:t>小金县信访局机关</w:t>
      </w:r>
      <w:r>
        <w:rPr>
          <w:rFonts w:hint="eastAsia" w:ascii="仿宋_GB2312" w:hAnsi="Times New Roman" w:eastAsia="仿宋_GB2312" w:cs="仿宋_GB2312"/>
          <w:kern w:val="2"/>
          <w:sz w:val="32"/>
          <w:szCs w:val="32"/>
          <w:lang w:val="en-US" w:eastAsia="zh-CN" w:bidi="ar-SA"/>
        </w:rPr>
        <w:t>，是县委主管的正科级行政机构，内设办公室、信访接待中心。主要负责：一是受理、转送、交办信访事项；二是协调解决重要信访问题；三是督促检查重要信访事项的处理和落实；四是综合反映信访信息，分析研判信访形势，为党委和政府提供决策参考；五是指导本级其他机关、单位和下级的信访工作；六是提出改进工作、完善</w:t>
      </w:r>
      <w:r>
        <w:rPr>
          <w:rFonts w:hint="eastAsia" w:ascii="仿宋_GB2312" w:hAnsi="Times New Roman" w:eastAsia="仿宋_GB2312" w:cs="仿宋_GB2312"/>
          <w:spacing w:val="-20"/>
          <w:kern w:val="2"/>
          <w:sz w:val="32"/>
          <w:szCs w:val="32"/>
          <w:lang w:val="en-US" w:eastAsia="zh-CN" w:bidi="ar-SA"/>
        </w:rPr>
        <w:t>政策和追究责任的建议；七是承担本级党委和政府交办的其他事项。</w:t>
      </w:r>
    </w:p>
    <w:p w14:paraId="37BEC58B">
      <w:pPr>
        <w:pStyle w:val="4"/>
        <w:ind w:firstLine="640" w:firstLineChars="200"/>
        <w:rPr>
          <w:rStyle w:val="32"/>
          <w:rFonts w:hint="eastAsia" w:ascii="黑体" w:hAnsi="黑体" w:eastAsia="黑体"/>
          <w:b w:val="0"/>
          <w:bCs w:val="0"/>
          <w:color w:val="auto"/>
          <w:highlight w:val="none"/>
        </w:rPr>
      </w:pPr>
      <w:bookmarkStart w:id="19" w:name="_Toc15396601"/>
      <w:bookmarkStart w:id="20" w:name="_Toc15377200"/>
      <w:bookmarkStart w:id="21" w:name="_Toc20630_WPSOffice_Level2"/>
      <w:r>
        <w:rPr>
          <w:rFonts w:hint="eastAsia" w:ascii="黑体" w:eastAsia="黑体"/>
          <w:b w:val="0"/>
          <w:color w:val="auto"/>
          <w:highlight w:val="none"/>
        </w:rPr>
        <w:t>二、</w:t>
      </w:r>
      <w:r>
        <w:rPr>
          <w:rFonts w:hint="eastAsia" w:ascii="黑体" w:hAnsi="黑体" w:eastAsia="黑体"/>
          <w:b w:val="0"/>
          <w:color w:val="auto"/>
          <w:highlight w:val="none"/>
        </w:rPr>
        <w:t>机</w:t>
      </w:r>
      <w:r>
        <w:rPr>
          <w:rStyle w:val="32"/>
          <w:rFonts w:hint="eastAsia" w:ascii="黑体" w:hAnsi="黑体" w:eastAsia="黑体"/>
          <w:b w:val="0"/>
          <w:bCs w:val="0"/>
          <w:color w:val="auto"/>
          <w:highlight w:val="none"/>
        </w:rPr>
        <w:t>构设置</w:t>
      </w:r>
      <w:bookmarkEnd w:id="19"/>
      <w:bookmarkEnd w:id="20"/>
      <w:bookmarkEnd w:id="21"/>
    </w:p>
    <w:p w14:paraId="4C8FBB71">
      <w:pPr>
        <w:pStyle w:val="4"/>
        <w:ind w:firstLine="596" w:firstLineChars="200"/>
        <w:rPr>
          <w:rFonts w:hint="eastAsia" w:ascii="仿宋_GB2312" w:hAnsi="Times New Roman" w:eastAsia="仿宋_GB2312" w:cs="仿宋_GB2312"/>
          <w:b w:val="0"/>
          <w:bCs w:val="0"/>
          <w:kern w:val="2"/>
          <w:sz w:val="32"/>
          <w:szCs w:val="32"/>
          <w:lang w:val="en-US" w:eastAsia="zh-CN" w:bidi="ar-SA"/>
        </w:rPr>
      </w:pPr>
      <w:r>
        <w:rPr>
          <w:rFonts w:hint="eastAsia" w:ascii="仿宋_GB2312" w:hAnsi="Times New Roman" w:eastAsia="仿宋_GB2312" w:cs="仿宋_GB2312"/>
          <w:b w:val="0"/>
          <w:bCs w:val="0"/>
          <w:spacing w:val="-11"/>
          <w:kern w:val="2"/>
          <w:sz w:val="32"/>
          <w:szCs w:val="32"/>
          <w:lang w:val="en-US" w:eastAsia="zh-CN" w:bidi="ar-SA"/>
        </w:rPr>
        <w:t>信访局机关行政单位1个，参照公务员法管理的事业单位0个。</w:t>
      </w:r>
    </w:p>
    <w:p w14:paraId="2AAFCF47">
      <w:pPr>
        <w:pStyle w:val="3"/>
        <w:ind w:right="440"/>
        <w:jc w:val="center"/>
        <w:rPr>
          <w:rStyle w:val="31"/>
          <w:rFonts w:ascii="黑体" w:hAnsi="黑体" w:eastAsia="黑体"/>
          <w:b w:val="0"/>
          <w:bCs/>
          <w:color w:val="auto"/>
          <w:highlight w:val="none"/>
        </w:rPr>
      </w:pPr>
      <w:bookmarkStart w:id="22" w:name="_Toc15377204"/>
      <w:bookmarkStart w:id="23" w:name="_Toc15396602"/>
      <w:bookmarkStart w:id="24" w:name="_Toc6457_WPSOffice_Level1"/>
      <w:r>
        <w:rPr>
          <w:rFonts w:hint="eastAsia" w:ascii="黑体" w:hAnsi="黑体" w:eastAsia="黑体"/>
          <w:b w:val="0"/>
          <w:bCs/>
          <w:color w:val="auto"/>
          <w:highlight w:val="none"/>
        </w:rPr>
        <w:t xml:space="preserve">第二部分 </w:t>
      </w:r>
      <w:r>
        <w:rPr>
          <w:rFonts w:hint="eastAsia" w:ascii="黑体" w:hAnsi="黑体" w:eastAsia="黑体"/>
          <w:b w:val="0"/>
          <w:bCs/>
          <w:color w:val="auto"/>
          <w:highlight w:val="none"/>
          <w:lang w:val="en-US" w:eastAsia="zh-CN"/>
        </w:rPr>
        <w:t>2025年度</w:t>
      </w:r>
      <w:r>
        <w:rPr>
          <w:rStyle w:val="31"/>
          <w:rFonts w:hint="eastAsia" w:ascii="黑体" w:hAnsi="黑体" w:eastAsia="黑体"/>
          <w:b w:val="0"/>
          <w:bCs/>
          <w:color w:val="auto"/>
          <w:highlight w:val="none"/>
        </w:rPr>
        <w:t>部门决算情况说明</w:t>
      </w:r>
      <w:bookmarkEnd w:id="22"/>
      <w:bookmarkEnd w:id="23"/>
      <w:bookmarkEnd w:id="24"/>
    </w:p>
    <w:p w14:paraId="1030FFF1">
      <w:pPr>
        <w:pStyle w:val="30"/>
        <w:numPr>
          <w:ilvl w:val="0"/>
          <w:numId w:val="1"/>
        </w:numPr>
        <w:spacing w:line="600" w:lineRule="exact"/>
        <w:ind w:firstLineChars="0"/>
        <w:outlineLvl w:val="1"/>
        <w:rPr>
          <w:rStyle w:val="32"/>
          <w:rFonts w:ascii="黑体" w:hAnsi="黑体" w:eastAsia="黑体"/>
          <w:b w:val="0"/>
          <w:color w:val="auto"/>
          <w:highlight w:val="none"/>
        </w:rPr>
      </w:pPr>
      <w:bookmarkStart w:id="25" w:name="_Toc15396603"/>
      <w:bookmarkStart w:id="26" w:name="_Toc6457_WPSOffice_Level2"/>
      <w:bookmarkStart w:id="27" w:name="_Toc15377205"/>
      <w:r>
        <w:rPr>
          <w:rFonts w:hint="eastAsia" w:ascii="黑体" w:hAnsi="黑体" w:eastAsia="黑体"/>
          <w:color w:val="auto"/>
          <w:sz w:val="32"/>
          <w:szCs w:val="32"/>
          <w:highlight w:val="none"/>
        </w:rPr>
        <w:t>收</w:t>
      </w:r>
      <w:r>
        <w:rPr>
          <w:rStyle w:val="32"/>
          <w:rFonts w:hint="eastAsia" w:ascii="黑体" w:hAnsi="黑体" w:eastAsia="黑体"/>
          <w:b w:val="0"/>
          <w:color w:val="auto"/>
          <w:highlight w:val="none"/>
        </w:rPr>
        <w:t>入支出决算总体情况说明</w:t>
      </w:r>
      <w:bookmarkEnd w:id="25"/>
      <w:bookmarkEnd w:id="26"/>
      <w:bookmarkEnd w:id="27"/>
    </w:p>
    <w:p w14:paraId="5B4DA96D">
      <w:pPr>
        <w:spacing w:line="600" w:lineRule="exact"/>
        <w:ind w:firstLine="640" w:firstLineChars="200"/>
        <w:rPr>
          <w:rFonts w:hint="eastAsia" w:ascii="仿宋" w:hAnsi="仿宋" w:eastAsia="仿宋"/>
          <w:color w:val="auto"/>
          <w:sz w:val="32"/>
          <w:szCs w:val="32"/>
          <w:highlight w:val="none"/>
          <w:lang w:eastAsia="zh-CN"/>
        </w:rPr>
      </w:pPr>
      <w:r>
        <w:rPr>
          <w:rFonts w:hint="eastAsia" w:ascii="仿宋" w:hAnsi="仿宋" w:eastAsia="仿宋"/>
          <w:color w:val="auto"/>
          <w:sz w:val="32"/>
          <w:szCs w:val="32"/>
          <w:highlight w:val="none"/>
          <w:lang w:eastAsia="zh-CN"/>
        </w:rPr>
        <w:t>2025</w:t>
      </w:r>
      <w:r>
        <w:rPr>
          <w:rFonts w:hint="eastAsia" w:ascii="仿宋" w:hAnsi="仿宋" w:eastAsia="仿宋"/>
          <w:color w:val="auto"/>
          <w:sz w:val="32"/>
          <w:szCs w:val="32"/>
          <w:highlight w:val="none"/>
        </w:rPr>
        <w:t>年度收、支总计</w:t>
      </w:r>
      <w:r>
        <w:rPr>
          <w:rFonts w:hint="eastAsia" w:ascii="仿宋" w:hAnsi="仿宋" w:eastAsia="仿宋"/>
          <w:color w:val="auto"/>
          <w:sz w:val="32"/>
          <w:szCs w:val="32"/>
          <w:highlight w:val="none"/>
          <w:lang w:val="en-US" w:eastAsia="zh-CN"/>
        </w:rPr>
        <w:t>197.76</w:t>
      </w:r>
      <w:r>
        <w:rPr>
          <w:rFonts w:hint="eastAsia" w:ascii="仿宋" w:hAnsi="仿宋" w:eastAsia="仿宋"/>
          <w:color w:val="auto"/>
          <w:sz w:val="32"/>
          <w:szCs w:val="32"/>
          <w:highlight w:val="none"/>
        </w:rPr>
        <w:t>万元。与</w:t>
      </w:r>
      <w:r>
        <w:rPr>
          <w:rFonts w:hint="eastAsia" w:ascii="仿宋" w:hAnsi="仿宋" w:eastAsia="仿宋"/>
          <w:color w:val="auto"/>
          <w:sz w:val="32"/>
          <w:szCs w:val="32"/>
          <w:highlight w:val="none"/>
          <w:lang w:eastAsia="zh-CN"/>
        </w:rPr>
        <w:t>2024</w:t>
      </w:r>
      <w:r>
        <w:rPr>
          <w:rFonts w:hint="eastAsia" w:ascii="仿宋" w:hAnsi="仿宋" w:eastAsia="仿宋"/>
          <w:color w:val="auto"/>
          <w:sz w:val="32"/>
          <w:szCs w:val="32"/>
          <w:highlight w:val="none"/>
        </w:rPr>
        <w:t>年相比，收、支总计各</w:t>
      </w:r>
      <w:r>
        <w:rPr>
          <w:rFonts w:hint="eastAsia" w:ascii="仿宋" w:hAnsi="仿宋" w:eastAsia="仿宋"/>
          <w:color w:val="auto"/>
          <w:sz w:val="32"/>
          <w:szCs w:val="32"/>
          <w:highlight w:val="none"/>
          <w:lang w:val="en-US" w:eastAsia="zh-CN"/>
        </w:rPr>
        <w:t>减少21.84</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val="en-US" w:eastAsia="zh-CN"/>
        </w:rPr>
        <w:t>减少9.95</w:t>
      </w:r>
      <w:r>
        <w:rPr>
          <w:rFonts w:ascii="仿宋" w:hAnsi="仿宋" w:eastAsia="仿宋"/>
          <w:color w:val="auto"/>
          <w:sz w:val="32"/>
          <w:szCs w:val="32"/>
          <w:highlight w:val="none"/>
        </w:rPr>
        <w:t>%</w:t>
      </w:r>
      <w:r>
        <w:rPr>
          <w:rFonts w:hint="eastAsia" w:ascii="仿宋" w:hAnsi="仿宋" w:eastAsia="仿宋"/>
          <w:color w:val="auto"/>
          <w:sz w:val="32"/>
          <w:szCs w:val="32"/>
          <w:highlight w:val="none"/>
        </w:rPr>
        <w:t>。主要变动原因是信访工作任务</w:t>
      </w:r>
      <w:r>
        <w:rPr>
          <w:rFonts w:hint="eastAsia" w:ascii="仿宋" w:hAnsi="仿宋" w:eastAsia="仿宋"/>
          <w:color w:val="auto"/>
          <w:sz w:val="32"/>
          <w:szCs w:val="32"/>
          <w:highlight w:val="none"/>
          <w:lang w:val="en-US" w:eastAsia="zh-CN"/>
        </w:rPr>
        <w:t>减少</w:t>
      </w:r>
      <w:r>
        <w:rPr>
          <w:rFonts w:hint="eastAsia" w:ascii="仿宋" w:hAnsi="仿宋" w:eastAsia="仿宋"/>
          <w:color w:val="auto"/>
          <w:sz w:val="32"/>
          <w:szCs w:val="32"/>
          <w:highlight w:val="none"/>
        </w:rPr>
        <w:t>，相应</w:t>
      </w:r>
      <w:r>
        <w:rPr>
          <w:rFonts w:hint="eastAsia" w:ascii="仿宋" w:hAnsi="仿宋" w:eastAsia="仿宋"/>
          <w:color w:val="auto"/>
          <w:sz w:val="32"/>
          <w:szCs w:val="32"/>
          <w:highlight w:val="none"/>
          <w:lang w:val="en-US" w:eastAsia="zh-CN"/>
        </w:rPr>
        <w:t>减少</w:t>
      </w:r>
      <w:r>
        <w:rPr>
          <w:rFonts w:hint="eastAsia" w:ascii="仿宋" w:hAnsi="仿宋" w:eastAsia="仿宋"/>
          <w:color w:val="auto"/>
          <w:sz w:val="32"/>
          <w:szCs w:val="32"/>
          <w:highlight w:val="none"/>
        </w:rPr>
        <w:t>工作经费</w:t>
      </w:r>
      <w:r>
        <w:rPr>
          <w:rFonts w:hint="eastAsia" w:ascii="仿宋" w:hAnsi="仿宋" w:eastAsia="仿宋"/>
          <w:color w:val="auto"/>
          <w:sz w:val="32"/>
          <w:szCs w:val="32"/>
          <w:highlight w:val="none"/>
          <w:lang w:eastAsia="zh-CN"/>
        </w:rPr>
        <w:t>。</w:t>
      </w:r>
    </w:p>
    <w:p w14:paraId="0E156EB7">
      <w:pPr>
        <w:pStyle w:val="22"/>
        <w:jc w:val="center"/>
        <w:rPr>
          <w:rFonts w:hint="eastAsia" w:eastAsia="黑体"/>
          <w:lang w:eastAsia="zh-CN"/>
        </w:rPr>
      </w:pPr>
      <w:bookmarkStart w:id="28" w:name="_Toc5354_WPSOffice_Level2"/>
      <w:bookmarkStart w:id="29" w:name="_Toc15396604"/>
      <w:bookmarkStart w:id="30" w:name="_Toc15377206"/>
      <w:r>
        <w:rPr>
          <w:rFonts w:ascii="宋体" w:hAnsi="宋体" w:eastAsia="宋体" w:cs="宋体"/>
          <w:sz w:val="24"/>
          <w:szCs w:val="24"/>
        </w:rPr>
        <w:t>收、支决算总计变动情况图</w:t>
      </w:r>
      <w:r>
        <w:rPr>
          <w:rFonts w:hint="eastAsia" w:eastAsia="黑体"/>
          <w:lang w:eastAsia="zh-CN"/>
        </w:rPr>
        <w:drawing>
          <wp:inline distT="0" distB="0" distL="114300" distR="114300">
            <wp:extent cx="5256530" cy="2367280"/>
            <wp:effectExtent l="4445" t="4445" r="15875" b="952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6B8D0A6D">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280FBA2C">
      <w:pPr>
        <w:pStyle w:val="30"/>
        <w:numPr>
          <w:ilvl w:val="0"/>
          <w:numId w:val="1"/>
        </w:numPr>
        <w:spacing w:line="600" w:lineRule="exact"/>
        <w:ind w:firstLineChars="0"/>
        <w:outlineLvl w:val="1"/>
        <w:rPr>
          <w:rStyle w:val="32"/>
          <w:rFonts w:ascii="黑体" w:hAnsi="黑体" w:eastAsia="黑体"/>
          <w:b w:val="0"/>
          <w:color w:val="auto"/>
          <w:highlight w:val="none"/>
        </w:rPr>
      </w:pPr>
      <w:r>
        <w:rPr>
          <w:rFonts w:hint="eastAsia" w:ascii="黑体" w:hAnsi="黑体" w:eastAsia="黑体"/>
          <w:color w:val="auto"/>
          <w:sz w:val="32"/>
          <w:szCs w:val="32"/>
          <w:highlight w:val="none"/>
        </w:rPr>
        <w:t>收</w:t>
      </w:r>
      <w:r>
        <w:rPr>
          <w:rStyle w:val="32"/>
          <w:rFonts w:hint="eastAsia" w:ascii="黑体" w:hAnsi="黑体" w:eastAsia="黑体"/>
          <w:b w:val="0"/>
          <w:color w:val="auto"/>
          <w:highlight w:val="none"/>
        </w:rPr>
        <w:t>入决算情况说明</w:t>
      </w:r>
      <w:bookmarkEnd w:id="28"/>
      <w:bookmarkEnd w:id="29"/>
      <w:bookmarkEnd w:id="30"/>
    </w:p>
    <w:p w14:paraId="3AE56C1F">
      <w:pPr>
        <w:spacing w:line="600" w:lineRule="exact"/>
        <w:ind w:firstLine="640" w:firstLineChars="200"/>
        <w:outlineLvl w:val="1"/>
        <w:rPr>
          <w:rFonts w:hint="eastAsia" w:ascii="仿宋" w:hAnsi="仿宋" w:eastAsia="仿宋"/>
          <w:color w:val="auto"/>
          <w:sz w:val="32"/>
          <w:szCs w:val="32"/>
          <w:highlight w:val="none"/>
        </w:rPr>
      </w:pPr>
      <w:r>
        <w:rPr>
          <w:rFonts w:hint="eastAsia" w:ascii="仿宋" w:hAnsi="仿宋" w:eastAsia="仿宋"/>
          <w:color w:val="auto"/>
          <w:sz w:val="32"/>
          <w:szCs w:val="32"/>
          <w:highlight w:val="none"/>
          <w:lang w:eastAsia="zh-CN"/>
        </w:rPr>
        <w:t>2025</w:t>
      </w:r>
      <w:r>
        <w:rPr>
          <w:rFonts w:hint="eastAsia" w:ascii="仿宋" w:hAnsi="仿宋" w:eastAsia="仿宋"/>
          <w:color w:val="auto"/>
          <w:sz w:val="32"/>
          <w:szCs w:val="32"/>
          <w:highlight w:val="none"/>
        </w:rPr>
        <w:t>年本年收入合计</w:t>
      </w:r>
      <w:r>
        <w:rPr>
          <w:rFonts w:hint="eastAsia" w:ascii="仿宋" w:hAnsi="仿宋" w:eastAsia="仿宋"/>
          <w:color w:val="auto"/>
          <w:sz w:val="32"/>
          <w:szCs w:val="32"/>
          <w:highlight w:val="none"/>
          <w:lang w:val="en-US" w:eastAsia="zh-CN"/>
        </w:rPr>
        <w:t>197.76</w:t>
      </w:r>
      <w:r>
        <w:rPr>
          <w:rFonts w:hint="eastAsia" w:ascii="仿宋" w:hAnsi="仿宋" w:eastAsia="仿宋"/>
          <w:color w:val="auto"/>
          <w:sz w:val="32"/>
          <w:szCs w:val="32"/>
          <w:highlight w:val="none"/>
        </w:rPr>
        <w:t>万元，其中：一般公共预算财政拨款收入</w:t>
      </w:r>
      <w:r>
        <w:rPr>
          <w:rFonts w:hint="eastAsia" w:ascii="仿宋" w:hAnsi="仿宋" w:eastAsia="仿宋"/>
          <w:color w:val="auto"/>
          <w:sz w:val="32"/>
          <w:szCs w:val="32"/>
          <w:highlight w:val="none"/>
          <w:lang w:val="en-US" w:eastAsia="zh-CN"/>
        </w:rPr>
        <w:t>197.76</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100</w:t>
      </w:r>
      <w:r>
        <w:rPr>
          <w:rFonts w:ascii="仿宋" w:hAnsi="仿宋" w:eastAsia="仿宋"/>
          <w:color w:val="auto"/>
          <w:sz w:val="32"/>
          <w:szCs w:val="32"/>
          <w:highlight w:val="none"/>
        </w:rPr>
        <w:t>%</w:t>
      </w:r>
      <w:r>
        <w:rPr>
          <w:rFonts w:hint="eastAsia" w:ascii="仿宋" w:hAnsi="仿宋" w:eastAsia="仿宋"/>
          <w:color w:val="auto"/>
          <w:sz w:val="32"/>
          <w:szCs w:val="32"/>
          <w:highlight w:val="none"/>
        </w:rPr>
        <w:t>；政府性基金预算财政拨款收入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eastAsia="zh-CN"/>
        </w:rPr>
        <w:t>国有资本经营预算财政拨款收入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万元；上级补助收入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万元；事业收入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万元；经营收入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万元；附属单位上缴收入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万元；其他收入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w:t>
      </w:r>
    </w:p>
    <w:p w14:paraId="23815271">
      <w:pPr>
        <w:pStyle w:val="15"/>
      </w:pPr>
      <w:r>
        <w:drawing>
          <wp:inline distT="0" distB="0" distL="114300" distR="114300">
            <wp:extent cx="4951095" cy="2032635"/>
            <wp:effectExtent l="4445" t="4445" r="16510" b="20320"/>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1EBE3027">
      <w:pPr>
        <w:keepNext w:val="0"/>
        <w:keepLines w:val="0"/>
        <w:pageBreakBefore w:val="0"/>
        <w:widowControl w:val="0"/>
        <w:kinsoku/>
        <w:wordWrap/>
        <w:overflowPunct/>
        <w:topLinePunct w:val="0"/>
        <w:autoSpaceDE/>
        <w:autoSpaceDN/>
        <w:bidi w:val="0"/>
        <w:adjustRightInd/>
        <w:snapToGrid/>
        <w:spacing w:line="576" w:lineRule="exact"/>
        <w:ind w:firstLine="1600" w:firstLineChars="500"/>
        <w:jc w:val="both"/>
        <w:textAlignment w:val="auto"/>
        <w:rPr>
          <w:rFonts w:hint="eastAsia" w:ascii="黑体" w:hAnsi="黑体" w:eastAsia="黑体"/>
          <w:color w:val="000000"/>
          <w:sz w:val="32"/>
          <w:szCs w:val="32"/>
          <w:lang w:eastAsia="zh-CN"/>
        </w:rPr>
      </w:pPr>
      <w:r>
        <w:rPr>
          <w:rFonts w:hint="eastAsia" w:ascii="Times New Roman" w:hAnsi="Times New Roman" w:eastAsia="方正仿宋_GBK" w:cs="Times New Roman"/>
          <w:b w:val="0"/>
          <w:bCs w:val="0"/>
          <w:spacing w:val="0"/>
          <w:sz w:val="32"/>
          <w:szCs w:val="32"/>
          <w:lang w:val="en-US" w:eastAsia="zh-CN"/>
        </w:rPr>
        <w:t>（图2：收入决算结构图）（饼状图）</w:t>
      </w:r>
    </w:p>
    <w:p w14:paraId="6D694F33">
      <w:pPr>
        <w:pStyle w:val="30"/>
        <w:numPr>
          <w:ilvl w:val="0"/>
          <w:numId w:val="1"/>
        </w:numPr>
        <w:spacing w:line="600" w:lineRule="exact"/>
        <w:ind w:firstLineChars="0"/>
        <w:outlineLvl w:val="1"/>
        <w:rPr>
          <w:rStyle w:val="32"/>
          <w:rFonts w:ascii="黑体" w:hAnsi="黑体" w:eastAsia="黑体"/>
          <w:b w:val="0"/>
          <w:color w:val="auto"/>
          <w:highlight w:val="none"/>
        </w:rPr>
      </w:pPr>
      <w:bookmarkStart w:id="31" w:name="_Toc15377207"/>
      <w:bookmarkStart w:id="32" w:name="_Toc15396605"/>
      <w:bookmarkStart w:id="33" w:name="_Toc313_WPSOffice_Level2"/>
      <w:r>
        <w:rPr>
          <w:rFonts w:hint="eastAsia" w:ascii="黑体" w:hAnsi="黑体" w:eastAsia="黑体"/>
          <w:color w:val="auto"/>
          <w:sz w:val="32"/>
          <w:szCs w:val="32"/>
          <w:highlight w:val="none"/>
        </w:rPr>
        <w:t>支</w:t>
      </w:r>
      <w:r>
        <w:rPr>
          <w:rStyle w:val="32"/>
          <w:rFonts w:hint="eastAsia" w:ascii="黑体" w:hAnsi="黑体" w:eastAsia="黑体"/>
          <w:b w:val="0"/>
          <w:color w:val="auto"/>
          <w:highlight w:val="none"/>
        </w:rPr>
        <w:t>出决算情况说明</w:t>
      </w:r>
      <w:bookmarkEnd w:id="31"/>
      <w:bookmarkEnd w:id="32"/>
      <w:bookmarkEnd w:id="33"/>
    </w:p>
    <w:p w14:paraId="18CB303B">
      <w:pPr>
        <w:spacing w:line="600" w:lineRule="exact"/>
        <w:ind w:firstLine="640" w:firstLineChars="200"/>
        <w:outlineLvl w:val="1"/>
        <w:rPr>
          <w:rFonts w:hint="eastAsia" w:ascii="仿宋" w:hAnsi="仿宋" w:eastAsia="仿宋"/>
          <w:color w:val="auto"/>
          <w:sz w:val="32"/>
          <w:szCs w:val="32"/>
          <w:highlight w:val="none"/>
        </w:rPr>
      </w:pPr>
      <w:r>
        <w:rPr>
          <w:rFonts w:hint="eastAsia" w:ascii="仿宋" w:hAnsi="仿宋" w:eastAsia="仿宋"/>
          <w:color w:val="auto"/>
          <w:sz w:val="32"/>
          <w:szCs w:val="32"/>
          <w:highlight w:val="none"/>
          <w:lang w:eastAsia="zh-CN"/>
        </w:rPr>
        <w:t>2025</w:t>
      </w:r>
      <w:r>
        <w:rPr>
          <w:rFonts w:hint="eastAsia" w:ascii="仿宋" w:hAnsi="仿宋" w:eastAsia="仿宋"/>
          <w:color w:val="auto"/>
          <w:sz w:val="32"/>
          <w:szCs w:val="32"/>
          <w:highlight w:val="none"/>
        </w:rPr>
        <w:t>年本年支出合计</w:t>
      </w:r>
      <w:r>
        <w:rPr>
          <w:rFonts w:hint="eastAsia" w:ascii="仿宋" w:hAnsi="仿宋" w:eastAsia="仿宋"/>
          <w:color w:val="auto"/>
          <w:sz w:val="32"/>
          <w:szCs w:val="32"/>
          <w:highlight w:val="none"/>
          <w:lang w:val="en-US" w:eastAsia="zh-CN"/>
        </w:rPr>
        <w:t>197.76</w:t>
      </w:r>
      <w:r>
        <w:rPr>
          <w:rFonts w:hint="eastAsia" w:ascii="仿宋" w:hAnsi="仿宋" w:eastAsia="仿宋"/>
          <w:color w:val="auto"/>
          <w:sz w:val="32"/>
          <w:szCs w:val="32"/>
          <w:highlight w:val="none"/>
        </w:rPr>
        <w:t>万元，其中：</w:t>
      </w:r>
      <w:r>
        <w:rPr>
          <w:rFonts w:hint="eastAsia" w:ascii="仿宋" w:hAnsi="仿宋" w:eastAsia="仿宋"/>
          <w:color w:val="auto"/>
          <w:sz w:val="32"/>
          <w:szCs w:val="32"/>
          <w:highlight w:val="none"/>
          <w:lang w:val="en-US" w:eastAsia="zh-CN"/>
        </w:rPr>
        <w:t>基本支出186.61万元，占94.36</w:t>
      </w:r>
      <w:r>
        <w:rPr>
          <w:rFonts w:ascii="仿宋" w:hAnsi="仿宋" w:eastAsia="仿宋"/>
          <w:color w:val="auto"/>
          <w:sz w:val="32"/>
          <w:szCs w:val="32"/>
          <w:highlight w:val="none"/>
        </w:rPr>
        <w:t>%</w:t>
      </w:r>
      <w:r>
        <w:rPr>
          <w:rFonts w:hint="eastAsia" w:ascii="仿宋" w:hAnsi="仿宋" w:eastAsia="仿宋"/>
          <w:color w:val="auto"/>
          <w:sz w:val="32"/>
          <w:szCs w:val="32"/>
          <w:highlight w:val="none"/>
        </w:rPr>
        <w:t>；项目支出</w:t>
      </w:r>
      <w:r>
        <w:rPr>
          <w:rFonts w:hint="eastAsia" w:ascii="仿宋" w:hAnsi="仿宋" w:eastAsia="仿宋"/>
          <w:color w:val="auto"/>
          <w:sz w:val="32"/>
          <w:szCs w:val="32"/>
          <w:highlight w:val="none"/>
          <w:lang w:val="en-US" w:eastAsia="zh-CN"/>
        </w:rPr>
        <w:t>11.14</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5.64</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p>
    <w:p w14:paraId="7EB6ED06">
      <w:pPr>
        <w:keepNext w:val="0"/>
        <w:keepLines w:val="0"/>
        <w:pageBreakBefore w:val="0"/>
        <w:widowControl w:val="0"/>
        <w:kinsoku/>
        <w:wordWrap/>
        <w:overflowPunct/>
        <w:topLinePunct w:val="0"/>
        <w:autoSpaceDE/>
        <w:autoSpaceDN/>
        <w:bidi w:val="0"/>
        <w:adjustRightInd/>
        <w:snapToGrid/>
        <w:spacing w:line="576" w:lineRule="exact"/>
        <w:ind w:left="0" w:leftChars="0" w:firstLine="1600" w:firstLineChars="500"/>
        <w:jc w:val="left"/>
        <w:textAlignment w:val="auto"/>
        <w:rPr>
          <w:rFonts w:hint="eastAsia" w:ascii="Times New Roman" w:hAnsi="Times New Roman" w:eastAsia="方正仿宋_GBK" w:cs="Times New Roman"/>
          <w:b w:val="0"/>
          <w:bCs w:val="0"/>
          <w:spacing w:val="0"/>
          <w:sz w:val="32"/>
          <w:szCs w:val="32"/>
          <w:lang w:val="en-US" w:eastAsia="zh-CN"/>
        </w:rPr>
      </w:pPr>
      <w:r>
        <w:rPr>
          <w:rFonts w:hint="eastAsia" w:ascii="Times New Roman" w:hAnsi="Times New Roman" w:eastAsia="方正仿宋_GBK" w:cs="Times New Roman"/>
          <w:b w:val="0"/>
          <w:bCs w:val="0"/>
          <w:spacing w:val="0"/>
          <w:sz w:val="32"/>
          <w:szCs w:val="32"/>
          <w:lang w:val="en-US" w:eastAsia="zh-CN"/>
        </w:rPr>
        <w:drawing>
          <wp:anchor distT="0" distB="0" distL="114300" distR="114300" simplePos="0" relativeHeight="251659264" behindDoc="0" locked="0" layoutInCell="1" allowOverlap="1">
            <wp:simplePos x="0" y="0"/>
            <wp:positionH relativeFrom="column">
              <wp:posOffset>141605</wp:posOffset>
            </wp:positionH>
            <wp:positionV relativeFrom="paragraph">
              <wp:posOffset>200660</wp:posOffset>
            </wp:positionV>
            <wp:extent cx="4876800" cy="1899920"/>
            <wp:effectExtent l="4445" t="4445" r="14605" b="19685"/>
            <wp:wrapSquare wrapText="bothSides"/>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14:paraId="7BFBA138">
      <w:pPr>
        <w:keepNext w:val="0"/>
        <w:keepLines w:val="0"/>
        <w:pageBreakBefore w:val="0"/>
        <w:widowControl w:val="0"/>
        <w:kinsoku/>
        <w:wordWrap/>
        <w:overflowPunct/>
        <w:topLinePunct w:val="0"/>
        <w:autoSpaceDE/>
        <w:autoSpaceDN/>
        <w:bidi w:val="0"/>
        <w:adjustRightInd/>
        <w:snapToGrid/>
        <w:spacing w:line="576" w:lineRule="exact"/>
        <w:ind w:left="0" w:leftChars="0" w:firstLine="1600" w:firstLineChars="500"/>
        <w:jc w:val="left"/>
        <w:textAlignment w:val="auto"/>
        <w:rPr>
          <w:rFonts w:hint="eastAsia" w:ascii="Times New Roman" w:hAnsi="Times New Roman" w:eastAsia="方正仿宋_GBK" w:cs="Times New Roman"/>
          <w:b w:val="0"/>
          <w:bCs w:val="0"/>
          <w:spacing w:val="0"/>
          <w:sz w:val="32"/>
          <w:szCs w:val="32"/>
          <w:lang w:val="en-US" w:eastAsia="zh-CN"/>
        </w:rPr>
      </w:pPr>
      <w:r>
        <w:rPr>
          <w:rFonts w:hint="eastAsia" w:ascii="Times New Roman" w:hAnsi="Times New Roman" w:eastAsia="方正仿宋_GBK" w:cs="Times New Roman"/>
          <w:b w:val="0"/>
          <w:bCs w:val="0"/>
          <w:spacing w:val="0"/>
          <w:sz w:val="32"/>
          <w:szCs w:val="32"/>
          <w:lang w:val="en-US" w:eastAsia="zh-CN"/>
        </w:rPr>
        <w:t>（</w:t>
      </w:r>
    </w:p>
    <w:p w14:paraId="745BB107">
      <w:pPr>
        <w:keepNext w:val="0"/>
        <w:keepLines w:val="0"/>
        <w:pageBreakBefore w:val="0"/>
        <w:widowControl w:val="0"/>
        <w:kinsoku/>
        <w:wordWrap/>
        <w:overflowPunct/>
        <w:topLinePunct w:val="0"/>
        <w:autoSpaceDE/>
        <w:autoSpaceDN/>
        <w:bidi w:val="0"/>
        <w:adjustRightInd/>
        <w:snapToGrid/>
        <w:spacing w:line="576" w:lineRule="exact"/>
        <w:ind w:left="0" w:leftChars="0" w:firstLine="1600" w:firstLineChars="500"/>
        <w:jc w:val="left"/>
        <w:textAlignment w:val="auto"/>
        <w:rPr>
          <w:rFonts w:hint="eastAsia" w:ascii="Times New Roman" w:hAnsi="Times New Roman" w:eastAsia="方正仿宋_GBK" w:cs="Times New Roman"/>
          <w:b w:val="0"/>
          <w:bCs w:val="0"/>
          <w:spacing w:val="0"/>
          <w:sz w:val="32"/>
          <w:szCs w:val="32"/>
          <w:lang w:val="en-US" w:eastAsia="zh-CN"/>
        </w:rPr>
      </w:pPr>
    </w:p>
    <w:p w14:paraId="01D479EA">
      <w:pPr>
        <w:keepNext w:val="0"/>
        <w:keepLines w:val="0"/>
        <w:pageBreakBefore w:val="0"/>
        <w:widowControl w:val="0"/>
        <w:kinsoku/>
        <w:wordWrap/>
        <w:overflowPunct/>
        <w:topLinePunct w:val="0"/>
        <w:autoSpaceDE/>
        <w:autoSpaceDN/>
        <w:bidi w:val="0"/>
        <w:adjustRightInd/>
        <w:snapToGrid/>
        <w:spacing w:line="576" w:lineRule="exact"/>
        <w:ind w:left="0" w:leftChars="0" w:firstLine="1600" w:firstLineChars="500"/>
        <w:jc w:val="left"/>
        <w:textAlignment w:val="auto"/>
        <w:rPr>
          <w:rFonts w:hint="eastAsia" w:ascii="Times New Roman" w:hAnsi="Times New Roman" w:eastAsia="方正仿宋_GBK" w:cs="Times New Roman"/>
          <w:b w:val="0"/>
          <w:bCs w:val="0"/>
          <w:spacing w:val="0"/>
          <w:sz w:val="32"/>
          <w:szCs w:val="32"/>
          <w:lang w:val="en-US" w:eastAsia="zh-CN"/>
        </w:rPr>
      </w:pPr>
    </w:p>
    <w:p w14:paraId="0CDBA4A1">
      <w:pPr>
        <w:keepNext w:val="0"/>
        <w:keepLines w:val="0"/>
        <w:pageBreakBefore w:val="0"/>
        <w:widowControl w:val="0"/>
        <w:kinsoku/>
        <w:wordWrap/>
        <w:overflowPunct/>
        <w:topLinePunct w:val="0"/>
        <w:autoSpaceDE/>
        <w:autoSpaceDN/>
        <w:bidi w:val="0"/>
        <w:adjustRightInd/>
        <w:snapToGrid/>
        <w:spacing w:line="576" w:lineRule="exact"/>
        <w:ind w:left="0" w:leftChars="0" w:firstLine="1600" w:firstLineChars="500"/>
        <w:jc w:val="left"/>
        <w:textAlignment w:val="auto"/>
        <w:rPr>
          <w:rFonts w:hint="eastAsia" w:ascii="Times New Roman" w:hAnsi="Times New Roman" w:eastAsia="方正仿宋_GBK" w:cs="Times New Roman"/>
          <w:b w:val="0"/>
          <w:bCs w:val="0"/>
          <w:spacing w:val="0"/>
          <w:sz w:val="32"/>
          <w:szCs w:val="32"/>
          <w:lang w:val="en-US" w:eastAsia="zh-CN"/>
        </w:rPr>
      </w:pPr>
    </w:p>
    <w:p w14:paraId="1152F330">
      <w:pPr>
        <w:keepNext w:val="0"/>
        <w:keepLines w:val="0"/>
        <w:pageBreakBefore w:val="0"/>
        <w:widowControl w:val="0"/>
        <w:kinsoku/>
        <w:wordWrap/>
        <w:overflowPunct/>
        <w:topLinePunct w:val="0"/>
        <w:autoSpaceDE/>
        <w:autoSpaceDN/>
        <w:bidi w:val="0"/>
        <w:adjustRightInd/>
        <w:snapToGrid/>
        <w:spacing w:line="576" w:lineRule="exact"/>
        <w:ind w:left="0" w:leftChars="0" w:firstLine="1600" w:firstLineChars="500"/>
        <w:jc w:val="left"/>
        <w:textAlignment w:val="auto"/>
        <w:rPr>
          <w:rFonts w:hint="eastAsia" w:ascii="Times New Roman" w:hAnsi="Times New Roman" w:eastAsia="方正仿宋_GBK" w:cs="Times New Roman"/>
          <w:b w:val="0"/>
          <w:bCs w:val="0"/>
          <w:spacing w:val="0"/>
          <w:sz w:val="32"/>
          <w:szCs w:val="32"/>
          <w:lang w:val="en-US" w:eastAsia="zh-CN"/>
        </w:rPr>
      </w:pPr>
    </w:p>
    <w:p w14:paraId="1C754F4C">
      <w:pPr>
        <w:keepNext w:val="0"/>
        <w:keepLines w:val="0"/>
        <w:pageBreakBefore w:val="0"/>
        <w:widowControl w:val="0"/>
        <w:kinsoku/>
        <w:wordWrap/>
        <w:overflowPunct/>
        <w:topLinePunct w:val="0"/>
        <w:autoSpaceDE/>
        <w:autoSpaceDN/>
        <w:bidi w:val="0"/>
        <w:adjustRightInd/>
        <w:snapToGrid/>
        <w:spacing w:line="576" w:lineRule="exact"/>
        <w:ind w:left="0" w:leftChars="0" w:firstLine="1600" w:firstLineChars="500"/>
        <w:jc w:val="left"/>
        <w:textAlignment w:val="auto"/>
      </w:pPr>
      <w:r>
        <w:rPr>
          <w:rFonts w:hint="eastAsia" w:ascii="Times New Roman" w:hAnsi="Times New Roman" w:eastAsia="方正仿宋_GBK" w:cs="Times New Roman"/>
          <w:b w:val="0"/>
          <w:bCs w:val="0"/>
          <w:spacing w:val="0"/>
          <w:sz w:val="32"/>
          <w:szCs w:val="32"/>
          <w:lang w:val="en-US" w:eastAsia="zh-CN"/>
        </w:rPr>
        <w:t>图3：支出决算结构图）（饼状图）</w:t>
      </w:r>
    </w:p>
    <w:p w14:paraId="7C3D6A55">
      <w:pPr>
        <w:spacing w:line="600" w:lineRule="exact"/>
        <w:ind w:firstLine="640" w:firstLineChars="200"/>
        <w:outlineLvl w:val="1"/>
        <w:rPr>
          <w:rStyle w:val="32"/>
          <w:rFonts w:ascii="黑体" w:hAnsi="黑体" w:eastAsia="黑体"/>
          <w:b w:val="0"/>
          <w:color w:val="auto"/>
          <w:highlight w:val="none"/>
        </w:rPr>
      </w:pPr>
      <w:bookmarkStart w:id="34" w:name="_Toc15769_WPSOffice_Level2"/>
      <w:bookmarkStart w:id="35" w:name="_Toc15396606"/>
      <w:bookmarkStart w:id="36" w:name="_Toc15377208"/>
      <w:r>
        <w:rPr>
          <w:rFonts w:hint="eastAsia" w:ascii="黑体" w:hAnsi="黑体" w:eastAsia="黑体"/>
          <w:color w:val="auto"/>
          <w:sz w:val="32"/>
          <w:szCs w:val="32"/>
          <w:highlight w:val="none"/>
        </w:rPr>
        <w:t>四、财</w:t>
      </w:r>
      <w:r>
        <w:rPr>
          <w:rStyle w:val="32"/>
          <w:rFonts w:hint="eastAsia" w:ascii="黑体" w:hAnsi="黑体" w:eastAsia="黑体"/>
          <w:b w:val="0"/>
          <w:color w:val="auto"/>
          <w:highlight w:val="none"/>
        </w:rPr>
        <w:t>政拨款收入支出决算总体情况说明</w:t>
      </w:r>
      <w:bookmarkEnd w:id="34"/>
      <w:bookmarkEnd w:id="35"/>
      <w:bookmarkEnd w:id="36"/>
    </w:p>
    <w:p w14:paraId="053AD46F">
      <w:pPr>
        <w:spacing w:line="600" w:lineRule="exact"/>
        <w:ind w:firstLine="640" w:firstLineChars="200"/>
        <w:rPr>
          <w:rFonts w:hint="eastAsia" w:ascii="Times New Roman" w:hAnsi="Times New Roman" w:eastAsia="方正仿宋_GBK" w:cs="Times New Roman"/>
          <w:sz w:val="32"/>
          <w:szCs w:val="32"/>
          <w:highlight w:val="none"/>
          <w:shd w:val="clear" w:color="auto" w:fill="auto"/>
          <w:lang w:eastAsia="zh-CN"/>
        </w:rPr>
      </w:pPr>
      <w:r>
        <w:rPr>
          <w:rFonts w:hint="eastAsia" w:ascii="仿宋" w:hAnsi="仿宋" w:eastAsia="仿宋"/>
          <w:color w:val="auto"/>
          <w:sz w:val="32"/>
          <w:szCs w:val="32"/>
          <w:highlight w:val="none"/>
          <w:lang w:eastAsia="zh-CN"/>
        </w:rPr>
        <w:t>2025</w:t>
      </w:r>
      <w:r>
        <w:rPr>
          <w:rFonts w:hint="eastAsia" w:ascii="仿宋" w:hAnsi="仿宋" w:eastAsia="仿宋"/>
          <w:color w:val="auto"/>
          <w:sz w:val="32"/>
          <w:szCs w:val="32"/>
          <w:highlight w:val="none"/>
        </w:rPr>
        <w:t>年财政拨款收、支总计</w:t>
      </w:r>
      <w:r>
        <w:rPr>
          <w:rFonts w:hint="eastAsia" w:ascii="仿宋" w:hAnsi="仿宋" w:eastAsia="仿宋"/>
          <w:color w:val="auto"/>
          <w:sz w:val="32"/>
          <w:szCs w:val="32"/>
          <w:highlight w:val="none"/>
          <w:lang w:val="en-US" w:eastAsia="zh-CN"/>
        </w:rPr>
        <w:t>197.76</w:t>
      </w:r>
      <w:r>
        <w:rPr>
          <w:rFonts w:hint="eastAsia" w:ascii="仿宋" w:hAnsi="仿宋" w:eastAsia="仿宋"/>
          <w:color w:val="auto"/>
          <w:sz w:val="32"/>
          <w:szCs w:val="32"/>
          <w:highlight w:val="none"/>
        </w:rPr>
        <w:t>万元。与</w:t>
      </w:r>
      <w:r>
        <w:rPr>
          <w:rFonts w:hint="eastAsia" w:ascii="仿宋" w:hAnsi="仿宋" w:eastAsia="仿宋"/>
          <w:color w:val="auto"/>
          <w:sz w:val="32"/>
          <w:szCs w:val="32"/>
          <w:highlight w:val="none"/>
          <w:lang w:eastAsia="zh-CN"/>
        </w:rPr>
        <w:t>2024</w:t>
      </w:r>
      <w:r>
        <w:rPr>
          <w:rFonts w:hint="eastAsia" w:ascii="仿宋" w:hAnsi="仿宋" w:eastAsia="仿宋"/>
          <w:color w:val="auto"/>
          <w:sz w:val="32"/>
          <w:szCs w:val="32"/>
          <w:highlight w:val="none"/>
        </w:rPr>
        <w:t>年相比，财政拨款收、支总计各</w:t>
      </w:r>
      <w:r>
        <w:rPr>
          <w:rFonts w:hint="eastAsia" w:ascii="仿宋" w:hAnsi="仿宋" w:eastAsia="仿宋"/>
          <w:color w:val="auto"/>
          <w:sz w:val="32"/>
          <w:szCs w:val="32"/>
          <w:highlight w:val="none"/>
          <w:lang w:val="en-US" w:eastAsia="zh-CN"/>
        </w:rPr>
        <w:t>减少21.84</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val="en-US" w:eastAsia="zh-CN"/>
        </w:rPr>
        <w:t>减少9.95</w:t>
      </w:r>
      <w:r>
        <w:rPr>
          <w:rFonts w:ascii="仿宋" w:hAnsi="仿宋" w:eastAsia="仿宋"/>
          <w:color w:val="auto"/>
          <w:sz w:val="32"/>
          <w:szCs w:val="32"/>
          <w:highlight w:val="none"/>
        </w:rPr>
        <w:t>%</w:t>
      </w:r>
      <w:r>
        <w:rPr>
          <w:rFonts w:hint="eastAsia" w:ascii="仿宋" w:hAnsi="仿宋" w:eastAsia="仿宋"/>
          <w:color w:val="auto"/>
          <w:sz w:val="32"/>
          <w:szCs w:val="32"/>
          <w:highlight w:val="none"/>
        </w:rPr>
        <w:t>。主要变动原因是</w:t>
      </w:r>
      <w:r>
        <w:rPr>
          <w:rFonts w:ascii="Times New Roman" w:hAnsi="Times New Roman" w:eastAsia="方正仿宋_GBK" w:cs="Times New Roman"/>
          <w:sz w:val="32"/>
          <w:szCs w:val="32"/>
          <w:highlight w:val="none"/>
          <w:shd w:val="clear" w:color="auto" w:fill="auto"/>
        </w:rPr>
        <w:t>信访工作任务</w:t>
      </w:r>
      <w:r>
        <w:rPr>
          <w:rFonts w:hint="eastAsia" w:ascii="Times New Roman" w:hAnsi="Times New Roman" w:eastAsia="方正仿宋_GBK" w:cs="Times New Roman"/>
          <w:sz w:val="32"/>
          <w:szCs w:val="32"/>
          <w:highlight w:val="none"/>
          <w:shd w:val="clear" w:color="auto" w:fill="auto"/>
          <w:lang w:val="en-US" w:eastAsia="zh-CN"/>
        </w:rPr>
        <w:t>减少</w:t>
      </w:r>
      <w:r>
        <w:rPr>
          <w:rFonts w:ascii="Times New Roman" w:hAnsi="Times New Roman" w:eastAsia="方正仿宋_GBK" w:cs="Times New Roman"/>
          <w:sz w:val="32"/>
          <w:szCs w:val="32"/>
          <w:highlight w:val="none"/>
          <w:shd w:val="clear" w:color="auto" w:fill="auto"/>
        </w:rPr>
        <w:t>，相应</w:t>
      </w:r>
      <w:r>
        <w:rPr>
          <w:rFonts w:hint="eastAsia" w:ascii="Times New Roman" w:hAnsi="Times New Roman" w:eastAsia="方正仿宋_GBK" w:cs="Times New Roman"/>
          <w:sz w:val="32"/>
          <w:szCs w:val="32"/>
          <w:highlight w:val="none"/>
          <w:shd w:val="clear" w:color="auto" w:fill="auto"/>
          <w:lang w:val="en-US" w:eastAsia="zh-CN"/>
        </w:rPr>
        <w:t>减少</w:t>
      </w:r>
      <w:r>
        <w:rPr>
          <w:rFonts w:ascii="Times New Roman" w:hAnsi="Times New Roman" w:eastAsia="方正仿宋_GBK" w:cs="Times New Roman"/>
          <w:sz w:val="32"/>
          <w:szCs w:val="32"/>
          <w:highlight w:val="none"/>
          <w:shd w:val="clear" w:color="auto" w:fill="auto"/>
        </w:rPr>
        <w:t>工作经费</w:t>
      </w:r>
      <w:r>
        <w:rPr>
          <w:rFonts w:hint="eastAsia" w:ascii="Times New Roman" w:hAnsi="Times New Roman" w:eastAsia="方正仿宋_GBK" w:cs="Times New Roman"/>
          <w:sz w:val="32"/>
          <w:szCs w:val="32"/>
          <w:highlight w:val="none"/>
          <w:shd w:val="clear" w:color="auto" w:fill="auto"/>
          <w:lang w:eastAsia="zh-CN"/>
        </w:rPr>
        <w:t>。</w:t>
      </w:r>
    </w:p>
    <w:p w14:paraId="0686B8A9">
      <w:pPr>
        <w:pStyle w:val="2"/>
        <w:jc w:val="center"/>
        <w:rPr>
          <w:rFonts w:hint="eastAsia"/>
          <w:lang w:eastAsia="zh-CN"/>
        </w:rPr>
      </w:pPr>
      <w:r>
        <w:rPr>
          <w:rFonts w:ascii="宋体" w:hAnsi="宋体" w:eastAsia="宋体" w:cs="宋体"/>
          <w:sz w:val="24"/>
          <w:szCs w:val="24"/>
        </w:rPr>
        <w:t>财政拨款收、支决算总计变动情况</w:t>
      </w:r>
    </w:p>
    <w:p w14:paraId="0DB91DBA">
      <w:pPr>
        <w:pStyle w:val="2"/>
        <w:rPr>
          <w:rFonts w:hint="eastAsia" w:ascii="Times New Roman" w:hAnsi="Times New Roman" w:eastAsia="方正仿宋_GBK" w:cs="Times New Roman"/>
          <w:sz w:val="32"/>
          <w:szCs w:val="32"/>
          <w:highlight w:val="none"/>
          <w:shd w:val="clear" w:color="auto" w:fill="auto"/>
          <w:lang w:eastAsia="zh-CN"/>
        </w:rPr>
      </w:pPr>
      <w:r>
        <w:rPr>
          <w:rFonts w:hint="eastAsia" w:ascii="Times New Roman" w:hAnsi="Times New Roman" w:eastAsia="方正仿宋_GBK" w:cs="Times New Roman"/>
          <w:sz w:val="32"/>
          <w:szCs w:val="32"/>
          <w:highlight w:val="none"/>
          <w:shd w:val="clear" w:color="auto" w:fill="auto"/>
          <w:lang w:eastAsia="zh-CN"/>
        </w:rPr>
        <w:drawing>
          <wp:inline distT="0" distB="0" distL="114300" distR="114300">
            <wp:extent cx="5296535" cy="2238375"/>
            <wp:effectExtent l="4445" t="4445" r="13970" b="5080"/>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54A3BDB">
      <w:pPr>
        <w:spacing w:line="600" w:lineRule="exact"/>
        <w:ind w:firstLine="320" w:firstLineChars="100"/>
        <w:rPr>
          <w:rFonts w:hint="eastAsia" w:ascii="Times New Roman" w:hAnsi="Times New Roman" w:eastAsia="方正仿宋_GBK" w:cs="Times New Roman"/>
          <w:b w:val="0"/>
          <w:bCs w:val="0"/>
          <w:spacing w:val="0"/>
          <w:sz w:val="32"/>
          <w:szCs w:val="32"/>
          <w:lang w:val="en-US" w:eastAsia="zh-CN"/>
        </w:rPr>
      </w:pPr>
      <w:r>
        <w:rPr>
          <w:rFonts w:hint="eastAsia" w:ascii="仿宋" w:hAnsi="仿宋" w:eastAsia="仿宋"/>
          <w:color w:val="auto"/>
          <w:sz w:val="32"/>
          <w:szCs w:val="32"/>
          <w:highlight w:val="none"/>
        </w:rPr>
        <w:t>（图4：财政拨款收、支决算总计变动情况）（柱状图）</w:t>
      </w:r>
    </w:p>
    <w:p w14:paraId="0B0520A3">
      <w:pPr>
        <w:pStyle w:val="2"/>
        <w:rPr>
          <w:rFonts w:hint="default"/>
          <w:lang w:val="en-US"/>
        </w:rPr>
      </w:pPr>
    </w:p>
    <w:p w14:paraId="3B077C5D">
      <w:pPr>
        <w:spacing w:line="600" w:lineRule="exact"/>
        <w:ind w:firstLine="640" w:firstLineChars="200"/>
        <w:outlineLvl w:val="1"/>
        <w:rPr>
          <w:rStyle w:val="32"/>
          <w:rFonts w:ascii="黑体" w:hAnsi="黑体" w:eastAsia="黑体"/>
          <w:b w:val="0"/>
          <w:color w:val="auto"/>
          <w:highlight w:val="none"/>
        </w:rPr>
      </w:pPr>
      <w:bookmarkStart w:id="37" w:name="_Toc15377209"/>
      <w:bookmarkStart w:id="38" w:name="_Toc15396607"/>
      <w:bookmarkStart w:id="39" w:name="_Toc26178_WPSOffice_Level2"/>
      <w:r>
        <w:rPr>
          <w:rFonts w:hint="eastAsia" w:ascii="黑体" w:hAnsi="黑体" w:eastAsia="黑体"/>
          <w:color w:val="auto"/>
          <w:sz w:val="32"/>
          <w:szCs w:val="32"/>
          <w:highlight w:val="none"/>
        </w:rPr>
        <w:t>五、</w:t>
      </w:r>
      <w:r>
        <w:rPr>
          <w:rFonts w:hint="eastAsia" w:ascii="黑体" w:hAnsi="黑体" w:eastAsia="黑体"/>
          <w:b/>
          <w:color w:val="auto"/>
          <w:sz w:val="32"/>
          <w:szCs w:val="32"/>
          <w:highlight w:val="none"/>
        </w:rPr>
        <w:t>一</w:t>
      </w:r>
      <w:r>
        <w:rPr>
          <w:rStyle w:val="32"/>
          <w:rFonts w:hint="eastAsia" w:ascii="黑体" w:hAnsi="黑体" w:eastAsia="黑体"/>
          <w:b w:val="0"/>
          <w:color w:val="auto"/>
          <w:highlight w:val="none"/>
        </w:rPr>
        <w:t>般公共预算财政拨款支出决算情况说明</w:t>
      </w:r>
      <w:bookmarkEnd w:id="37"/>
      <w:bookmarkEnd w:id="38"/>
      <w:bookmarkEnd w:id="39"/>
    </w:p>
    <w:p w14:paraId="1E1EDFBD">
      <w:pPr>
        <w:spacing w:line="600" w:lineRule="exact"/>
        <w:ind w:firstLine="643" w:firstLineChars="200"/>
        <w:outlineLvl w:val="2"/>
        <w:rPr>
          <w:rFonts w:ascii="仿宋" w:hAnsi="仿宋" w:eastAsia="仿宋"/>
          <w:b/>
          <w:color w:val="auto"/>
          <w:sz w:val="32"/>
          <w:szCs w:val="32"/>
          <w:highlight w:val="none"/>
        </w:rPr>
      </w:pPr>
      <w:bookmarkStart w:id="40" w:name="_Toc15377210"/>
      <w:r>
        <w:rPr>
          <w:rFonts w:hint="eastAsia" w:ascii="仿宋" w:hAnsi="仿宋" w:eastAsia="仿宋"/>
          <w:b/>
          <w:color w:val="auto"/>
          <w:sz w:val="32"/>
          <w:szCs w:val="32"/>
          <w:highlight w:val="none"/>
        </w:rPr>
        <w:t>（一）一般公共预算财政拨款支出决算总体情况</w:t>
      </w:r>
      <w:bookmarkEnd w:id="40"/>
    </w:p>
    <w:p w14:paraId="4166F6CC">
      <w:pPr>
        <w:spacing w:line="600" w:lineRule="exact"/>
        <w:ind w:firstLine="640" w:firstLineChars="200"/>
        <w:rPr>
          <w:rFonts w:hint="eastAsia" w:ascii="Times New Roman" w:hAnsi="Times New Roman" w:eastAsia="方正仿宋_GBK" w:cs="Times New Roman"/>
          <w:sz w:val="32"/>
          <w:szCs w:val="32"/>
          <w:highlight w:val="none"/>
          <w:shd w:val="clear" w:color="auto" w:fill="auto"/>
          <w:lang w:eastAsia="zh-CN"/>
        </w:rPr>
      </w:pPr>
      <w:r>
        <w:rPr>
          <w:rFonts w:hint="eastAsia" w:ascii="仿宋" w:hAnsi="仿宋" w:eastAsia="仿宋"/>
          <w:color w:val="auto"/>
          <w:sz w:val="32"/>
          <w:szCs w:val="32"/>
          <w:highlight w:val="none"/>
          <w:lang w:eastAsia="zh-CN"/>
        </w:rPr>
        <w:t>2025</w:t>
      </w:r>
      <w:r>
        <w:rPr>
          <w:rFonts w:hint="eastAsia" w:ascii="仿宋" w:hAnsi="仿宋" w:eastAsia="仿宋"/>
          <w:color w:val="auto"/>
          <w:sz w:val="32"/>
          <w:szCs w:val="32"/>
          <w:highlight w:val="none"/>
        </w:rPr>
        <w:t>年一般公共预算财政拨款支出</w:t>
      </w:r>
      <w:r>
        <w:rPr>
          <w:rFonts w:hint="eastAsia" w:ascii="仿宋" w:hAnsi="仿宋" w:eastAsia="仿宋"/>
          <w:color w:val="auto"/>
          <w:sz w:val="32"/>
          <w:szCs w:val="32"/>
          <w:highlight w:val="none"/>
          <w:lang w:val="en-US" w:eastAsia="zh-CN"/>
        </w:rPr>
        <w:t>197.76</w:t>
      </w:r>
      <w:r>
        <w:rPr>
          <w:rFonts w:hint="eastAsia" w:ascii="仿宋" w:hAnsi="仿宋" w:eastAsia="仿宋"/>
          <w:color w:val="auto"/>
          <w:sz w:val="32"/>
          <w:szCs w:val="32"/>
          <w:highlight w:val="none"/>
        </w:rPr>
        <w:t>万元，占本年支出合计的</w:t>
      </w:r>
      <w:r>
        <w:rPr>
          <w:rFonts w:hint="eastAsia" w:ascii="仿宋" w:hAnsi="仿宋" w:eastAsia="仿宋"/>
          <w:color w:val="auto"/>
          <w:sz w:val="32"/>
          <w:szCs w:val="32"/>
          <w:highlight w:val="none"/>
          <w:lang w:val="en-US" w:eastAsia="zh-CN"/>
        </w:rPr>
        <w:t>100</w:t>
      </w:r>
      <w:r>
        <w:rPr>
          <w:rFonts w:ascii="仿宋" w:hAnsi="仿宋" w:eastAsia="仿宋"/>
          <w:color w:val="auto"/>
          <w:sz w:val="32"/>
          <w:szCs w:val="32"/>
          <w:highlight w:val="none"/>
        </w:rPr>
        <w:t>%</w:t>
      </w:r>
      <w:r>
        <w:rPr>
          <w:rFonts w:hint="eastAsia" w:ascii="仿宋" w:hAnsi="仿宋" w:eastAsia="仿宋"/>
          <w:color w:val="auto"/>
          <w:sz w:val="32"/>
          <w:szCs w:val="32"/>
          <w:highlight w:val="none"/>
        </w:rPr>
        <w:t>。与</w:t>
      </w:r>
      <w:r>
        <w:rPr>
          <w:rFonts w:hint="eastAsia" w:ascii="仿宋" w:hAnsi="仿宋" w:eastAsia="仿宋"/>
          <w:color w:val="auto"/>
          <w:sz w:val="32"/>
          <w:szCs w:val="32"/>
          <w:highlight w:val="none"/>
          <w:lang w:eastAsia="zh-CN"/>
        </w:rPr>
        <w:t>2024</w:t>
      </w:r>
      <w:r>
        <w:rPr>
          <w:rFonts w:hint="eastAsia" w:ascii="仿宋" w:hAnsi="仿宋" w:eastAsia="仿宋"/>
          <w:color w:val="auto"/>
          <w:sz w:val="32"/>
          <w:szCs w:val="32"/>
          <w:highlight w:val="none"/>
        </w:rPr>
        <w:t>年相比，一般公共预算财政拨款</w:t>
      </w:r>
      <w:r>
        <w:rPr>
          <w:rFonts w:hint="eastAsia" w:ascii="仿宋" w:hAnsi="仿宋" w:eastAsia="仿宋"/>
          <w:color w:val="auto"/>
          <w:sz w:val="32"/>
          <w:szCs w:val="32"/>
          <w:highlight w:val="none"/>
          <w:lang w:eastAsia="zh-CN"/>
        </w:rPr>
        <w:t>支出</w:t>
      </w:r>
      <w:r>
        <w:rPr>
          <w:rFonts w:hint="eastAsia" w:ascii="仿宋" w:hAnsi="仿宋" w:eastAsia="仿宋"/>
          <w:color w:val="auto"/>
          <w:sz w:val="32"/>
          <w:szCs w:val="32"/>
          <w:highlight w:val="none"/>
          <w:lang w:val="en-US" w:eastAsia="zh-CN"/>
        </w:rPr>
        <w:t>减少21.84</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val="en-US" w:eastAsia="zh-CN"/>
        </w:rPr>
        <w:t>减少9.95</w:t>
      </w:r>
      <w:r>
        <w:rPr>
          <w:rFonts w:ascii="仿宋" w:hAnsi="仿宋" w:eastAsia="仿宋"/>
          <w:color w:val="auto"/>
          <w:sz w:val="32"/>
          <w:szCs w:val="32"/>
          <w:highlight w:val="none"/>
        </w:rPr>
        <w:t>%</w:t>
      </w:r>
      <w:r>
        <w:rPr>
          <w:rFonts w:hint="eastAsia" w:ascii="仿宋" w:hAnsi="仿宋" w:eastAsia="仿宋"/>
          <w:color w:val="auto"/>
          <w:sz w:val="32"/>
          <w:szCs w:val="32"/>
          <w:highlight w:val="none"/>
        </w:rPr>
        <w:t>。主要变动原因是</w:t>
      </w:r>
      <w:r>
        <w:rPr>
          <w:rFonts w:ascii="Times New Roman" w:hAnsi="Times New Roman" w:eastAsia="方正仿宋_GBK" w:cs="Times New Roman"/>
          <w:sz w:val="32"/>
          <w:szCs w:val="32"/>
          <w:highlight w:val="none"/>
          <w:shd w:val="clear" w:color="auto" w:fill="auto"/>
        </w:rPr>
        <w:t>信访工作任务</w:t>
      </w:r>
      <w:r>
        <w:rPr>
          <w:rFonts w:hint="eastAsia" w:ascii="Times New Roman" w:hAnsi="Times New Roman" w:eastAsia="方正仿宋_GBK" w:cs="Times New Roman"/>
          <w:sz w:val="32"/>
          <w:szCs w:val="32"/>
          <w:highlight w:val="none"/>
          <w:shd w:val="clear" w:color="auto" w:fill="auto"/>
          <w:lang w:val="en-US" w:eastAsia="zh-CN"/>
        </w:rPr>
        <w:t>减少</w:t>
      </w:r>
      <w:r>
        <w:rPr>
          <w:rFonts w:ascii="Times New Roman" w:hAnsi="Times New Roman" w:eastAsia="方正仿宋_GBK" w:cs="Times New Roman"/>
          <w:sz w:val="32"/>
          <w:szCs w:val="32"/>
          <w:highlight w:val="none"/>
          <w:shd w:val="clear" w:color="auto" w:fill="auto"/>
        </w:rPr>
        <w:t>，相应</w:t>
      </w:r>
      <w:r>
        <w:rPr>
          <w:rFonts w:hint="eastAsia" w:ascii="Times New Roman" w:hAnsi="Times New Roman" w:eastAsia="方正仿宋_GBK" w:cs="Times New Roman"/>
          <w:sz w:val="32"/>
          <w:szCs w:val="32"/>
          <w:highlight w:val="none"/>
          <w:shd w:val="clear" w:color="auto" w:fill="auto"/>
          <w:lang w:val="en-US" w:eastAsia="zh-CN"/>
        </w:rPr>
        <w:t>减少</w:t>
      </w:r>
      <w:r>
        <w:rPr>
          <w:rFonts w:ascii="Times New Roman" w:hAnsi="Times New Roman" w:eastAsia="方正仿宋_GBK" w:cs="Times New Roman"/>
          <w:sz w:val="32"/>
          <w:szCs w:val="32"/>
          <w:highlight w:val="none"/>
          <w:shd w:val="clear" w:color="auto" w:fill="auto"/>
        </w:rPr>
        <w:t>工作经费</w:t>
      </w:r>
      <w:r>
        <w:rPr>
          <w:rFonts w:hint="eastAsia" w:ascii="Times New Roman" w:hAnsi="Times New Roman" w:eastAsia="方正仿宋_GBK" w:cs="Times New Roman"/>
          <w:sz w:val="32"/>
          <w:szCs w:val="32"/>
          <w:highlight w:val="none"/>
          <w:shd w:val="clear" w:color="auto" w:fill="auto"/>
          <w:lang w:eastAsia="zh-CN"/>
        </w:rPr>
        <w:t>。</w:t>
      </w:r>
    </w:p>
    <w:p w14:paraId="61D4E5AA">
      <w:pPr>
        <w:pStyle w:val="2"/>
        <w:rPr>
          <w:rFonts w:hint="eastAsia"/>
          <w:lang w:eastAsia="zh-CN"/>
        </w:rPr>
      </w:pPr>
      <w:r>
        <w:rPr>
          <w:rFonts w:hint="eastAsia"/>
          <w:lang w:eastAsia="zh-CN"/>
        </w:rPr>
        <w:drawing>
          <wp:inline distT="0" distB="0" distL="114300" distR="114300">
            <wp:extent cx="4078605" cy="1512570"/>
            <wp:effectExtent l="4445" t="4445" r="12700" b="698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bookmarkStart w:id="99" w:name="_GoBack"/>
      <w:bookmarkEnd w:id="99"/>
    </w:p>
    <w:p w14:paraId="1035BE43">
      <w:pPr>
        <w:jc w:val="center"/>
        <w:rPr>
          <w:rFonts w:hint="default"/>
          <w:lang w:val="en-US"/>
        </w:rPr>
      </w:pPr>
      <w:r>
        <w:rPr>
          <w:rFonts w:hint="eastAsia" w:ascii="Times New Roman" w:hAnsi="Times New Roman" w:eastAsia="方正仿宋_GBK" w:cs="Times New Roman"/>
          <w:b w:val="0"/>
          <w:bCs w:val="0"/>
          <w:spacing w:val="-20"/>
          <w:sz w:val="32"/>
          <w:szCs w:val="32"/>
          <w:lang w:val="en-US" w:eastAsia="zh-CN"/>
        </w:rPr>
        <w:t>（图5：一般公共预算财政拨款支出决算变动情况）（柱状图）</w:t>
      </w:r>
    </w:p>
    <w:p w14:paraId="54165456">
      <w:pPr>
        <w:spacing w:line="600" w:lineRule="exact"/>
        <w:ind w:firstLine="643" w:firstLineChars="200"/>
        <w:outlineLvl w:val="2"/>
        <w:rPr>
          <w:rFonts w:ascii="仿宋" w:hAnsi="仿宋" w:eastAsia="仿宋"/>
          <w:b/>
          <w:color w:val="auto"/>
          <w:sz w:val="32"/>
          <w:szCs w:val="32"/>
          <w:highlight w:val="none"/>
        </w:rPr>
      </w:pPr>
      <w:bookmarkStart w:id="41" w:name="_Toc15377211"/>
      <w:r>
        <w:rPr>
          <w:rFonts w:hint="eastAsia" w:ascii="仿宋" w:hAnsi="仿宋" w:eastAsia="仿宋"/>
          <w:b/>
          <w:color w:val="auto"/>
          <w:sz w:val="32"/>
          <w:szCs w:val="32"/>
          <w:highlight w:val="none"/>
        </w:rPr>
        <w:t>（二）一般公共预算财政拨款支出决算结构情况</w:t>
      </w:r>
      <w:bookmarkEnd w:id="41"/>
    </w:p>
    <w:p w14:paraId="4B4B581A">
      <w:pPr>
        <w:spacing w:line="600" w:lineRule="exact"/>
        <w:ind w:firstLine="640"/>
        <w:rPr>
          <w:rFonts w:hint="eastAsia" w:ascii="仿宋" w:hAnsi="仿宋" w:eastAsia="仿宋" w:cs="Times New Roman"/>
          <w:color w:val="auto"/>
          <w:sz w:val="32"/>
          <w:szCs w:val="32"/>
          <w:highlight w:val="none"/>
        </w:rPr>
      </w:pPr>
      <w:r>
        <w:rPr>
          <w:rFonts w:hint="eastAsia" w:ascii="仿宋" w:hAnsi="仿宋" w:eastAsia="仿宋"/>
          <w:color w:val="auto"/>
          <w:sz w:val="32"/>
          <w:szCs w:val="32"/>
          <w:highlight w:val="none"/>
          <w:lang w:eastAsia="zh-CN"/>
        </w:rPr>
        <w:t>2025</w:t>
      </w:r>
      <w:r>
        <w:rPr>
          <w:rFonts w:hint="eastAsia" w:ascii="仿宋" w:hAnsi="仿宋" w:eastAsia="仿宋"/>
          <w:color w:val="auto"/>
          <w:sz w:val="32"/>
          <w:szCs w:val="32"/>
          <w:highlight w:val="none"/>
        </w:rPr>
        <w:t>年一般公共预算财政拨款支出</w:t>
      </w:r>
      <w:r>
        <w:rPr>
          <w:rFonts w:hint="eastAsia" w:ascii="仿宋" w:hAnsi="仿宋" w:eastAsia="仿宋"/>
          <w:color w:val="auto"/>
          <w:sz w:val="32"/>
          <w:szCs w:val="32"/>
          <w:highlight w:val="none"/>
          <w:lang w:val="en-US" w:eastAsia="zh-CN"/>
        </w:rPr>
        <w:t>197.76万</w:t>
      </w:r>
      <w:r>
        <w:rPr>
          <w:rFonts w:hint="eastAsia" w:ascii="仿宋" w:hAnsi="仿宋" w:eastAsia="仿宋"/>
          <w:color w:val="auto"/>
          <w:sz w:val="32"/>
          <w:szCs w:val="32"/>
          <w:highlight w:val="none"/>
        </w:rPr>
        <w:t>元，主要用于以下方面</w:t>
      </w:r>
      <w:r>
        <w:rPr>
          <w:rFonts w:ascii="仿宋" w:hAnsi="仿宋" w:eastAsia="仿宋"/>
          <w:color w:val="auto"/>
          <w:sz w:val="32"/>
          <w:szCs w:val="32"/>
          <w:highlight w:val="none"/>
        </w:rPr>
        <w:t>:</w:t>
      </w:r>
      <w:r>
        <w:rPr>
          <w:rFonts w:hint="eastAsia" w:ascii="仿宋" w:hAnsi="仿宋" w:eastAsia="仿宋" w:cs="Times New Roman"/>
          <w:color w:val="auto"/>
          <w:sz w:val="32"/>
          <w:szCs w:val="32"/>
          <w:highlight w:val="none"/>
        </w:rPr>
        <w:t>一般公共服务支出为</w:t>
      </w:r>
      <w:r>
        <w:rPr>
          <w:rFonts w:hint="eastAsia" w:ascii="仿宋" w:hAnsi="仿宋" w:eastAsia="仿宋" w:cs="Times New Roman"/>
          <w:color w:val="auto"/>
          <w:sz w:val="32"/>
          <w:szCs w:val="32"/>
          <w:highlight w:val="none"/>
          <w:lang w:val="en-US" w:eastAsia="zh-CN"/>
        </w:rPr>
        <w:t>144.62</w:t>
      </w:r>
      <w:r>
        <w:rPr>
          <w:rFonts w:hint="eastAsia" w:ascii="仿宋" w:hAnsi="仿宋" w:eastAsia="仿宋" w:cs="Times New Roman"/>
          <w:color w:val="auto"/>
          <w:sz w:val="32"/>
          <w:szCs w:val="32"/>
          <w:highlight w:val="none"/>
        </w:rPr>
        <w:t>万元，占比</w:t>
      </w:r>
      <w:r>
        <w:rPr>
          <w:rFonts w:hint="eastAsia" w:ascii="仿宋" w:hAnsi="仿宋" w:eastAsia="仿宋" w:cs="Times New Roman"/>
          <w:color w:val="auto"/>
          <w:sz w:val="32"/>
          <w:szCs w:val="32"/>
          <w:highlight w:val="none"/>
          <w:lang w:val="en-US" w:eastAsia="zh-CN"/>
        </w:rPr>
        <w:t>73.13</w:t>
      </w:r>
      <w:r>
        <w:rPr>
          <w:rFonts w:hint="eastAsia" w:ascii="仿宋" w:hAnsi="仿宋" w:eastAsia="仿宋" w:cs="Times New Roman"/>
          <w:color w:val="auto"/>
          <w:sz w:val="32"/>
          <w:szCs w:val="32"/>
          <w:highlight w:val="none"/>
        </w:rPr>
        <w:t>%</w:t>
      </w:r>
      <w:r>
        <w:rPr>
          <w:rFonts w:hint="eastAsia" w:ascii="仿宋" w:hAnsi="仿宋" w:eastAsia="仿宋" w:cs="Times New Roman"/>
          <w:color w:val="auto"/>
          <w:sz w:val="32"/>
          <w:szCs w:val="32"/>
          <w:highlight w:val="none"/>
          <w:lang w:val="en-US" w:eastAsia="zh-CN"/>
        </w:rPr>
        <w:t>；社会保障和就业支出为30.53万元，占比15.44%；卫生健康支出为9.73万元，占比4.92%；住房保障支出为12.87万元，占比6.51%</w:t>
      </w:r>
      <w:r>
        <w:rPr>
          <w:rFonts w:hint="eastAsia" w:ascii="仿宋" w:hAnsi="仿宋" w:eastAsia="仿宋" w:cs="Times New Roman"/>
          <w:color w:val="auto"/>
          <w:sz w:val="32"/>
          <w:szCs w:val="32"/>
          <w:highlight w:val="none"/>
        </w:rPr>
        <w:t>。</w:t>
      </w:r>
    </w:p>
    <w:p w14:paraId="4D7BBDFC">
      <w:pPr>
        <w:spacing w:line="600" w:lineRule="exact"/>
        <w:ind w:firstLine="640"/>
        <w:rPr>
          <w:rFonts w:hint="eastAsia" w:ascii="仿宋" w:hAnsi="仿宋" w:eastAsia="仿宋"/>
          <w:b/>
          <w:color w:val="auto"/>
          <w:sz w:val="32"/>
          <w:szCs w:val="32"/>
          <w:highlight w:val="none"/>
        </w:rPr>
      </w:pPr>
    </w:p>
    <w:p w14:paraId="1411A343">
      <w:pPr>
        <w:pStyle w:val="2"/>
        <w:rPr>
          <w:rFonts w:hint="eastAsia" w:ascii="仿宋" w:hAnsi="仿宋" w:eastAsia="仿宋"/>
          <w:b/>
          <w:color w:val="auto"/>
          <w:sz w:val="32"/>
          <w:szCs w:val="32"/>
          <w:highlight w:val="none"/>
          <w:lang w:eastAsia="zh-CN"/>
        </w:rPr>
      </w:pPr>
      <w:r>
        <w:rPr>
          <w:rFonts w:hint="eastAsia" w:ascii="仿宋" w:hAnsi="仿宋" w:eastAsia="仿宋"/>
          <w:b/>
          <w:color w:val="auto"/>
          <w:sz w:val="32"/>
          <w:szCs w:val="32"/>
          <w:highlight w:val="none"/>
          <w:lang w:eastAsia="zh-CN"/>
        </w:rPr>
        <w:drawing>
          <wp:inline distT="0" distB="0" distL="114300" distR="114300">
            <wp:extent cx="5256530" cy="2560955"/>
            <wp:effectExtent l="4445" t="4445" r="15875" b="6350"/>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189B14E">
      <w:pPr>
        <w:jc w:val="center"/>
        <w:rPr>
          <w:rFonts w:hint="eastAsia"/>
        </w:rPr>
      </w:pPr>
      <w:r>
        <w:rPr>
          <w:rFonts w:hint="eastAsia" w:ascii="Times New Roman" w:hAnsi="Times New Roman" w:eastAsia="方正仿宋_GBK" w:cs="Times New Roman"/>
          <w:b w:val="0"/>
          <w:bCs w:val="0"/>
          <w:spacing w:val="0"/>
          <w:sz w:val="32"/>
          <w:szCs w:val="32"/>
          <w:lang w:val="en-US" w:eastAsia="zh-CN"/>
        </w:rPr>
        <w:t>（图6：一般公共预算财政拨款支出决算结构）（饼状图）</w:t>
      </w:r>
    </w:p>
    <w:p w14:paraId="368402D3">
      <w:pPr>
        <w:spacing w:line="600" w:lineRule="exact"/>
        <w:ind w:firstLine="643" w:firstLineChars="200"/>
        <w:outlineLvl w:val="2"/>
        <w:rPr>
          <w:rFonts w:ascii="仿宋" w:hAnsi="仿宋" w:eastAsia="仿宋"/>
          <w:b/>
          <w:color w:val="auto"/>
          <w:sz w:val="32"/>
          <w:szCs w:val="32"/>
          <w:highlight w:val="none"/>
        </w:rPr>
      </w:pPr>
      <w:bookmarkStart w:id="42" w:name="_Toc15377212"/>
      <w:r>
        <w:rPr>
          <w:rFonts w:hint="eastAsia" w:ascii="仿宋" w:hAnsi="仿宋" w:eastAsia="仿宋"/>
          <w:b/>
          <w:color w:val="auto"/>
          <w:sz w:val="32"/>
          <w:szCs w:val="32"/>
          <w:highlight w:val="none"/>
        </w:rPr>
        <w:t>（三）一般公共预算财政拨款支出决算具体情况</w:t>
      </w:r>
      <w:bookmarkEnd w:id="42"/>
    </w:p>
    <w:p w14:paraId="7F447DCA">
      <w:pPr>
        <w:spacing w:line="600" w:lineRule="exact"/>
        <w:ind w:firstLine="643" w:firstLineChars="200"/>
        <w:outlineLvl w:val="2"/>
        <w:rPr>
          <w:rFonts w:ascii="仿宋" w:hAnsi="仿宋" w:eastAsia="仿宋"/>
          <w:color w:val="auto"/>
          <w:sz w:val="32"/>
          <w:szCs w:val="32"/>
          <w:highlight w:val="none"/>
        </w:rPr>
      </w:pPr>
      <w:bookmarkStart w:id="43" w:name="_Toc15377213"/>
      <w:bookmarkStart w:id="44" w:name="_Toc15377444"/>
      <w:bookmarkStart w:id="45" w:name="_Toc15378460"/>
      <w:r>
        <w:rPr>
          <w:rFonts w:hint="eastAsia" w:ascii="仿宋" w:hAnsi="仿宋" w:eastAsia="仿宋"/>
          <w:b/>
          <w:color w:val="auto"/>
          <w:sz w:val="32"/>
          <w:szCs w:val="32"/>
          <w:highlight w:val="none"/>
          <w:lang w:eastAsia="zh-CN"/>
        </w:rPr>
        <w:t>2025</w:t>
      </w:r>
      <w:r>
        <w:rPr>
          <w:rFonts w:hint="eastAsia" w:ascii="仿宋" w:hAnsi="仿宋" w:eastAsia="仿宋"/>
          <w:b/>
          <w:color w:val="auto"/>
          <w:sz w:val="32"/>
          <w:szCs w:val="32"/>
          <w:highlight w:val="none"/>
        </w:rPr>
        <w:t>年</w:t>
      </w:r>
      <w:r>
        <w:rPr>
          <w:rFonts w:hint="eastAsia" w:ascii="仿宋" w:hAnsi="仿宋" w:eastAsia="仿宋"/>
          <w:b/>
          <w:color w:val="auto"/>
          <w:sz w:val="32"/>
          <w:szCs w:val="32"/>
          <w:highlight w:val="none"/>
          <w:lang w:eastAsia="zh-CN"/>
        </w:rPr>
        <w:t>一</w:t>
      </w:r>
      <w:r>
        <w:rPr>
          <w:rFonts w:hint="eastAsia" w:ascii="仿宋" w:hAnsi="仿宋" w:eastAsia="仿宋"/>
          <w:b/>
          <w:color w:val="auto"/>
          <w:sz w:val="32"/>
          <w:szCs w:val="32"/>
          <w:highlight w:val="none"/>
        </w:rPr>
        <w:t>般公共预算支出决算数为</w:t>
      </w:r>
      <w:r>
        <w:rPr>
          <w:rFonts w:hint="eastAsia" w:ascii="仿宋" w:hAnsi="仿宋" w:eastAsia="仿宋"/>
          <w:b/>
          <w:color w:val="auto"/>
          <w:sz w:val="32"/>
          <w:szCs w:val="32"/>
          <w:highlight w:val="none"/>
          <w:lang w:val="en-US" w:eastAsia="zh-CN"/>
        </w:rPr>
        <w:t>197.76万元</w:t>
      </w:r>
      <w:r>
        <w:rPr>
          <w:rFonts w:hint="eastAsia" w:ascii="仿宋" w:hAnsi="仿宋" w:eastAsia="仿宋"/>
          <w:color w:val="auto"/>
          <w:sz w:val="32"/>
          <w:szCs w:val="32"/>
          <w:highlight w:val="none"/>
        </w:rPr>
        <w:t>，</w:t>
      </w:r>
      <w:r>
        <w:rPr>
          <w:rStyle w:val="20"/>
          <w:rFonts w:hint="eastAsia" w:ascii="仿宋" w:hAnsi="仿宋" w:eastAsia="仿宋"/>
          <w:bCs/>
          <w:color w:val="auto"/>
          <w:sz w:val="32"/>
          <w:szCs w:val="32"/>
          <w:highlight w:val="none"/>
        </w:rPr>
        <w:t>完成预算</w:t>
      </w:r>
      <w:r>
        <w:rPr>
          <w:rStyle w:val="20"/>
          <w:rFonts w:hint="eastAsia" w:ascii="仿宋" w:hAnsi="仿宋" w:eastAsia="仿宋"/>
          <w:bCs/>
          <w:color w:val="auto"/>
          <w:sz w:val="32"/>
          <w:szCs w:val="32"/>
          <w:highlight w:val="none"/>
          <w:lang w:val="en-US" w:eastAsia="zh-CN"/>
        </w:rPr>
        <w:t>100</w:t>
      </w:r>
      <w:r>
        <w:rPr>
          <w:rStyle w:val="20"/>
          <w:rFonts w:ascii="仿宋" w:hAnsi="仿宋" w:eastAsia="仿宋"/>
          <w:bCs/>
          <w:color w:val="auto"/>
          <w:sz w:val="32"/>
          <w:szCs w:val="32"/>
          <w:highlight w:val="none"/>
        </w:rPr>
        <w:t>%</w:t>
      </w:r>
      <w:r>
        <w:rPr>
          <w:rStyle w:val="20"/>
          <w:rFonts w:hint="eastAsia" w:ascii="仿宋" w:hAnsi="仿宋" w:eastAsia="仿宋"/>
          <w:bCs/>
          <w:color w:val="auto"/>
          <w:sz w:val="32"/>
          <w:szCs w:val="32"/>
          <w:highlight w:val="none"/>
        </w:rPr>
        <w:t>。其中：</w:t>
      </w:r>
      <w:bookmarkEnd w:id="43"/>
      <w:bookmarkEnd w:id="44"/>
      <w:bookmarkEnd w:id="45"/>
    </w:p>
    <w:p w14:paraId="3E5F9EAE">
      <w:pPr>
        <w:spacing w:line="600" w:lineRule="exact"/>
        <w:ind w:firstLine="643" w:firstLineChars="200"/>
        <w:rPr>
          <w:rFonts w:ascii="仿宋" w:hAnsi="仿宋" w:eastAsia="仿宋"/>
          <w:b/>
          <w:color w:val="auto"/>
          <w:sz w:val="32"/>
          <w:szCs w:val="32"/>
          <w:highlight w:val="none"/>
        </w:rPr>
      </w:pPr>
      <w:r>
        <w:rPr>
          <w:rStyle w:val="20"/>
          <w:rFonts w:ascii="仿宋" w:hAnsi="仿宋" w:eastAsia="仿宋"/>
          <w:bCs/>
          <w:color w:val="auto"/>
          <w:sz w:val="32"/>
          <w:szCs w:val="32"/>
          <w:highlight w:val="none"/>
        </w:rPr>
        <w:t>1.</w:t>
      </w:r>
      <w:r>
        <w:rPr>
          <w:rStyle w:val="20"/>
          <w:rFonts w:hint="eastAsia" w:ascii="仿宋" w:hAnsi="仿宋" w:eastAsia="仿宋"/>
          <w:bCs/>
          <w:color w:val="auto"/>
          <w:sz w:val="32"/>
          <w:szCs w:val="32"/>
          <w:highlight w:val="none"/>
        </w:rPr>
        <w:t>一般公共服务（类）</w:t>
      </w:r>
      <w:r>
        <w:rPr>
          <w:rStyle w:val="20"/>
          <w:rFonts w:hint="eastAsia" w:ascii="仿宋" w:hAnsi="仿宋" w:eastAsia="仿宋"/>
          <w:bCs/>
          <w:color w:val="auto"/>
          <w:sz w:val="32"/>
          <w:szCs w:val="32"/>
          <w:highlight w:val="none"/>
          <w:lang w:val="en-US" w:eastAsia="zh-CN"/>
        </w:rPr>
        <w:t>201</w:t>
      </w:r>
      <w:r>
        <w:rPr>
          <w:rStyle w:val="20"/>
          <w:rFonts w:hint="eastAsia" w:ascii="仿宋" w:hAnsi="仿宋" w:eastAsia="仿宋"/>
          <w:bCs/>
          <w:color w:val="auto"/>
          <w:sz w:val="32"/>
          <w:szCs w:val="32"/>
          <w:highlight w:val="none"/>
        </w:rPr>
        <w:t>（款）</w:t>
      </w:r>
      <w:r>
        <w:rPr>
          <w:rStyle w:val="20"/>
          <w:rFonts w:ascii="仿宋" w:hAnsi="仿宋" w:eastAsia="仿宋"/>
          <w:bCs/>
          <w:color w:val="auto"/>
          <w:sz w:val="32"/>
          <w:szCs w:val="32"/>
          <w:highlight w:val="none"/>
        </w:rPr>
        <w:t>***</w:t>
      </w:r>
      <w:r>
        <w:rPr>
          <w:rStyle w:val="20"/>
          <w:rFonts w:hint="eastAsia" w:ascii="仿宋" w:hAnsi="仿宋" w:eastAsia="仿宋"/>
          <w:bCs/>
          <w:color w:val="auto"/>
          <w:sz w:val="32"/>
          <w:szCs w:val="32"/>
          <w:highlight w:val="none"/>
        </w:rPr>
        <w:t>（项）</w:t>
      </w:r>
      <w:r>
        <w:rPr>
          <w:rStyle w:val="20"/>
          <w:rFonts w:ascii="仿宋" w:hAnsi="仿宋" w:eastAsia="仿宋"/>
          <w:bCs/>
          <w:color w:val="auto"/>
          <w:sz w:val="32"/>
          <w:szCs w:val="32"/>
          <w:highlight w:val="none"/>
        </w:rPr>
        <w:t>:</w:t>
      </w:r>
      <w:r>
        <w:rPr>
          <w:rStyle w:val="20"/>
          <w:rFonts w:ascii="仿宋" w:hAnsi="仿宋" w:eastAsia="仿宋"/>
          <w:b w:val="0"/>
          <w:bCs/>
          <w:color w:val="auto"/>
          <w:sz w:val="32"/>
          <w:szCs w:val="32"/>
          <w:highlight w:val="none"/>
        </w:rPr>
        <w:t xml:space="preserve"> </w:t>
      </w:r>
      <w:r>
        <w:rPr>
          <w:rStyle w:val="20"/>
          <w:rFonts w:hint="eastAsia" w:ascii="仿宋" w:hAnsi="仿宋" w:eastAsia="仿宋"/>
          <w:b w:val="0"/>
          <w:bCs/>
          <w:color w:val="auto"/>
          <w:sz w:val="32"/>
          <w:szCs w:val="32"/>
          <w:highlight w:val="none"/>
          <w:lang w:val="en-US" w:eastAsia="zh-CN"/>
        </w:rPr>
        <w:t>行政运行2014001</w:t>
      </w:r>
      <w:r>
        <w:rPr>
          <w:rStyle w:val="20"/>
          <w:rFonts w:hint="eastAsia" w:ascii="仿宋" w:hAnsi="仿宋" w:eastAsia="仿宋"/>
          <w:b w:val="0"/>
          <w:bCs/>
          <w:color w:val="auto"/>
          <w:sz w:val="32"/>
          <w:szCs w:val="32"/>
          <w:highlight w:val="none"/>
        </w:rPr>
        <w:t>支出决算为</w:t>
      </w:r>
      <w:r>
        <w:rPr>
          <w:rStyle w:val="20"/>
          <w:rFonts w:hint="eastAsia" w:ascii="仿宋" w:hAnsi="仿宋" w:eastAsia="仿宋"/>
          <w:b w:val="0"/>
          <w:bCs/>
          <w:color w:val="auto"/>
          <w:sz w:val="32"/>
          <w:szCs w:val="32"/>
          <w:highlight w:val="none"/>
          <w:lang w:val="en-US" w:eastAsia="zh-CN"/>
        </w:rPr>
        <w:t>133.48</w:t>
      </w:r>
      <w:r>
        <w:rPr>
          <w:rStyle w:val="20"/>
          <w:rFonts w:hint="eastAsia" w:ascii="仿宋" w:hAnsi="仿宋" w:eastAsia="仿宋"/>
          <w:b w:val="0"/>
          <w:bCs/>
          <w:color w:val="auto"/>
          <w:sz w:val="32"/>
          <w:szCs w:val="32"/>
          <w:highlight w:val="none"/>
        </w:rPr>
        <w:t>万元，完成预算</w:t>
      </w:r>
      <w:r>
        <w:rPr>
          <w:rStyle w:val="20"/>
          <w:rFonts w:hint="eastAsia" w:ascii="仿宋" w:hAnsi="仿宋" w:eastAsia="仿宋"/>
          <w:b w:val="0"/>
          <w:bCs/>
          <w:color w:val="auto"/>
          <w:sz w:val="32"/>
          <w:szCs w:val="32"/>
          <w:highlight w:val="none"/>
          <w:lang w:val="en-US" w:eastAsia="zh-CN"/>
        </w:rPr>
        <w:t>100</w:t>
      </w:r>
      <w:r>
        <w:rPr>
          <w:rStyle w:val="20"/>
          <w:rFonts w:ascii="仿宋" w:hAnsi="仿宋" w:eastAsia="仿宋"/>
          <w:b w:val="0"/>
          <w:bCs/>
          <w:color w:val="auto"/>
          <w:sz w:val="32"/>
          <w:szCs w:val="32"/>
          <w:highlight w:val="none"/>
        </w:rPr>
        <w:t>%</w:t>
      </w:r>
      <w:r>
        <w:rPr>
          <w:rStyle w:val="20"/>
          <w:rFonts w:hint="eastAsia" w:ascii="仿宋" w:hAnsi="仿宋" w:eastAsia="仿宋"/>
          <w:b w:val="0"/>
          <w:bCs/>
          <w:color w:val="auto"/>
          <w:sz w:val="32"/>
          <w:szCs w:val="32"/>
          <w:highlight w:val="none"/>
          <w:lang w:eastAsia="zh-CN"/>
        </w:rPr>
        <w:t>；</w:t>
      </w:r>
      <w:r>
        <w:rPr>
          <w:rStyle w:val="20"/>
          <w:rFonts w:hint="eastAsia" w:ascii="仿宋" w:hAnsi="仿宋" w:eastAsia="仿宋"/>
          <w:b w:val="0"/>
          <w:bCs/>
          <w:color w:val="auto"/>
          <w:sz w:val="32"/>
          <w:szCs w:val="32"/>
          <w:highlight w:val="none"/>
          <w:lang w:val="en-US" w:eastAsia="zh-CN"/>
        </w:rPr>
        <w:t>一般行政管理事务2014002</w:t>
      </w:r>
      <w:r>
        <w:rPr>
          <w:rStyle w:val="20"/>
          <w:rFonts w:hint="eastAsia" w:ascii="仿宋" w:hAnsi="仿宋" w:eastAsia="仿宋"/>
          <w:b w:val="0"/>
          <w:bCs/>
          <w:color w:val="auto"/>
          <w:sz w:val="32"/>
          <w:szCs w:val="32"/>
          <w:highlight w:val="none"/>
        </w:rPr>
        <w:t>支出决算为</w:t>
      </w:r>
      <w:r>
        <w:rPr>
          <w:rStyle w:val="20"/>
          <w:rFonts w:hint="eastAsia" w:ascii="仿宋" w:hAnsi="仿宋" w:eastAsia="仿宋"/>
          <w:b w:val="0"/>
          <w:bCs/>
          <w:color w:val="auto"/>
          <w:sz w:val="32"/>
          <w:szCs w:val="32"/>
          <w:highlight w:val="none"/>
          <w:lang w:val="en-US" w:eastAsia="zh-CN"/>
        </w:rPr>
        <w:t>11.14</w:t>
      </w:r>
      <w:r>
        <w:rPr>
          <w:rStyle w:val="20"/>
          <w:rFonts w:hint="eastAsia" w:ascii="仿宋" w:hAnsi="仿宋" w:eastAsia="仿宋"/>
          <w:b w:val="0"/>
          <w:bCs/>
          <w:color w:val="auto"/>
          <w:sz w:val="32"/>
          <w:szCs w:val="32"/>
          <w:highlight w:val="none"/>
        </w:rPr>
        <w:t>万元，完成预算</w:t>
      </w:r>
      <w:r>
        <w:rPr>
          <w:rStyle w:val="20"/>
          <w:rFonts w:hint="eastAsia" w:ascii="仿宋" w:hAnsi="仿宋" w:eastAsia="仿宋"/>
          <w:b w:val="0"/>
          <w:bCs/>
          <w:color w:val="auto"/>
          <w:sz w:val="32"/>
          <w:szCs w:val="32"/>
          <w:highlight w:val="none"/>
          <w:lang w:val="en-US" w:eastAsia="zh-CN"/>
        </w:rPr>
        <w:t>100</w:t>
      </w:r>
      <w:r>
        <w:rPr>
          <w:rStyle w:val="20"/>
          <w:rFonts w:ascii="仿宋" w:hAnsi="仿宋" w:eastAsia="仿宋"/>
          <w:b w:val="0"/>
          <w:bCs/>
          <w:color w:val="auto"/>
          <w:sz w:val="32"/>
          <w:szCs w:val="32"/>
          <w:highlight w:val="none"/>
        </w:rPr>
        <w:t>%</w:t>
      </w:r>
      <w:r>
        <w:rPr>
          <w:rStyle w:val="20"/>
          <w:rFonts w:hint="eastAsia" w:ascii="仿宋" w:hAnsi="仿宋" w:eastAsia="仿宋"/>
          <w:b w:val="0"/>
          <w:bCs/>
          <w:color w:val="auto"/>
          <w:sz w:val="32"/>
          <w:szCs w:val="32"/>
          <w:highlight w:val="none"/>
        </w:rPr>
        <w:t>，决算数等于预算数。</w:t>
      </w:r>
    </w:p>
    <w:p w14:paraId="5192799D">
      <w:pPr>
        <w:spacing w:line="600" w:lineRule="exact"/>
        <w:ind w:firstLine="643" w:firstLineChars="200"/>
        <w:rPr>
          <w:rFonts w:ascii="仿宋" w:hAnsi="仿宋" w:eastAsia="仿宋"/>
          <w:b/>
          <w:color w:val="auto"/>
          <w:sz w:val="32"/>
          <w:szCs w:val="32"/>
          <w:highlight w:val="none"/>
        </w:rPr>
      </w:pPr>
      <w:r>
        <w:rPr>
          <w:rStyle w:val="20"/>
          <w:rFonts w:hint="eastAsia" w:ascii="仿宋" w:hAnsi="仿宋" w:eastAsia="仿宋"/>
          <w:bCs/>
          <w:color w:val="auto"/>
          <w:sz w:val="32"/>
          <w:szCs w:val="32"/>
          <w:highlight w:val="none"/>
          <w:lang w:val="en-US" w:eastAsia="zh-CN"/>
        </w:rPr>
        <w:t>2</w:t>
      </w:r>
      <w:r>
        <w:rPr>
          <w:rStyle w:val="20"/>
          <w:rFonts w:ascii="仿宋" w:hAnsi="仿宋" w:eastAsia="仿宋"/>
          <w:bCs/>
          <w:color w:val="auto"/>
          <w:sz w:val="32"/>
          <w:szCs w:val="32"/>
          <w:highlight w:val="none"/>
        </w:rPr>
        <w:t>.</w:t>
      </w:r>
      <w:r>
        <w:rPr>
          <w:rStyle w:val="20"/>
          <w:rFonts w:hint="eastAsia" w:ascii="仿宋" w:hAnsi="仿宋" w:eastAsia="仿宋"/>
          <w:bCs/>
          <w:color w:val="auto"/>
          <w:sz w:val="32"/>
          <w:szCs w:val="32"/>
          <w:highlight w:val="none"/>
        </w:rPr>
        <w:t>社会保障和就业（类）</w:t>
      </w:r>
      <w:r>
        <w:rPr>
          <w:rStyle w:val="20"/>
          <w:rFonts w:hint="eastAsia" w:ascii="仿宋" w:hAnsi="仿宋" w:eastAsia="仿宋"/>
          <w:bCs/>
          <w:color w:val="auto"/>
          <w:sz w:val="32"/>
          <w:szCs w:val="32"/>
          <w:highlight w:val="none"/>
          <w:lang w:val="en-US" w:eastAsia="zh-CN"/>
        </w:rPr>
        <w:t>208</w:t>
      </w:r>
      <w:r>
        <w:rPr>
          <w:rStyle w:val="20"/>
          <w:rFonts w:hint="eastAsia" w:ascii="仿宋" w:hAnsi="仿宋" w:eastAsia="仿宋"/>
          <w:bCs/>
          <w:color w:val="auto"/>
          <w:sz w:val="32"/>
          <w:szCs w:val="32"/>
          <w:highlight w:val="none"/>
        </w:rPr>
        <w:t>（款）</w:t>
      </w:r>
      <w:r>
        <w:rPr>
          <w:rStyle w:val="20"/>
          <w:rFonts w:ascii="仿宋" w:hAnsi="仿宋" w:eastAsia="仿宋"/>
          <w:bCs/>
          <w:color w:val="auto"/>
          <w:sz w:val="32"/>
          <w:szCs w:val="32"/>
          <w:highlight w:val="none"/>
        </w:rPr>
        <w:t>***</w:t>
      </w:r>
      <w:r>
        <w:rPr>
          <w:rStyle w:val="20"/>
          <w:rFonts w:hint="eastAsia" w:ascii="仿宋" w:hAnsi="仿宋" w:eastAsia="仿宋"/>
          <w:bCs/>
          <w:color w:val="auto"/>
          <w:sz w:val="32"/>
          <w:szCs w:val="32"/>
          <w:highlight w:val="none"/>
        </w:rPr>
        <w:t>（项）</w:t>
      </w:r>
      <w:r>
        <w:rPr>
          <w:rStyle w:val="20"/>
          <w:rFonts w:ascii="仿宋" w:hAnsi="仿宋" w:eastAsia="仿宋"/>
          <w:bCs/>
          <w:color w:val="auto"/>
          <w:sz w:val="32"/>
          <w:szCs w:val="32"/>
          <w:highlight w:val="none"/>
        </w:rPr>
        <w:t>:</w:t>
      </w:r>
      <w:r>
        <w:rPr>
          <w:rStyle w:val="20"/>
          <w:rFonts w:ascii="仿宋" w:hAnsi="仿宋" w:eastAsia="仿宋"/>
          <w:b w:val="0"/>
          <w:bCs/>
          <w:color w:val="auto"/>
          <w:sz w:val="32"/>
          <w:szCs w:val="32"/>
          <w:highlight w:val="none"/>
        </w:rPr>
        <w:t xml:space="preserve"> </w:t>
      </w:r>
      <w:r>
        <w:rPr>
          <w:rStyle w:val="20"/>
          <w:rFonts w:hint="eastAsia" w:ascii="仿宋" w:hAnsi="仿宋" w:eastAsia="仿宋"/>
          <w:b w:val="0"/>
          <w:bCs/>
          <w:color w:val="auto"/>
          <w:sz w:val="32"/>
          <w:szCs w:val="32"/>
          <w:highlight w:val="none"/>
          <w:lang w:val="en-US" w:eastAsia="zh-CN"/>
        </w:rPr>
        <w:t>机关事业单位基本养老保险缴费支出2080505</w:t>
      </w:r>
      <w:r>
        <w:rPr>
          <w:rStyle w:val="20"/>
          <w:rFonts w:hint="eastAsia" w:ascii="仿宋" w:hAnsi="仿宋" w:eastAsia="仿宋"/>
          <w:b w:val="0"/>
          <w:bCs/>
          <w:color w:val="auto"/>
          <w:sz w:val="32"/>
          <w:szCs w:val="32"/>
          <w:highlight w:val="none"/>
        </w:rPr>
        <w:t>支出决算为</w:t>
      </w:r>
      <w:r>
        <w:rPr>
          <w:rStyle w:val="20"/>
          <w:rFonts w:hint="eastAsia" w:ascii="仿宋" w:hAnsi="仿宋" w:eastAsia="仿宋"/>
          <w:b w:val="0"/>
          <w:bCs/>
          <w:color w:val="auto"/>
          <w:sz w:val="32"/>
          <w:szCs w:val="32"/>
          <w:highlight w:val="none"/>
          <w:lang w:val="en-US" w:eastAsia="zh-CN"/>
        </w:rPr>
        <w:t>21.43</w:t>
      </w:r>
      <w:r>
        <w:rPr>
          <w:rStyle w:val="20"/>
          <w:rFonts w:hint="eastAsia" w:ascii="仿宋" w:hAnsi="仿宋" w:eastAsia="仿宋"/>
          <w:b w:val="0"/>
          <w:bCs/>
          <w:color w:val="auto"/>
          <w:sz w:val="32"/>
          <w:szCs w:val="32"/>
          <w:highlight w:val="none"/>
        </w:rPr>
        <w:t>万元，完成预算</w:t>
      </w:r>
      <w:r>
        <w:rPr>
          <w:rStyle w:val="20"/>
          <w:rFonts w:hint="eastAsia" w:ascii="仿宋" w:hAnsi="仿宋" w:eastAsia="仿宋"/>
          <w:b w:val="0"/>
          <w:bCs/>
          <w:color w:val="auto"/>
          <w:sz w:val="32"/>
          <w:szCs w:val="32"/>
          <w:highlight w:val="none"/>
          <w:lang w:val="en-US" w:eastAsia="zh-CN"/>
        </w:rPr>
        <w:t>100</w:t>
      </w:r>
      <w:r>
        <w:rPr>
          <w:rStyle w:val="20"/>
          <w:rFonts w:ascii="仿宋" w:hAnsi="仿宋" w:eastAsia="仿宋"/>
          <w:b w:val="0"/>
          <w:bCs/>
          <w:color w:val="auto"/>
          <w:sz w:val="32"/>
          <w:szCs w:val="32"/>
          <w:highlight w:val="none"/>
        </w:rPr>
        <w:t>%</w:t>
      </w:r>
      <w:r>
        <w:rPr>
          <w:rStyle w:val="20"/>
          <w:rFonts w:hint="eastAsia" w:ascii="仿宋" w:hAnsi="仿宋" w:eastAsia="仿宋"/>
          <w:b w:val="0"/>
          <w:bCs/>
          <w:color w:val="auto"/>
          <w:sz w:val="32"/>
          <w:szCs w:val="32"/>
          <w:highlight w:val="none"/>
        </w:rPr>
        <w:t>，决算数</w:t>
      </w:r>
      <w:r>
        <w:rPr>
          <w:rStyle w:val="20"/>
          <w:rFonts w:hint="eastAsia" w:ascii="仿宋" w:hAnsi="仿宋" w:eastAsia="仿宋"/>
          <w:b w:val="0"/>
          <w:bCs/>
          <w:color w:val="auto"/>
          <w:sz w:val="32"/>
          <w:szCs w:val="32"/>
          <w:highlight w:val="none"/>
          <w:lang w:val="en-US" w:eastAsia="zh-CN"/>
        </w:rPr>
        <w:t>等</w:t>
      </w:r>
      <w:r>
        <w:rPr>
          <w:rStyle w:val="20"/>
          <w:rFonts w:hint="eastAsia" w:ascii="仿宋" w:hAnsi="仿宋" w:eastAsia="仿宋"/>
          <w:b w:val="0"/>
          <w:bCs/>
          <w:color w:val="auto"/>
          <w:sz w:val="32"/>
          <w:szCs w:val="32"/>
          <w:highlight w:val="none"/>
        </w:rPr>
        <w:t>于预算数</w:t>
      </w:r>
      <w:r>
        <w:rPr>
          <w:rStyle w:val="20"/>
          <w:rFonts w:hint="eastAsia" w:ascii="仿宋" w:hAnsi="仿宋" w:eastAsia="仿宋"/>
          <w:b w:val="0"/>
          <w:bCs/>
          <w:color w:val="auto"/>
          <w:sz w:val="32"/>
          <w:szCs w:val="32"/>
          <w:highlight w:val="none"/>
          <w:lang w:val="en-US" w:eastAsia="zh-CN"/>
        </w:rPr>
        <w:t>；机关事业单位职业 年金缴费支出2080506支出决算为9.1万元，完成预算100%，决算数等于预算数</w:t>
      </w:r>
      <w:r>
        <w:rPr>
          <w:rStyle w:val="20"/>
          <w:rFonts w:hint="eastAsia" w:ascii="仿宋" w:hAnsi="仿宋" w:eastAsia="仿宋"/>
          <w:b w:val="0"/>
          <w:bCs/>
          <w:color w:val="auto"/>
          <w:sz w:val="32"/>
          <w:szCs w:val="32"/>
          <w:highlight w:val="none"/>
        </w:rPr>
        <w:t>。</w:t>
      </w:r>
    </w:p>
    <w:p w14:paraId="3E41EEF2">
      <w:pPr>
        <w:spacing w:line="600" w:lineRule="exact"/>
        <w:ind w:firstLine="643" w:firstLineChars="200"/>
        <w:rPr>
          <w:rStyle w:val="20"/>
          <w:rFonts w:hint="eastAsia" w:ascii="仿宋" w:hAnsi="仿宋" w:eastAsia="仿宋"/>
          <w:b w:val="0"/>
          <w:bCs/>
          <w:color w:val="auto"/>
          <w:sz w:val="32"/>
          <w:szCs w:val="32"/>
          <w:highlight w:val="none"/>
        </w:rPr>
      </w:pPr>
      <w:r>
        <w:rPr>
          <w:rStyle w:val="20"/>
          <w:rFonts w:hint="eastAsia" w:ascii="仿宋" w:hAnsi="仿宋" w:eastAsia="仿宋"/>
          <w:bCs/>
          <w:color w:val="auto"/>
          <w:sz w:val="32"/>
          <w:szCs w:val="32"/>
          <w:highlight w:val="none"/>
          <w:lang w:val="en-US" w:eastAsia="zh-CN"/>
        </w:rPr>
        <w:t>3</w:t>
      </w:r>
      <w:r>
        <w:rPr>
          <w:rStyle w:val="20"/>
          <w:rFonts w:ascii="仿宋" w:hAnsi="仿宋" w:eastAsia="仿宋"/>
          <w:bCs/>
          <w:color w:val="auto"/>
          <w:sz w:val="32"/>
          <w:szCs w:val="32"/>
          <w:highlight w:val="none"/>
        </w:rPr>
        <w:t>.</w:t>
      </w:r>
      <w:r>
        <w:rPr>
          <w:rFonts w:hint="eastAsia" w:ascii="仿宋" w:hAnsi="仿宋" w:eastAsia="仿宋"/>
          <w:b/>
          <w:bCs/>
          <w:color w:val="auto"/>
          <w:sz w:val="32"/>
          <w:szCs w:val="32"/>
          <w:highlight w:val="none"/>
        </w:rPr>
        <w:t>卫生健康</w:t>
      </w:r>
      <w:r>
        <w:rPr>
          <w:rStyle w:val="20"/>
          <w:rFonts w:hint="eastAsia" w:ascii="仿宋" w:hAnsi="仿宋" w:eastAsia="仿宋"/>
          <w:bCs/>
          <w:color w:val="auto"/>
          <w:sz w:val="32"/>
          <w:szCs w:val="32"/>
          <w:highlight w:val="none"/>
        </w:rPr>
        <w:t>（类）</w:t>
      </w:r>
      <w:r>
        <w:rPr>
          <w:rStyle w:val="20"/>
          <w:rFonts w:hint="eastAsia" w:ascii="仿宋" w:hAnsi="仿宋" w:eastAsia="仿宋"/>
          <w:bCs/>
          <w:color w:val="auto"/>
          <w:sz w:val="32"/>
          <w:szCs w:val="32"/>
          <w:highlight w:val="none"/>
          <w:lang w:val="en-US" w:eastAsia="zh-CN"/>
        </w:rPr>
        <w:t>210</w:t>
      </w:r>
      <w:r>
        <w:rPr>
          <w:rStyle w:val="20"/>
          <w:rFonts w:hint="eastAsia" w:ascii="仿宋" w:hAnsi="仿宋" w:eastAsia="仿宋"/>
          <w:bCs/>
          <w:color w:val="auto"/>
          <w:sz w:val="32"/>
          <w:szCs w:val="32"/>
          <w:highlight w:val="none"/>
        </w:rPr>
        <w:t>（款）</w:t>
      </w:r>
      <w:r>
        <w:rPr>
          <w:rStyle w:val="20"/>
          <w:rFonts w:ascii="仿宋" w:hAnsi="仿宋" w:eastAsia="仿宋"/>
          <w:bCs/>
          <w:color w:val="auto"/>
          <w:sz w:val="32"/>
          <w:szCs w:val="32"/>
          <w:highlight w:val="none"/>
        </w:rPr>
        <w:t>***</w:t>
      </w:r>
      <w:r>
        <w:rPr>
          <w:rStyle w:val="20"/>
          <w:rFonts w:hint="eastAsia" w:ascii="仿宋" w:hAnsi="仿宋" w:eastAsia="仿宋"/>
          <w:bCs/>
          <w:color w:val="auto"/>
          <w:sz w:val="32"/>
          <w:szCs w:val="32"/>
          <w:highlight w:val="none"/>
        </w:rPr>
        <w:t>（项）</w:t>
      </w:r>
      <w:r>
        <w:rPr>
          <w:rStyle w:val="20"/>
          <w:rFonts w:ascii="仿宋" w:hAnsi="仿宋" w:eastAsia="仿宋"/>
          <w:bCs/>
          <w:color w:val="auto"/>
          <w:sz w:val="32"/>
          <w:szCs w:val="32"/>
          <w:highlight w:val="none"/>
        </w:rPr>
        <w:t>:</w:t>
      </w:r>
      <w:r>
        <w:rPr>
          <w:rStyle w:val="20"/>
          <w:rFonts w:hint="eastAsia" w:ascii="仿宋" w:hAnsi="仿宋" w:eastAsia="仿宋" w:cs="Times New Roman"/>
          <w:b w:val="0"/>
          <w:bCs/>
          <w:color w:val="auto"/>
          <w:sz w:val="32"/>
          <w:szCs w:val="32"/>
          <w:highlight w:val="none"/>
          <w:lang w:val="en-US" w:eastAsia="zh-CN"/>
        </w:rPr>
        <w:t>行政单位医疗2101101</w:t>
      </w:r>
      <w:r>
        <w:rPr>
          <w:rStyle w:val="20"/>
          <w:rFonts w:hint="eastAsia" w:ascii="仿宋" w:hAnsi="仿宋" w:eastAsia="仿宋"/>
          <w:b w:val="0"/>
          <w:bCs/>
          <w:color w:val="auto"/>
          <w:sz w:val="32"/>
          <w:szCs w:val="32"/>
          <w:highlight w:val="none"/>
        </w:rPr>
        <w:t>支出决算为</w:t>
      </w:r>
      <w:r>
        <w:rPr>
          <w:rStyle w:val="20"/>
          <w:rFonts w:hint="eastAsia" w:ascii="仿宋" w:hAnsi="仿宋" w:eastAsia="仿宋"/>
          <w:b w:val="0"/>
          <w:bCs/>
          <w:color w:val="auto"/>
          <w:sz w:val="32"/>
          <w:szCs w:val="32"/>
          <w:highlight w:val="none"/>
          <w:lang w:val="en-US" w:eastAsia="zh-CN"/>
        </w:rPr>
        <w:t>7.96</w:t>
      </w:r>
      <w:r>
        <w:rPr>
          <w:rStyle w:val="20"/>
          <w:rFonts w:hint="eastAsia" w:ascii="仿宋" w:hAnsi="仿宋" w:eastAsia="仿宋"/>
          <w:b w:val="0"/>
          <w:bCs/>
          <w:color w:val="auto"/>
          <w:sz w:val="32"/>
          <w:szCs w:val="32"/>
          <w:highlight w:val="none"/>
        </w:rPr>
        <w:t>万元，完成预算</w:t>
      </w:r>
      <w:r>
        <w:rPr>
          <w:rStyle w:val="20"/>
          <w:rFonts w:hint="eastAsia" w:ascii="仿宋" w:hAnsi="仿宋" w:eastAsia="仿宋"/>
          <w:b w:val="0"/>
          <w:bCs/>
          <w:color w:val="auto"/>
          <w:sz w:val="32"/>
          <w:szCs w:val="32"/>
          <w:highlight w:val="none"/>
          <w:lang w:val="en-US" w:eastAsia="zh-CN"/>
        </w:rPr>
        <w:t>100</w:t>
      </w:r>
      <w:r>
        <w:rPr>
          <w:rStyle w:val="20"/>
          <w:rFonts w:ascii="仿宋" w:hAnsi="仿宋" w:eastAsia="仿宋"/>
          <w:b w:val="0"/>
          <w:bCs/>
          <w:color w:val="auto"/>
          <w:sz w:val="32"/>
          <w:szCs w:val="32"/>
          <w:highlight w:val="none"/>
        </w:rPr>
        <w:t>%</w:t>
      </w:r>
      <w:r>
        <w:rPr>
          <w:rStyle w:val="20"/>
          <w:rFonts w:hint="eastAsia" w:ascii="仿宋" w:hAnsi="仿宋" w:eastAsia="仿宋"/>
          <w:b w:val="0"/>
          <w:bCs/>
          <w:color w:val="auto"/>
          <w:sz w:val="32"/>
          <w:szCs w:val="32"/>
          <w:highlight w:val="none"/>
        </w:rPr>
        <w:t>，决算数</w:t>
      </w:r>
      <w:r>
        <w:rPr>
          <w:rStyle w:val="20"/>
          <w:rFonts w:hint="eastAsia" w:ascii="仿宋" w:hAnsi="仿宋" w:eastAsia="仿宋"/>
          <w:b w:val="0"/>
          <w:bCs/>
          <w:color w:val="auto"/>
          <w:sz w:val="32"/>
          <w:szCs w:val="32"/>
          <w:highlight w:val="none"/>
          <w:lang w:val="en-US" w:eastAsia="zh-CN"/>
        </w:rPr>
        <w:t>等</w:t>
      </w:r>
      <w:r>
        <w:rPr>
          <w:rStyle w:val="20"/>
          <w:rFonts w:hint="eastAsia" w:ascii="仿宋" w:hAnsi="仿宋" w:eastAsia="仿宋"/>
          <w:b w:val="0"/>
          <w:bCs/>
          <w:color w:val="auto"/>
          <w:sz w:val="32"/>
          <w:szCs w:val="32"/>
          <w:highlight w:val="none"/>
        </w:rPr>
        <w:t>于预算数</w:t>
      </w:r>
      <w:r>
        <w:rPr>
          <w:rStyle w:val="20"/>
          <w:rFonts w:hint="eastAsia" w:ascii="仿宋" w:hAnsi="仿宋" w:eastAsia="仿宋"/>
          <w:b w:val="0"/>
          <w:bCs/>
          <w:color w:val="auto"/>
          <w:sz w:val="32"/>
          <w:szCs w:val="32"/>
          <w:highlight w:val="none"/>
          <w:lang w:val="en-US" w:eastAsia="zh-CN"/>
        </w:rPr>
        <w:t>；公务员医疗补助2101103支出决算为1.77万元，完成预算100%，决算数等于预算数</w:t>
      </w:r>
      <w:r>
        <w:rPr>
          <w:rStyle w:val="20"/>
          <w:rFonts w:hint="eastAsia" w:ascii="仿宋" w:hAnsi="仿宋" w:eastAsia="仿宋"/>
          <w:b w:val="0"/>
          <w:bCs/>
          <w:color w:val="auto"/>
          <w:sz w:val="32"/>
          <w:szCs w:val="32"/>
          <w:highlight w:val="none"/>
        </w:rPr>
        <w:t>。</w:t>
      </w:r>
    </w:p>
    <w:p w14:paraId="39156066">
      <w:pPr>
        <w:spacing w:line="600" w:lineRule="exact"/>
        <w:ind w:firstLine="643" w:firstLineChars="200"/>
      </w:pPr>
      <w:r>
        <w:rPr>
          <w:rStyle w:val="20"/>
          <w:rFonts w:hint="eastAsia" w:ascii="仿宋" w:hAnsi="仿宋" w:eastAsia="仿宋"/>
          <w:bCs/>
          <w:color w:val="auto"/>
          <w:sz w:val="32"/>
          <w:szCs w:val="32"/>
          <w:highlight w:val="none"/>
          <w:lang w:val="en-US" w:eastAsia="zh-CN"/>
        </w:rPr>
        <w:t>4</w:t>
      </w:r>
      <w:r>
        <w:rPr>
          <w:rStyle w:val="20"/>
          <w:rFonts w:ascii="仿宋" w:hAnsi="仿宋" w:eastAsia="仿宋"/>
          <w:bCs/>
          <w:color w:val="auto"/>
          <w:sz w:val="32"/>
          <w:szCs w:val="32"/>
          <w:highlight w:val="none"/>
        </w:rPr>
        <w:t>.</w:t>
      </w:r>
      <w:r>
        <w:rPr>
          <w:rFonts w:hint="eastAsia" w:ascii="仿宋" w:hAnsi="仿宋" w:eastAsia="仿宋"/>
          <w:b/>
          <w:color w:val="auto"/>
          <w:sz w:val="32"/>
          <w:szCs w:val="32"/>
          <w:highlight w:val="none"/>
          <w:lang w:val="en-US" w:eastAsia="zh-CN"/>
        </w:rPr>
        <w:t>住房保障</w:t>
      </w:r>
      <w:r>
        <w:rPr>
          <w:rStyle w:val="20"/>
          <w:rFonts w:hint="eastAsia" w:ascii="仿宋" w:hAnsi="仿宋" w:eastAsia="仿宋"/>
          <w:bCs/>
          <w:color w:val="auto"/>
          <w:sz w:val="32"/>
          <w:szCs w:val="32"/>
          <w:highlight w:val="none"/>
        </w:rPr>
        <w:t>（类）</w:t>
      </w:r>
      <w:r>
        <w:rPr>
          <w:rStyle w:val="20"/>
          <w:rFonts w:hint="eastAsia" w:ascii="仿宋" w:hAnsi="仿宋" w:eastAsia="仿宋"/>
          <w:bCs/>
          <w:color w:val="auto"/>
          <w:sz w:val="32"/>
          <w:szCs w:val="32"/>
          <w:highlight w:val="none"/>
          <w:lang w:val="en-US" w:eastAsia="zh-CN"/>
        </w:rPr>
        <w:t>221</w:t>
      </w:r>
      <w:r>
        <w:rPr>
          <w:rStyle w:val="20"/>
          <w:rFonts w:hint="eastAsia" w:ascii="仿宋" w:hAnsi="仿宋" w:eastAsia="仿宋"/>
          <w:bCs/>
          <w:color w:val="auto"/>
          <w:sz w:val="32"/>
          <w:szCs w:val="32"/>
          <w:highlight w:val="none"/>
        </w:rPr>
        <w:t>（款）</w:t>
      </w:r>
      <w:r>
        <w:rPr>
          <w:rStyle w:val="20"/>
          <w:rFonts w:ascii="仿宋" w:hAnsi="仿宋" w:eastAsia="仿宋"/>
          <w:bCs/>
          <w:color w:val="auto"/>
          <w:sz w:val="32"/>
          <w:szCs w:val="32"/>
          <w:highlight w:val="none"/>
        </w:rPr>
        <w:t>***</w:t>
      </w:r>
      <w:r>
        <w:rPr>
          <w:rStyle w:val="20"/>
          <w:rFonts w:hint="eastAsia" w:ascii="仿宋" w:hAnsi="仿宋" w:eastAsia="仿宋"/>
          <w:bCs/>
          <w:color w:val="auto"/>
          <w:sz w:val="32"/>
          <w:szCs w:val="32"/>
          <w:highlight w:val="none"/>
        </w:rPr>
        <w:t>（项）</w:t>
      </w:r>
      <w:r>
        <w:rPr>
          <w:rStyle w:val="20"/>
          <w:rFonts w:ascii="仿宋" w:hAnsi="仿宋" w:eastAsia="仿宋"/>
          <w:bCs/>
          <w:color w:val="auto"/>
          <w:sz w:val="32"/>
          <w:szCs w:val="32"/>
          <w:highlight w:val="none"/>
        </w:rPr>
        <w:t>:</w:t>
      </w:r>
      <w:r>
        <w:rPr>
          <w:rStyle w:val="20"/>
          <w:rFonts w:hint="eastAsia" w:ascii="仿宋" w:hAnsi="仿宋" w:eastAsia="仿宋" w:cs="Times New Roman"/>
          <w:b w:val="0"/>
          <w:bCs/>
          <w:color w:val="auto"/>
          <w:sz w:val="32"/>
          <w:szCs w:val="32"/>
          <w:highlight w:val="none"/>
          <w:lang w:val="en-US" w:eastAsia="zh-CN"/>
        </w:rPr>
        <w:t>住房公积金2210201支出决算为12.87万元，</w:t>
      </w:r>
      <w:r>
        <w:rPr>
          <w:rStyle w:val="20"/>
          <w:rFonts w:hint="eastAsia" w:ascii="仿宋" w:hAnsi="仿宋" w:eastAsia="仿宋" w:cs="Times New Roman"/>
          <w:b w:val="0"/>
          <w:bCs/>
          <w:color w:val="auto"/>
          <w:sz w:val="32"/>
          <w:szCs w:val="32"/>
          <w:highlight w:val="none"/>
        </w:rPr>
        <w:t>完成预算</w:t>
      </w:r>
      <w:r>
        <w:rPr>
          <w:rStyle w:val="20"/>
          <w:rFonts w:hint="eastAsia" w:ascii="仿宋" w:hAnsi="仿宋" w:eastAsia="仿宋" w:cs="Times New Roman"/>
          <w:b w:val="0"/>
          <w:bCs/>
          <w:color w:val="auto"/>
          <w:sz w:val="32"/>
          <w:szCs w:val="32"/>
          <w:highlight w:val="none"/>
          <w:lang w:val="en-US" w:eastAsia="zh-CN"/>
        </w:rPr>
        <w:t>100</w:t>
      </w:r>
      <w:r>
        <w:rPr>
          <w:rStyle w:val="20"/>
          <w:rFonts w:hint="eastAsia" w:ascii="仿宋" w:hAnsi="仿宋" w:eastAsia="仿宋" w:cs="Times New Roman"/>
          <w:b w:val="0"/>
          <w:bCs/>
          <w:color w:val="auto"/>
          <w:sz w:val="32"/>
          <w:szCs w:val="32"/>
          <w:highlight w:val="none"/>
        </w:rPr>
        <w:t>%，</w:t>
      </w:r>
      <w:r>
        <w:rPr>
          <w:rStyle w:val="20"/>
          <w:rFonts w:hint="eastAsia" w:ascii="仿宋" w:hAnsi="仿宋" w:eastAsia="仿宋"/>
          <w:b w:val="0"/>
          <w:bCs/>
          <w:color w:val="auto"/>
          <w:sz w:val="32"/>
          <w:szCs w:val="32"/>
          <w:highlight w:val="none"/>
        </w:rPr>
        <w:t>决算数</w:t>
      </w:r>
      <w:r>
        <w:rPr>
          <w:rStyle w:val="20"/>
          <w:rFonts w:hint="eastAsia" w:ascii="仿宋" w:hAnsi="仿宋" w:eastAsia="仿宋"/>
          <w:b w:val="0"/>
          <w:bCs/>
          <w:color w:val="auto"/>
          <w:sz w:val="32"/>
          <w:szCs w:val="32"/>
          <w:highlight w:val="none"/>
          <w:lang w:val="en-US" w:eastAsia="zh-CN"/>
        </w:rPr>
        <w:t>等</w:t>
      </w:r>
      <w:r>
        <w:rPr>
          <w:rStyle w:val="20"/>
          <w:rFonts w:hint="eastAsia" w:ascii="仿宋" w:hAnsi="仿宋" w:eastAsia="仿宋"/>
          <w:b w:val="0"/>
          <w:bCs/>
          <w:color w:val="auto"/>
          <w:sz w:val="32"/>
          <w:szCs w:val="32"/>
          <w:highlight w:val="none"/>
        </w:rPr>
        <w:t>于预算数。</w:t>
      </w:r>
    </w:p>
    <w:p w14:paraId="11CAD013">
      <w:pPr>
        <w:tabs>
          <w:tab w:val="right" w:pos="8306"/>
        </w:tabs>
        <w:spacing w:line="600" w:lineRule="exact"/>
        <w:ind w:firstLine="640"/>
        <w:outlineLvl w:val="1"/>
        <w:rPr>
          <w:rStyle w:val="32"/>
          <w:color w:val="auto"/>
          <w:highlight w:val="none"/>
        </w:rPr>
      </w:pPr>
      <w:bookmarkStart w:id="46" w:name="_Toc28123_WPSOffice_Level2"/>
      <w:bookmarkStart w:id="47" w:name="_Toc15396608"/>
      <w:bookmarkStart w:id="48" w:name="_Toc15377214"/>
      <w:r>
        <w:rPr>
          <w:rFonts w:hint="eastAsia" w:ascii="黑体" w:eastAsia="黑体"/>
          <w:color w:val="auto"/>
          <w:sz w:val="32"/>
          <w:szCs w:val="32"/>
          <w:highlight w:val="none"/>
        </w:rPr>
        <w:t>六</w:t>
      </w:r>
      <w:r>
        <w:rPr>
          <w:rFonts w:hint="eastAsia" w:ascii="黑体" w:eastAsia="黑体"/>
          <w:b/>
          <w:color w:val="auto"/>
          <w:sz w:val="32"/>
          <w:szCs w:val="32"/>
          <w:highlight w:val="none"/>
        </w:rPr>
        <w:t>、</w:t>
      </w:r>
      <w:r>
        <w:rPr>
          <w:rFonts w:hint="eastAsia" w:ascii="黑体" w:hAnsi="黑体" w:eastAsia="黑体"/>
          <w:b/>
          <w:color w:val="auto"/>
          <w:sz w:val="32"/>
          <w:szCs w:val="32"/>
          <w:highlight w:val="none"/>
        </w:rPr>
        <w:t>一</w:t>
      </w:r>
      <w:r>
        <w:rPr>
          <w:rStyle w:val="32"/>
          <w:rFonts w:hint="eastAsia" w:ascii="黑体" w:hAnsi="黑体" w:eastAsia="黑体"/>
          <w:b w:val="0"/>
          <w:color w:val="auto"/>
          <w:highlight w:val="none"/>
        </w:rPr>
        <w:t>般公共预算财政拨款基本支出决算情况说明</w:t>
      </w:r>
      <w:bookmarkEnd w:id="46"/>
      <w:bookmarkEnd w:id="47"/>
      <w:bookmarkEnd w:id="48"/>
      <w:r>
        <w:rPr>
          <w:rStyle w:val="32"/>
          <w:rFonts w:ascii="黑体" w:hAnsi="黑体" w:eastAsia="黑体"/>
          <w:b w:val="0"/>
          <w:color w:val="auto"/>
          <w:highlight w:val="none"/>
        </w:rPr>
        <w:tab/>
      </w:r>
    </w:p>
    <w:p w14:paraId="3E0D337F">
      <w:pPr>
        <w:spacing w:line="600" w:lineRule="exact"/>
        <w:ind w:firstLine="645"/>
        <w:rPr>
          <w:rFonts w:ascii="仿宋" w:hAnsi="仿宋" w:eastAsia="仿宋"/>
          <w:color w:val="auto"/>
          <w:sz w:val="32"/>
          <w:szCs w:val="32"/>
          <w:highlight w:val="none"/>
        </w:rPr>
      </w:pPr>
      <w:r>
        <w:rPr>
          <w:rFonts w:hint="eastAsia" w:ascii="仿宋" w:hAnsi="仿宋" w:eastAsia="仿宋"/>
          <w:color w:val="auto"/>
          <w:sz w:val="32"/>
          <w:szCs w:val="32"/>
          <w:highlight w:val="none"/>
          <w:lang w:eastAsia="zh-CN"/>
        </w:rPr>
        <w:t>2025</w:t>
      </w:r>
      <w:r>
        <w:rPr>
          <w:rFonts w:hint="eastAsia" w:ascii="仿宋" w:hAnsi="仿宋" w:eastAsia="仿宋"/>
          <w:color w:val="auto"/>
          <w:sz w:val="32"/>
          <w:szCs w:val="32"/>
          <w:highlight w:val="none"/>
        </w:rPr>
        <w:t>年一般公共预算财政拨款基本支出</w:t>
      </w:r>
      <w:r>
        <w:rPr>
          <w:rFonts w:hint="eastAsia" w:ascii="仿宋" w:hAnsi="仿宋" w:eastAsia="仿宋"/>
          <w:color w:val="auto"/>
          <w:sz w:val="32"/>
          <w:szCs w:val="32"/>
          <w:highlight w:val="none"/>
          <w:lang w:val="en-US" w:eastAsia="zh-CN"/>
        </w:rPr>
        <w:t>186.61</w:t>
      </w:r>
      <w:r>
        <w:rPr>
          <w:rFonts w:hint="eastAsia" w:ascii="仿宋" w:hAnsi="仿宋" w:eastAsia="仿宋"/>
          <w:color w:val="auto"/>
          <w:sz w:val="32"/>
          <w:szCs w:val="32"/>
          <w:highlight w:val="none"/>
        </w:rPr>
        <w:t>万元，其中：</w:t>
      </w:r>
    </w:p>
    <w:p w14:paraId="4A15B567">
      <w:pPr>
        <w:spacing w:line="600" w:lineRule="exact"/>
        <w:ind w:firstLine="645"/>
        <w:rPr>
          <w:rFonts w:ascii="仿宋" w:hAnsi="仿宋" w:eastAsia="仿宋"/>
          <w:color w:val="auto"/>
          <w:sz w:val="32"/>
          <w:szCs w:val="32"/>
          <w:highlight w:val="none"/>
        </w:rPr>
      </w:pPr>
      <w:r>
        <w:rPr>
          <w:rFonts w:hint="eastAsia" w:ascii="仿宋" w:hAnsi="仿宋" w:eastAsia="仿宋"/>
          <w:color w:val="auto"/>
          <w:sz w:val="32"/>
          <w:szCs w:val="32"/>
          <w:highlight w:val="none"/>
        </w:rPr>
        <w:t>人员经费</w:t>
      </w:r>
      <w:r>
        <w:rPr>
          <w:rFonts w:hint="eastAsia" w:ascii="仿宋" w:hAnsi="仿宋" w:eastAsia="仿宋"/>
          <w:color w:val="auto"/>
          <w:sz w:val="32"/>
          <w:szCs w:val="32"/>
          <w:highlight w:val="none"/>
          <w:lang w:val="en-US" w:eastAsia="zh-CN"/>
        </w:rPr>
        <w:t>162.42</w:t>
      </w:r>
      <w:r>
        <w:rPr>
          <w:rFonts w:hint="eastAsia" w:ascii="仿宋" w:hAnsi="仿宋" w:eastAsia="仿宋"/>
          <w:color w:val="auto"/>
          <w:sz w:val="32"/>
          <w:szCs w:val="32"/>
          <w:highlight w:val="none"/>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ascii="仿宋" w:hAnsi="仿宋" w:eastAsia="仿宋"/>
          <w:color w:val="auto"/>
          <w:sz w:val="32"/>
          <w:szCs w:val="32"/>
          <w:highlight w:val="none"/>
        </w:rPr>
        <w:br w:type="textWrapping"/>
      </w:r>
      <w:r>
        <w:rPr>
          <w:rFonts w:hint="eastAsia" w:ascii="仿宋" w:hAnsi="仿宋" w:eastAsia="仿宋"/>
          <w:color w:val="auto"/>
          <w:sz w:val="32"/>
          <w:szCs w:val="32"/>
          <w:highlight w:val="none"/>
        </w:rPr>
        <w:t>　　公用经费</w:t>
      </w:r>
      <w:r>
        <w:rPr>
          <w:rFonts w:hint="eastAsia" w:ascii="仿宋" w:hAnsi="仿宋" w:eastAsia="仿宋"/>
          <w:color w:val="auto"/>
          <w:sz w:val="32"/>
          <w:szCs w:val="32"/>
          <w:highlight w:val="none"/>
          <w:lang w:val="en-US" w:eastAsia="zh-CN"/>
        </w:rPr>
        <w:t>24.19</w:t>
      </w:r>
      <w:r>
        <w:rPr>
          <w:rFonts w:hint="eastAsia" w:ascii="仿宋" w:hAnsi="仿宋" w:eastAsia="仿宋"/>
          <w:color w:val="auto"/>
          <w:sz w:val="32"/>
          <w:szCs w:val="32"/>
          <w:highlight w:val="none"/>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311805C2">
      <w:pPr>
        <w:spacing w:line="600" w:lineRule="exact"/>
        <w:ind w:firstLine="640"/>
        <w:outlineLvl w:val="1"/>
        <w:rPr>
          <w:rStyle w:val="32"/>
          <w:rFonts w:ascii="黑体" w:hAnsi="黑体" w:eastAsia="黑体"/>
          <w:b w:val="0"/>
          <w:color w:val="auto"/>
          <w:highlight w:val="none"/>
        </w:rPr>
      </w:pPr>
      <w:bookmarkStart w:id="49" w:name="_Toc15396609"/>
      <w:bookmarkStart w:id="50" w:name="_Toc16777_WPSOffice_Level2"/>
      <w:bookmarkStart w:id="51" w:name="_Toc15377215"/>
      <w:r>
        <w:rPr>
          <w:rFonts w:hint="eastAsia" w:ascii="黑体" w:eastAsia="黑体"/>
          <w:color w:val="auto"/>
          <w:sz w:val="32"/>
          <w:szCs w:val="32"/>
          <w:highlight w:val="none"/>
        </w:rPr>
        <w:t>七、</w:t>
      </w:r>
      <w:r>
        <w:rPr>
          <w:rStyle w:val="32"/>
          <w:rFonts w:hint="eastAsia" w:ascii="黑体" w:hAnsi="黑体" w:eastAsia="黑体"/>
          <w:b w:val="0"/>
          <w:color w:val="auto"/>
          <w:highlight w:val="none"/>
        </w:rPr>
        <w:t>财政拨款</w:t>
      </w:r>
      <w:r>
        <w:rPr>
          <w:rStyle w:val="32"/>
          <w:rFonts w:hint="eastAsia" w:ascii="黑体" w:hAnsi="黑体" w:eastAsia="黑体"/>
          <w:color w:val="auto"/>
          <w:highlight w:val="none"/>
        </w:rPr>
        <w:t>“</w:t>
      </w:r>
      <w:r>
        <w:rPr>
          <w:rStyle w:val="32"/>
          <w:rFonts w:hint="eastAsia" w:ascii="黑体" w:hAnsi="黑体" w:eastAsia="黑体"/>
          <w:b w:val="0"/>
          <w:color w:val="auto"/>
          <w:highlight w:val="none"/>
        </w:rPr>
        <w:t>三公”经费支出决算情况说明</w:t>
      </w:r>
      <w:bookmarkEnd w:id="49"/>
      <w:bookmarkEnd w:id="50"/>
      <w:bookmarkEnd w:id="51"/>
    </w:p>
    <w:p w14:paraId="4C7650DE">
      <w:pPr>
        <w:spacing w:line="600" w:lineRule="exact"/>
        <w:ind w:firstLine="640"/>
        <w:outlineLvl w:val="2"/>
        <w:rPr>
          <w:rFonts w:ascii="仿宋" w:hAnsi="仿宋" w:eastAsia="仿宋"/>
          <w:b/>
          <w:color w:val="auto"/>
          <w:sz w:val="32"/>
          <w:szCs w:val="32"/>
          <w:highlight w:val="none"/>
        </w:rPr>
      </w:pPr>
      <w:bookmarkStart w:id="52" w:name="_Toc15377216"/>
      <w:r>
        <w:rPr>
          <w:rFonts w:hint="eastAsia" w:ascii="仿宋" w:hAnsi="仿宋" w:eastAsia="仿宋"/>
          <w:b/>
          <w:color w:val="auto"/>
          <w:sz w:val="32"/>
          <w:szCs w:val="32"/>
          <w:highlight w:val="none"/>
        </w:rPr>
        <w:t>（一）“三公”经费财政拨款支出决算总体情况说明</w:t>
      </w:r>
      <w:bookmarkEnd w:id="52"/>
    </w:p>
    <w:p w14:paraId="6CBC1444">
      <w:pPr>
        <w:spacing w:line="600" w:lineRule="exact"/>
        <w:ind w:firstLine="640"/>
        <w:rPr>
          <w:rFonts w:ascii="仿宋" w:hAnsi="仿宋" w:eastAsia="仿宋"/>
          <w:color w:val="auto"/>
          <w:sz w:val="32"/>
          <w:szCs w:val="32"/>
          <w:highlight w:val="none"/>
        </w:rPr>
      </w:pPr>
      <w:r>
        <w:rPr>
          <w:rFonts w:hint="eastAsia" w:ascii="仿宋" w:hAnsi="仿宋" w:eastAsia="仿宋"/>
          <w:color w:val="auto"/>
          <w:sz w:val="32"/>
          <w:szCs w:val="32"/>
          <w:highlight w:val="none"/>
          <w:lang w:eastAsia="zh-CN"/>
        </w:rPr>
        <w:t>2025</w:t>
      </w:r>
      <w:r>
        <w:rPr>
          <w:rFonts w:hint="eastAsia" w:ascii="仿宋" w:hAnsi="仿宋" w:eastAsia="仿宋"/>
          <w:color w:val="auto"/>
          <w:sz w:val="32"/>
          <w:szCs w:val="32"/>
          <w:highlight w:val="none"/>
        </w:rPr>
        <w:t>年“三公”经费财政拨款支出决算为</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eastAsia="zh-CN"/>
        </w:rPr>
        <w:t>较上年</w:t>
      </w:r>
      <w:r>
        <w:rPr>
          <w:rFonts w:hint="eastAsia" w:ascii="仿宋" w:hAnsi="仿宋" w:eastAsia="仿宋"/>
          <w:color w:val="auto"/>
          <w:sz w:val="32"/>
          <w:szCs w:val="32"/>
          <w:highlight w:val="none"/>
          <w:lang w:val="en-US" w:eastAsia="zh-CN"/>
        </w:rPr>
        <w:t>增加0万元。上年与本年均未产生“三公”经费</w:t>
      </w:r>
      <w:r>
        <w:rPr>
          <w:rFonts w:hint="eastAsia" w:ascii="仿宋" w:hAnsi="仿宋" w:eastAsia="仿宋"/>
          <w:color w:val="auto"/>
          <w:sz w:val="32"/>
          <w:szCs w:val="32"/>
          <w:highlight w:val="none"/>
        </w:rPr>
        <w:t>。</w:t>
      </w:r>
    </w:p>
    <w:p w14:paraId="1A8B8C4B">
      <w:pPr>
        <w:spacing w:line="600" w:lineRule="exact"/>
        <w:ind w:firstLine="640"/>
        <w:outlineLvl w:val="2"/>
        <w:rPr>
          <w:rFonts w:ascii="仿宋" w:hAnsi="仿宋" w:eastAsia="仿宋"/>
          <w:b/>
          <w:color w:val="auto"/>
          <w:sz w:val="32"/>
          <w:szCs w:val="32"/>
          <w:highlight w:val="none"/>
        </w:rPr>
      </w:pPr>
      <w:bookmarkStart w:id="53" w:name="_Toc15377217"/>
      <w:r>
        <w:rPr>
          <w:rFonts w:hint="eastAsia" w:ascii="仿宋" w:hAnsi="仿宋" w:eastAsia="仿宋"/>
          <w:b/>
          <w:color w:val="auto"/>
          <w:sz w:val="32"/>
          <w:szCs w:val="32"/>
          <w:highlight w:val="none"/>
        </w:rPr>
        <w:t>（二）“三公”经费财政拨款支出决算具体情况说明</w:t>
      </w:r>
      <w:bookmarkEnd w:id="53"/>
    </w:p>
    <w:p w14:paraId="003943F4">
      <w:pPr>
        <w:spacing w:line="600" w:lineRule="exact"/>
        <w:ind w:firstLine="640"/>
        <w:rPr>
          <w:rFonts w:hint="eastAsia" w:ascii="仿宋" w:hAnsi="仿宋" w:eastAsia="仿宋"/>
          <w:color w:val="auto"/>
          <w:sz w:val="32"/>
          <w:szCs w:val="32"/>
          <w:highlight w:val="none"/>
        </w:rPr>
      </w:pPr>
      <w:r>
        <w:rPr>
          <w:rFonts w:hint="eastAsia" w:ascii="仿宋" w:hAnsi="仿宋" w:eastAsia="仿宋"/>
          <w:color w:val="auto"/>
          <w:sz w:val="32"/>
          <w:szCs w:val="32"/>
          <w:highlight w:val="none"/>
          <w:lang w:eastAsia="zh-CN"/>
        </w:rPr>
        <w:t>2025</w:t>
      </w:r>
      <w:r>
        <w:rPr>
          <w:rFonts w:hint="eastAsia" w:ascii="仿宋" w:hAnsi="仿宋" w:eastAsia="仿宋"/>
          <w:color w:val="auto"/>
          <w:sz w:val="32"/>
          <w:szCs w:val="32"/>
          <w:highlight w:val="none"/>
        </w:rPr>
        <w:t>年“三公”经费财政拨款支出决算中，因公出国（境）费支出决算</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；公务用车购置及运行维护费支出决算</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；公务接待费支出决算</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p>
    <w:p w14:paraId="3538C6E3">
      <w:pPr>
        <w:spacing w:line="600" w:lineRule="exact"/>
        <w:ind w:firstLine="640"/>
        <w:rPr>
          <w:rFonts w:ascii="仿宋_GB2312" w:eastAsia="仿宋_GB2312"/>
          <w:b/>
          <w:color w:val="auto"/>
          <w:sz w:val="32"/>
          <w:szCs w:val="32"/>
          <w:highlight w:val="none"/>
        </w:rPr>
      </w:pPr>
      <w:r>
        <w:rPr>
          <w:rFonts w:ascii="仿宋_GB2312" w:eastAsia="仿宋_GB2312"/>
          <w:b/>
          <w:color w:val="auto"/>
          <w:sz w:val="32"/>
          <w:szCs w:val="32"/>
          <w:highlight w:val="none"/>
        </w:rPr>
        <w:t>1.</w:t>
      </w:r>
      <w:r>
        <w:rPr>
          <w:rFonts w:hint="eastAsia" w:ascii="仿宋_GB2312" w:eastAsia="仿宋_GB2312"/>
          <w:b/>
          <w:color w:val="auto"/>
          <w:sz w:val="32"/>
          <w:szCs w:val="32"/>
          <w:highlight w:val="none"/>
        </w:rPr>
        <w:t>因公出国（境）经费支出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r>
        <w:rPr>
          <w:rFonts w:hint="eastAsia" w:ascii="仿宋_GB2312" w:eastAsia="仿宋_GB2312"/>
          <w:color w:val="auto"/>
          <w:sz w:val="32"/>
          <w:szCs w:val="32"/>
          <w:highlight w:val="none"/>
          <w:lang w:val="en-US" w:eastAsia="zh-CN"/>
        </w:rPr>
        <w:t>0</w:t>
      </w:r>
      <w:r>
        <w:rPr>
          <w:rStyle w:val="20"/>
          <w:rFonts w:hint="eastAsia" w:ascii="仿宋" w:hAnsi="仿宋" w:eastAsia="仿宋"/>
          <w:b w:val="0"/>
          <w:bCs/>
          <w:color w:val="auto"/>
          <w:sz w:val="32"/>
          <w:szCs w:val="32"/>
          <w:highlight w:val="none"/>
        </w:rPr>
        <w:t>。</w:t>
      </w:r>
      <w:r>
        <w:rPr>
          <w:rFonts w:hint="eastAsia" w:ascii="仿宋_GB2312" w:eastAsia="仿宋_GB2312"/>
          <w:color w:val="auto"/>
          <w:sz w:val="32"/>
          <w:szCs w:val="32"/>
          <w:highlight w:val="none"/>
        </w:rPr>
        <w:t>全年安排因公出国（境）团组</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次，出国（境）</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人。因公出国（境）支出决算</w:t>
      </w:r>
      <w:r>
        <w:rPr>
          <w:rFonts w:hint="eastAsia" w:ascii="仿宋_GB2312" w:eastAsia="仿宋_GB2312"/>
          <w:color w:val="auto"/>
          <w:sz w:val="32"/>
          <w:szCs w:val="32"/>
          <w:highlight w:val="none"/>
          <w:lang w:val="en-US" w:eastAsia="zh-CN"/>
        </w:rPr>
        <w:t>与</w:t>
      </w:r>
      <w:r>
        <w:rPr>
          <w:rFonts w:hint="eastAsia" w:ascii="仿宋_GB2312" w:eastAsia="仿宋_GB2312"/>
          <w:color w:val="auto"/>
          <w:sz w:val="32"/>
          <w:szCs w:val="32"/>
          <w:highlight w:val="none"/>
          <w:lang w:eastAsia="zh-CN"/>
        </w:rPr>
        <w:t>2024</w:t>
      </w:r>
      <w:r>
        <w:rPr>
          <w:rFonts w:hint="eastAsia" w:ascii="仿宋_GB2312" w:eastAsia="仿宋_GB2312"/>
          <w:color w:val="auto"/>
          <w:sz w:val="32"/>
          <w:szCs w:val="32"/>
          <w:highlight w:val="none"/>
        </w:rPr>
        <w:t>年比</w:t>
      </w:r>
      <w:r>
        <w:rPr>
          <w:rFonts w:hint="eastAsia" w:ascii="仿宋_GB2312" w:eastAsia="仿宋_GB2312"/>
          <w:color w:val="auto"/>
          <w:sz w:val="32"/>
          <w:szCs w:val="32"/>
          <w:highlight w:val="none"/>
          <w:lang w:val="en-US" w:eastAsia="zh-CN"/>
        </w:rPr>
        <w:t>无变化</w:t>
      </w:r>
      <w:r>
        <w:rPr>
          <w:rFonts w:hint="eastAsia" w:ascii="仿宋_GB2312" w:eastAsia="仿宋_GB2312"/>
          <w:color w:val="auto"/>
          <w:sz w:val="32"/>
          <w:szCs w:val="32"/>
          <w:highlight w:val="none"/>
        </w:rPr>
        <w:t>。</w:t>
      </w:r>
    </w:p>
    <w:p w14:paraId="615E4A17">
      <w:pPr>
        <w:spacing w:line="600" w:lineRule="exact"/>
        <w:ind w:firstLine="640"/>
        <w:rPr>
          <w:rFonts w:ascii="仿宋_GB2312" w:eastAsia="仿宋_GB2312"/>
          <w:b/>
          <w:color w:val="auto"/>
          <w:sz w:val="32"/>
          <w:szCs w:val="32"/>
          <w:highlight w:val="none"/>
        </w:rPr>
      </w:pPr>
      <w:r>
        <w:rPr>
          <w:rFonts w:ascii="仿宋_GB2312" w:eastAsia="仿宋_GB2312"/>
          <w:b/>
          <w:color w:val="auto"/>
          <w:sz w:val="32"/>
          <w:szCs w:val="32"/>
          <w:highlight w:val="none"/>
        </w:rPr>
        <w:t>2.</w:t>
      </w:r>
      <w:r>
        <w:rPr>
          <w:rFonts w:hint="eastAsia" w:ascii="仿宋_GB2312" w:eastAsia="仿宋_GB2312"/>
          <w:b/>
          <w:color w:val="auto"/>
          <w:sz w:val="32"/>
          <w:szCs w:val="32"/>
          <w:highlight w:val="none"/>
        </w:rPr>
        <w:t>公务用车购置及运行维护费支出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r>
        <w:rPr>
          <w:rStyle w:val="20"/>
          <w:rFonts w:hint="eastAsia" w:ascii="仿宋" w:hAnsi="仿宋" w:eastAsia="仿宋"/>
          <w:b w:val="0"/>
          <w:bCs/>
          <w:color w:val="auto"/>
          <w:sz w:val="32"/>
          <w:szCs w:val="32"/>
          <w:highlight w:val="none"/>
        </w:rPr>
        <w:t>。</w:t>
      </w:r>
      <w:r>
        <w:rPr>
          <w:rFonts w:hint="eastAsia" w:ascii="仿宋_GB2312" w:eastAsia="仿宋_GB2312"/>
          <w:color w:val="auto"/>
          <w:sz w:val="32"/>
          <w:szCs w:val="32"/>
          <w:highlight w:val="none"/>
        </w:rPr>
        <w:t>公务用车购置及运行维护费支出决算</w:t>
      </w:r>
      <w:r>
        <w:rPr>
          <w:rFonts w:hint="eastAsia" w:ascii="仿宋_GB2312" w:eastAsia="仿宋_GB2312"/>
          <w:color w:val="auto"/>
          <w:sz w:val="32"/>
          <w:szCs w:val="32"/>
          <w:highlight w:val="none"/>
          <w:lang w:val="en-US" w:eastAsia="zh-CN"/>
        </w:rPr>
        <w:t>与</w:t>
      </w:r>
      <w:r>
        <w:rPr>
          <w:rFonts w:hint="eastAsia" w:ascii="仿宋_GB2312" w:eastAsia="仿宋_GB2312"/>
          <w:color w:val="auto"/>
          <w:sz w:val="32"/>
          <w:szCs w:val="32"/>
          <w:highlight w:val="none"/>
          <w:lang w:eastAsia="zh-CN"/>
        </w:rPr>
        <w:t>2024</w:t>
      </w:r>
      <w:r>
        <w:rPr>
          <w:rFonts w:hint="eastAsia" w:ascii="仿宋_GB2312" w:eastAsia="仿宋_GB2312"/>
          <w:color w:val="auto"/>
          <w:sz w:val="32"/>
          <w:szCs w:val="32"/>
          <w:highlight w:val="none"/>
        </w:rPr>
        <w:t>年比</w:t>
      </w:r>
      <w:r>
        <w:rPr>
          <w:rFonts w:hint="eastAsia" w:ascii="仿宋_GB2312" w:eastAsia="仿宋_GB2312"/>
          <w:color w:val="auto"/>
          <w:sz w:val="32"/>
          <w:szCs w:val="32"/>
          <w:highlight w:val="none"/>
          <w:lang w:val="en-US" w:eastAsia="zh-CN"/>
        </w:rPr>
        <w:t>无变化</w:t>
      </w:r>
      <w:r>
        <w:rPr>
          <w:rFonts w:hint="eastAsia" w:ascii="仿宋_GB2312" w:eastAsia="仿宋_GB2312"/>
          <w:color w:val="auto"/>
          <w:sz w:val="32"/>
          <w:szCs w:val="32"/>
          <w:highlight w:val="none"/>
        </w:rPr>
        <w:t>。</w:t>
      </w:r>
    </w:p>
    <w:p w14:paraId="474DB068">
      <w:pPr>
        <w:spacing w:line="600" w:lineRule="exact"/>
        <w:ind w:firstLine="640" w:firstLineChars="200"/>
        <w:rPr>
          <w:rFonts w:ascii="仿宋_GB2312" w:eastAsia="仿宋_GB2312"/>
          <w:b/>
          <w:color w:val="auto"/>
          <w:sz w:val="32"/>
          <w:szCs w:val="32"/>
          <w:highlight w:val="none"/>
        </w:rPr>
      </w:pPr>
      <w:r>
        <w:rPr>
          <w:rFonts w:hint="eastAsia" w:ascii="仿宋_GB2312" w:eastAsia="仿宋_GB2312"/>
          <w:color w:val="auto"/>
          <w:sz w:val="32"/>
          <w:szCs w:val="32"/>
          <w:highlight w:val="none"/>
        </w:rPr>
        <w:t>其中：</w:t>
      </w:r>
      <w:r>
        <w:rPr>
          <w:rFonts w:hint="eastAsia" w:ascii="仿宋_GB2312" w:eastAsia="仿宋_GB2312"/>
          <w:b/>
          <w:color w:val="auto"/>
          <w:sz w:val="32"/>
          <w:szCs w:val="32"/>
          <w:highlight w:val="none"/>
        </w:rPr>
        <w:t>公务用车购置支出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万元。全年按规定更新购置公务用车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辆，其中：轿车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万元，越野车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万元，载客汽车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万元。截至</w:t>
      </w:r>
      <w:r>
        <w:rPr>
          <w:rFonts w:hint="eastAsia" w:ascii="仿宋_GB2312" w:eastAsia="仿宋_GB2312"/>
          <w:color w:val="auto"/>
          <w:sz w:val="32"/>
          <w:szCs w:val="32"/>
          <w:highlight w:val="none"/>
          <w:lang w:eastAsia="zh-CN"/>
        </w:rPr>
        <w:t>2025</w:t>
      </w:r>
      <w:r>
        <w:rPr>
          <w:rFonts w:hint="eastAsia" w:ascii="仿宋_GB2312" w:eastAsia="仿宋_GB2312"/>
          <w:color w:val="auto"/>
          <w:sz w:val="32"/>
          <w:szCs w:val="32"/>
          <w:highlight w:val="none"/>
        </w:rPr>
        <w:t>年</w:t>
      </w:r>
      <w:r>
        <w:rPr>
          <w:rFonts w:ascii="仿宋_GB2312" w:eastAsia="仿宋_GB2312"/>
          <w:color w:val="auto"/>
          <w:sz w:val="32"/>
          <w:szCs w:val="32"/>
          <w:highlight w:val="none"/>
        </w:rPr>
        <w:t>12</w:t>
      </w:r>
      <w:r>
        <w:rPr>
          <w:rFonts w:hint="eastAsia" w:ascii="仿宋_GB2312" w:eastAsia="仿宋_GB2312"/>
          <w:color w:val="auto"/>
          <w:sz w:val="32"/>
          <w:szCs w:val="32"/>
          <w:highlight w:val="none"/>
        </w:rPr>
        <w:t>月底，单位</w:t>
      </w:r>
      <w:r>
        <w:rPr>
          <w:rFonts w:hint="eastAsia" w:ascii="仿宋_GB2312" w:eastAsia="仿宋_GB2312"/>
          <w:color w:val="auto"/>
          <w:spacing w:val="-11"/>
          <w:sz w:val="32"/>
          <w:szCs w:val="32"/>
          <w:highlight w:val="none"/>
        </w:rPr>
        <w:t>共有公务用车</w:t>
      </w:r>
      <w:r>
        <w:rPr>
          <w:rFonts w:hint="eastAsia" w:ascii="仿宋_GB2312" w:eastAsia="仿宋_GB2312"/>
          <w:color w:val="auto"/>
          <w:spacing w:val="-11"/>
          <w:sz w:val="32"/>
          <w:szCs w:val="32"/>
          <w:highlight w:val="none"/>
          <w:lang w:val="en-US" w:eastAsia="zh-CN"/>
        </w:rPr>
        <w:t>0</w:t>
      </w:r>
      <w:r>
        <w:rPr>
          <w:rFonts w:hint="eastAsia" w:ascii="仿宋_GB2312" w:eastAsia="仿宋_GB2312"/>
          <w:color w:val="auto"/>
          <w:spacing w:val="-11"/>
          <w:sz w:val="32"/>
          <w:szCs w:val="32"/>
          <w:highlight w:val="none"/>
        </w:rPr>
        <w:t>辆，其中：轿车</w:t>
      </w:r>
      <w:r>
        <w:rPr>
          <w:rFonts w:hint="eastAsia" w:ascii="仿宋_GB2312" w:eastAsia="仿宋_GB2312"/>
          <w:color w:val="auto"/>
          <w:spacing w:val="-11"/>
          <w:sz w:val="32"/>
          <w:szCs w:val="32"/>
          <w:highlight w:val="none"/>
          <w:lang w:val="en-US" w:eastAsia="zh-CN"/>
        </w:rPr>
        <w:t>0</w:t>
      </w:r>
      <w:r>
        <w:rPr>
          <w:rFonts w:hint="eastAsia" w:ascii="仿宋_GB2312" w:eastAsia="仿宋_GB2312"/>
          <w:color w:val="auto"/>
          <w:spacing w:val="-11"/>
          <w:sz w:val="32"/>
          <w:szCs w:val="32"/>
          <w:highlight w:val="none"/>
        </w:rPr>
        <w:t>辆、越野车</w:t>
      </w:r>
      <w:r>
        <w:rPr>
          <w:rFonts w:hint="eastAsia" w:ascii="仿宋_GB2312" w:eastAsia="仿宋_GB2312"/>
          <w:color w:val="auto"/>
          <w:spacing w:val="-11"/>
          <w:sz w:val="32"/>
          <w:szCs w:val="32"/>
          <w:highlight w:val="none"/>
          <w:lang w:val="en-US" w:eastAsia="zh-CN"/>
        </w:rPr>
        <w:t>0</w:t>
      </w:r>
      <w:r>
        <w:rPr>
          <w:rFonts w:hint="eastAsia" w:ascii="仿宋_GB2312" w:eastAsia="仿宋_GB2312"/>
          <w:color w:val="auto"/>
          <w:spacing w:val="-11"/>
          <w:sz w:val="32"/>
          <w:szCs w:val="32"/>
          <w:highlight w:val="none"/>
        </w:rPr>
        <w:t>辆、载客汽车</w:t>
      </w:r>
      <w:r>
        <w:rPr>
          <w:rFonts w:hint="eastAsia" w:ascii="仿宋_GB2312" w:eastAsia="仿宋_GB2312"/>
          <w:color w:val="auto"/>
          <w:spacing w:val="-11"/>
          <w:sz w:val="32"/>
          <w:szCs w:val="32"/>
          <w:highlight w:val="none"/>
          <w:lang w:val="en-US" w:eastAsia="zh-CN"/>
        </w:rPr>
        <w:t>0</w:t>
      </w:r>
      <w:r>
        <w:rPr>
          <w:rFonts w:hint="eastAsia" w:ascii="仿宋_GB2312" w:eastAsia="仿宋_GB2312"/>
          <w:color w:val="auto"/>
          <w:spacing w:val="-11"/>
          <w:sz w:val="32"/>
          <w:szCs w:val="32"/>
          <w:highlight w:val="none"/>
        </w:rPr>
        <w:t>辆。</w:t>
      </w:r>
    </w:p>
    <w:p w14:paraId="3FD82F69">
      <w:pPr>
        <w:spacing w:line="600" w:lineRule="exact"/>
        <w:ind w:firstLine="640"/>
        <w:rPr>
          <w:rFonts w:hint="eastAsia" w:ascii="仿宋_GB2312" w:eastAsia="仿宋_GB2312"/>
          <w:color w:val="auto"/>
          <w:sz w:val="32"/>
          <w:szCs w:val="32"/>
          <w:highlight w:val="none"/>
        </w:rPr>
      </w:pPr>
      <w:r>
        <w:rPr>
          <w:rFonts w:hint="eastAsia" w:ascii="仿宋_GB2312" w:eastAsia="仿宋_GB2312"/>
          <w:b/>
          <w:color w:val="auto"/>
          <w:sz w:val="32"/>
          <w:szCs w:val="32"/>
          <w:highlight w:val="none"/>
        </w:rPr>
        <w:t>公务用车运行维护费支出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p>
    <w:p w14:paraId="23C96C21">
      <w:pPr>
        <w:spacing w:line="600" w:lineRule="exact"/>
        <w:ind w:firstLine="640"/>
        <w:rPr>
          <w:rFonts w:hint="eastAsia" w:ascii="仿宋_GB2312" w:eastAsia="仿宋_GB2312"/>
          <w:color w:val="auto"/>
          <w:sz w:val="32"/>
          <w:szCs w:val="32"/>
          <w:highlight w:val="none"/>
          <w:lang w:val="en-US" w:eastAsia="zh-CN"/>
        </w:rPr>
      </w:pPr>
      <w:r>
        <w:rPr>
          <w:rFonts w:ascii="仿宋_GB2312" w:eastAsia="仿宋_GB2312"/>
          <w:b/>
          <w:color w:val="auto"/>
          <w:sz w:val="32"/>
          <w:szCs w:val="32"/>
          <w:highlight w:val="none"/>
        </w:rPr>
        <w:t>3.</w:t>
      </w:r>
      <w:r>
        <w:rPr>
          <w:rFonts w:hint="eastAsia" w:ascii="仿宋_GB2312" w:eastAsia="仿宋_GB2312"/>
          <w:b/>
          <w:color w:val="auto"/>
          <w:sz w:val="32"/>
          <w:szCs w:val="32"/>
          <w:highlight w:val="none"/>
        </w:rPr>
        <w:t>公务接待费支出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r>
        <w:rPr>
          <w:rStyle w:val="20"/>
          <w:rFonts w:hint="eastAsia" w:ascii="仿宋" w:hAnsi="仿宋" w:eastAsia="仿宋"/>
          <w:b w:val="0"/>
          <w:bCs/>
          <w:color w:val="auto"/>
          <w:sz w:val="32"/>
          <w:szCs w:val="32"/>
          <w:highlight w:val="none"/>
        </w:rPr>
        <w:t>。</w:t>
      </w:r>
      <w:r>
        <w:rPr>
          <w:rFonts w:hint="eastAsia" w:ascii="仿宋_GB2312" w:eastAsia="仿宋_GB2312"/>
          <w:color w:val="auto"/>
          <w:sz w:val="32"/>
          <w:szCs w:val="32"/>
          <w:highlight w:val="none"/>
        </w:rPr>
        <w:t>公务接待费支出决算</w:t>
      </w:r>
      <w:r>
        <w:rPr>
          <w:rFonts w:hint="eastAsia" w:ascii="仿宋_GB2312" w:eastAsia="仿宋_GB2312"/>
          <w:color w:val="auto"/>
          <w:sz w:val="32"/>
          <w:szCs w:val="32"/>
          <w:highlight w:val="none"/>
          <w:lang w:val="en-US" w:eastAsia="zh-CN"/>
        </w:rPr>
        <w:t>与</w:t>
      </w:r>
      <w:r>
        <w:rPr>
          <w:rFonts w:hint="eastAsia" w:ascii="仿宋_GB2312" w:eastAsia="仿宋_GB2312"/>
          <w:color w:val="auto"/>
          <w:sz w:val="32"/>
          <w:szCs w:val="32"/>
          <w:highlight w:val="none"/>
          <w:lang w:eastAsia="zh-CN"/>
        </w:rPr>
        <w:t>2024</w:t>
      </w:r>
      <w:r>
        <w:rPr>
          <w:rFonts w:hint="eastAsia" w:ascii="仿宋_GB2312" w:eastAsia="仿宋_GB2312"/>
          <w:color w:val="auto"/>
          <w:sz w:val="32"/>
          <w:szCs w:val="32"/>
          <w:highlight w:val="none"/>
        </w:rPr>
        <w:t>年比</w:t>
      </w:r>
      <w:r>
        <w:rPr>
          <w:rFonts w:hint="eastAsia" w:ascii="仿宋_GB2312" w:eastAsia="仿宋_GB2312"/>
          <w:color w:val="auto"/>
          <w:sz w:val="32"/>
          <w:szCs w:val="32"/>
          <w:highlight w:val="none"/>
          <w:lang w:val="en-US" w:eastAsia="zh-CN"/>
        </w:rPr>
        <w:t>无变化。</w:t>
      </w:r>
    </w:p>
    <w:p w14:paraId="1292F48C">
      <w:pPr>
        <w:spacing w:line="600" w:lineRule="exact"/>
        <w:ind w:firstLine="640"/>
        <w:rPr>
          <w:rFonts w:ascii="仿宋_GB2312" w:eastAsia="仿宋_GB2312"/>
          <w:color w:val="auto"/>
          <w:sz w:val="32"/>
          <w:szCs w:val="32"/>
          <w:highlight w:val="none"/>
        </w:rPr>
      </w:pPr>
      <w:r>
        <w:rPr>
          <w:rFonts w:hint="eastAsia" w:ascii="仿宋" w:hAnsi="仿宋" w:eastAsia="仿宋"/>
          <w:b/>
          <w:color w:val="auto"/>
          <w:sz w:val="32"/>
          <w:szCs w:val="32"/>
          <w:highlight w:val="none"/>
        </w:rPr>
        <w:t>国内公务接待支出</w:t>
      </w:r>
      <w:r>
        <w:rPr>
          <w:rFonts w:hint="eastAsia" w:ascii="仿宋" w:hAnsi="仿宋" w:eastAsia="仿宋"/>
          <w:color w:val="auto"/>
          <w:sz w:val="32"/>
          <w:szCs w:val="32"/>
          <w:highlight w:val="none"/>
          <w:lang w:val="en-US" w:eastAsia="zh-CN"/>
        </w:rPr>
        <w:t>0</w:t>
      </w:r>
      <w:r>
        <w:rPr>
          <w:rFonts w:hint="eastAsia" w:ascii="仿宋_GB2312" w:eastAsia="仿宋_GB2312"/>
          <w:color w:val="auto"/>
          <w:sz w:val="32"/>
          <w:szCs w:val="32"/>
          <w:highlight w:val="none"/>
        </w:rPr>
        <w:t>万元。</w:t>
      </w:r>
    </w:p>
    <w:p w14:paraId="45200E22">
      <w:pPr>
        <w:spacing w:line="600" w:lineRule="exact"/>
        <w:ind w:firstLine="643" w:firstLineChars="200"/>
        <w:rPr>
          <w:rFonts w:ascii="仿宋_GB2312" w:eastAsia="仿宋_GB2312"/>
          <w:color w:val="auto"/>
          <w:sz w:val="32"/>
          <w:szCs w:val="32"/>
          <w:highlight w:val="none"/>
        </w:rPr>
      </w:pPr>
      <w:r>
        <w:rPr>
          <w:rFonts w:hint="eastAsia" w:ascii="仿宋" w:hAnsi="仿宋" w:eastAsia="仿宋"/>
          <w:b/>
          <w:color w:val="auto"/>
          <w:sz w:val="32"/>
          <w:szCs w:val="32"/>
          <w:highlight w:val="none"/>
        </w:rPr>
        <w:t>外事接待支出</w:t>
      </w:r>
      <w:r>
        <w:rPr>
          <w:rFonts w:hint="eastAsia" w:ascii="仿宋" w:hAnsi="仿宋" w:eastAsia="仿宋"/>
          <w:color w:val="auto"/>
          <w:sz w:val="32"/>
          <w:szCs w:val="32"/>
          <w:highlight w:val="none"/>
          <w:lang w:val="en-US" w:eastAsia="zh-CN"/>
        </w:rPr>
        <w:t>0</w:t>
      </w:r>
      <w:r>
        <w:rPr>
          <w:rFonts w:hint="eastAsia" w:ascii="仿宋_GB2312" w:eastAsia="仿宋_GB2312"/>
          <w:color w:val="auto"/>
          <w:sz w:val="32"/>
          <w:szCs w:val="32"/>
          <w:highlight w:val="none"/>
        </w:rPr>
        <w:t>万元。</w:t>
      </w:r>
    </w:p>
    <w:p w14:paraId="019E8670">
      <w:pPr>
        <w:spacing w:line="600" w:lineRule="exact"/>
        <w:ind w:firstLine="640"/>
        <w:outlineLvl w:val="1"/>
        <w:rPr>
          <w:rStyle w:val="32"/>
          <w:rFonts w:ascii="黑体" w:hAnsi="黑体" w:eastAsia="黑体"/>
          <w:color w:val="auto"/>
          <w:highlight w:val="none"/>
        </w:rPr>
      </w:pPr>
      <w:bookmarkStart w:id="54" w:name="_Toc15377218"/>
      <w:bookmarkStart w:id="55" w:name="_Toc31105_WPSOffice_Level2"/>
      <w:bookmarkStart w:id="56" w:name="_Toc15396610"/>
      <w:r>
        <w:rPr>
          <w:rFonts w:hint="eastAsia" w:ascii="黑体" w:eastAsia="黑体"/>
          <w:color w:val="auto"/>
          <w:sz w:val="32"/>
          <w:szCs w:val="32"/>
          <w:highlight w:val="none"/>
        </w:rPr>
        <w:t>八、</w:t>
      </w:r>
      <w:r>
        <w:rPr>
          <w:rStyle w:val="32"/>
          <w:rFonts w:hint="eastAsia" w:ascii="黑体" w:hAnsi="黑体" w:eastAsia="黑体"/>
          <w:b w:val="0"/>
          <w:color w:val="auto"/>
          <w:highlight w:val="none"/>
        </w:rPr>
        <w:t>政府性基金预算支出决算情况说明</w:t>
      </w:r>
      <w:bookmarkEnd w:id="54"/>
      <w:bookmarkEnd w:id="55"/>
      <w:bookmarkEnd w:id="56"/>
    </w:p>
    <w:p w14:paraId="236AE2D8">
      <w:pPr>
        <w:spacing w:line="600" w:lineRule="exact"/>
        <w:ind w:firstLine="640"/>
        <w:rPr>
          <w:rFonts w:ascii="仿宋_GB2312" w:eastAsia="仿宋_GB2312"/>
          <w:color w:val="auto"/>
          <w:sz w:val="32"/>
          <w:szCs w:val="32"/>
          <w:highlight w:val="none"/>
        </w:rPr>
      </w:pP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年政府性基金预算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p>
    <w:p w14:paraId="709150E4">
      <w:pPr>
        <w:numPr>
          <w:ilvl w:val="0"/>
          <w:numId w:val="2"/>
        </w:numPr>
        <w:spacing w:line="600" w:lineRule="exact"/>
        <w:ind w:firstLine="640"/>
        <w:outlineLvl w:val="1"/>
        <w:rPr>
          <w:rStyle w:val="32"/>
          <w:rFonts w:ascii="黑体" w:hAnsi="黑体" w:eastAsia="黑体"/>
          <w:b w:val="0"/>
          <w:color w:val="auto"/>
          <w:highlight w:val="none"/>
        </w:rPr>
      </w:pPr>
      <w:bookmarkStart w:id="57" w:name="_Toc15377219"/>
      <w:bookmarkStart w:id="58" w:name="_Toc15396611"/>
      <w:bookmarkStart w:id="59" w:name="_Toc8514_WPSOffice_Level2"/>
      <w:r>
        <w:rPr>
          <w:rStyle w:val="32"/>
          <w:rFonts w:hint="eastAsia" w:ascii="黑体" w:hAnsi="黑体" w:eastAsia="黑体"/>
          <w:b w:val="0"/>
          <w:color w:val="auto"/>
          <w:highlight w:val="none"/>
        </w:rPr>
        <w:t>国有资本经营预算支出决算情况说明</w:t>
      </w:r>
      <w:bookmarkEnd w:id="57"/>
      <w:bookmarkEnd w:id="58"/>
      <w:bookmarkEnd w:id="59"/>
    </w:p>
    <w:p w14:paraId="0A4C6C3B">
      <w:pPr>
        <w:spacing w:line="600" w:lineRule="exact"/>
        <w:ind w:firstLine="640"/>
        <w:rPr>
          <w:rFonts w:ascii="仿宋_GB2312" w:eastAsia="仿宋_GB2312"/>
          <w:color w:val="auto"/>
          <w:sz w:val="32"/>
          <w:szCs w:val="32"/>
          <w:highlight w:val="none"/>
        </w:rPr>
      </w:pP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年国有资本经营预算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p>
    <w:p w14:paraId="07844BAC">
      <w:pPr>
        <w:numPr>
          <w:ilvl w:val="0"/>
          <w:numId w:val="2"/>
        </w:numPr>
        <w:spacing w:line="600" w:lineRule="exact"/>
        <w:ind w:firstLine="640"/>
        <w:outlineLvl w:val="1"/>
        <w:rPr>
          <w:rStyle w:val="32"/>
          <w:rFonts w:hint="eastAsia" w:ascii="黑体" w:hAnsi="黑体" w:eastAsia="黑体"/>
          <w:b w:val="0"/>
          <w:color w:val="auto"/>
          <w:highlight w:val="none"/>
        </w:rPr>
      </w:pPr>
      <w:bookmarkStart w:id="60" w:name="_Toc16629_WPSOffice_Level2"/>
      <w:bookmarkStart w:id="61" w:name="_Toc15377221"/>
      <w:bookmarkStart w:id="62" w:name="_Toc15396612"/>
      <w:r>
        <w:rPr>
          <w:rStyle w:val="32"/>
          <w:rFonts w:hint="eastAsia" w:ascii="黑体" w:hAnsi="黑体" w:eastAsia="黑体"/>
          <w:b w:val="0"/>
          <w:color w:val="auto"/>
          <w:highlight w:val="none"/>
        </w:rPr>
        <w:t>其他重要事项的情况说明</w:t>
      </w:r>
      <w:bookmarkEnd w:id="60"/>
      <w:bookmarkEnd w:id="61"/>
      <w:bookmarkEnd w:id="62"/>
    </w:p>
    <w:p w14:paraId="19032654">
      <w:pPr>
        <w:spacing w:line="600" w:lineRule="exact"/>
        <w:ind w:firstLine="643" w:firstLineChars="200"/>
        <w:outlineLvl w:val="2"/>
        <w:rPr>
          <w:rFonts w:ascii="仿宋" w:hAnsi="仿宋" w:eastAsia="仿宋"/>
          <w:color w:val="auto"/>
          <w:sz w:val="32"/>
          <w:szCs w:val="32"/>
          <w:highlight w:val="none"/>
        </w:rPr>
      </w:pPr>
      <w:bookmarkStart w:id="63" w:name="_Toc15377222"/>
      <w:r>
        <w:rPr>
          <w:rFonts w:hint="eastAsia" w:ascii="仿宋" w:hAnsi="仿宋" w:eastAsia="仿宋"/>
          <w:b/>
          <w:color w:val="auto"/>
          <w:sz w:val="32"/>
          <w:szCs w:val="32"/>
          <w:highlight w:val="none"/>
        </w:rPr>
        <w:t>（一）机关运行经费支出情况</w:t>
      </w:r>
      <w:bookmarkEnd w:id="63"/>
    </w:p>
    <w:p w14:paraId="39166D06">
      <w:pPr>
        <w:spacing w:line="600" w:lineRule="exact"/>
        <w:ind w:firstLine="640" w:firstLineChars="200"/>
        <w:rPr>
          <w:rFonts w:hint="eastAsia" w:ascii="仿宋_GB2312" w:eastAsia="仿宋_GB2312"/>
          <w:color w:val="auto"/>
          <w:sz w:val="32"/>
          <w:szCs w:val="32"/>
          <w:highlight w:val="none"/>
          <w:lang w:eastAsia="zh-CN"/>
        </w:rPr>
      </w:pPr>
      <w:r>
        <w:rPr>
          <w:rFonts w:hint="eastAsia" w:ascii="仿宋_GB2312" w:eastAsia="仿宋_GB2312"/>
          <w:color w:val="auto"/>
          <w:sz w:val="32"/>
          <w:szCs w:val="32"/>
          <w:highlight w:val="none"/>
          <w:lang w:eastAsia="zh-CN"/>
        </w:rPr>
        <w:t>2025</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val="en-US" w:eastAsia="zh-CN"/>
        </w:rPr>
        <w:t>小金县信访局机关</w:t>
      </w:r>
      <w:r>
        <w:rPr>
          <w:rFonts w:hint="eastAsia" w:ascii="仿宋_GB2312" w:eastAsia="仿宋_GB2312"/>
          <w:color w:val="auto"/>
          <w:sz w:val="32"/>
          <w:szCs w:val="32"/>
          <w:highlight w:val="none"/>
        </w:rPr>
        <w:t>机关运行经费支出</w:t>
      </w:r>
      <w:r>
        <w:rPr>
          <w:rFonts w:hint="eastAsia" w:ascii="仿宋_GB2312" w:eastAsia="仿宋_GB2312"/>
          <w:color w:val="auto"/>
          <w:sz w:val="32"/>
          <w:szCs w:val="32"/>
          <w:highlight w:val="none"/>
          <w:lang w:val="en-US" w:eastAsia="zh-CN"/>
        </w:rPr>
        <w:t>24.19</w:t>
      </w:r>
      <w:r>
        <w:rPr>
          <w:rFonts w:hint="eastAsia" w:ascii="仿宋_GB2312" w:eastAsia="仿宋_GB2312"/>
          <w:color w:val="auto"/>
          <w:sz w:val="32"/>
          <w:szCs w:val="32"/>
          <w:highlight w:val="none"/>
        </w:rPr>
        <w:t>万元，比</w:t>
      </w:r>
      <w:r>
        <w:rPr>
          <w:rFonts w:hint="eastAsia" w:ascii="仿宋_GB2312" w:eastAsia="仿宋_GB2312"/>
          <w:color w:val="auto"/>
          <w:sz w:val="32"/>
          <w:szCs w:val="32"/>
          <w:highlight w:val="none"/>
          <w:lang w:eastAsia="zh-CN"/>
        </w:rPr>
        <w:t>2024</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val="en-US" w:eastAsia="zh-CN"/>
        </w:rPr>
        <w:t>减少22.93</w:t>
      </w:r>
      <w:r>
        <w:rPr>
          <w:rFonts w:hint="eastAsia" w:ascii="仿宋_GB2312" w:eastAsia="仿宋_GB2312"/>
          <w:color w:val="auto"/>
          <w:sz w:val="32"/>
          <w:szCs w:val="32"/>
          <w:highlight w:val="none"/>
        </w:rPr>
        <w:t>万元，</w:t>
      </w:r>
      <w:r>
        <w:rPr>
          <w:rFonts w:hint="eastAsia" w:ascii="仿宋_GB2312" w:eastAsia="仿宋_GB2312"/>
          <w:color w:val="auto"/>
          <w:sz w:val="32"/>
          <w:szCs w:val="32"/>
          <w:highlight w:val="none"/>
          <w:lang w:val="en-US" w:eastAsia="zh-CN"/>
        </w:rPr>
        <w:t>减少-48.66</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。主要原因是</w:t>
      </w:r>
      <w:r>
        <w:rPr>
          <w:rFonts w:ascii="Times New Roman" w:hAnsi="Times New Roman" w:eastAsia="方正仿宋_GBK" w:cs="Times New Roman"/>
          <w:sz w:val="32"/>
          <w:szCs w:val="32"/>
          <w:highlight w:val="none"/>
          <w:shd w:val="clear" w:color="auto" w:fill="auto"/>
        </w:rPr>
        <w:t>信访工作任务</w:t>
      </w:r>
      <w:r>
        <w:rPr>
          <w:rFonts w:hint="eastAsia" w:ascii="Times New Roman" w:hAnsi="Times New Roman" w:eastAsia="方正仿宋_GBK" w:cs="Times New Roman"/>
          <w:sz w:val="32"/>
          <w:szCs w:val="32"/>
          <w:highlight w:val="none"/>
          <w:shd w:val="clear" w:color="auto" w:fill="auto"/>
          <w:lang w:val="en-US" w:eastAsia="zh-CN"/>
        </w:rPr>
        <w:t>减少</w:t>
      </w:r>
      <w:r>
        <w:rPr>
          <w:rFonts w:ascii="Times New Roman" w:hAnsi="Times New Roman" w:eastAsia="方正仿宋_GBK" w:cs="Times New Roman"/>
          <w:sz w:val="32"/>
          <w:szCs w:val="32"/>
          <w:highlight w:val="none"/>
          <w:shd w:val="clear" w:color="auto" w:fill="auto"/>
        </w:rPr>
        <w:t>，相应</w:t>
      </w:r>
      <w:r>
        <w:rPr>
          <w:rFonts w:hint="eastAsia" w:ascii="Times New Roman" w:hAnsi="Times New Roman" w:eastAsia="方正仿宋_GBK" w:cs="Times New Roman"/>
          <w:sz w:val="32"/>
          <w:szCs w:val="32"/>
          <w:highlight w:val="none"/>
          <w:shd w:val="clear" w:color="auto" w:fill="auto"/>
          <w:lang w:val="en-US" w:eastAsia="zh-CN"/>
        </w:rPr>
        <w:t>减少</w:t>
      </w:r>
      <w:r>
        <w:rPr>
          <w:rFonts w:ascii="Times New Roman" w:hAnsi="Times New Roman" w:eastAsia="方正仿宋_GBK" w:cs="Times New Roman"/>
          <w:sz w:val="32"/>
          <w:szCs w:val="32"/>
          <w:highlight w:val="none"/>
          <w:shd w:val="clear" w:color="auto" w:fill="auto"/>
        </w:rPr>
        <w:t>工作经费</w:t>
      </w:r>
      <w:r>
        <w:rPr>
          <w:rFonts w:hint="eastAsia" w:ascii="Times New Roman" w:hAnsi="Times New Roman" w:eastAsia="方正仿宋_GBK" w:cs="Times New Roman"/>
          <w:sz w:val="32"/>
          <w:szCs w:val="32"/>
          <w:highlight w:val="none"/>
          <w:shd w:val="clear" w:color="auto" w:fill="auto"/>
          <w:lang w:eastAsia="zh-CN"/>
        </w:rPr>
        <w:t>。</w:t>
      </w:r>
    </w:p>
    <w:p w14:paraId="7421CBCF">
      <w:pPr>
        <w:autoSpaceDE w:val="0"/>
        <w:autoSpaceDN w:val="0"/>
        <w:adjustRightInd w:val="0"/>
        <w:spacing w:line="600" w:lineRule="exact"/>
        <w:ind w:firstLine="643" w:firstLineChars="200"/>
        <w:jc w:val="left"/>
        <w:outlineLvl w:val="2"/>
        <w:rPr>
          <w:rFonts w:ascii="仿宋" w:hAnsi="仿宋" w:eastAsia="仿宋"/>
          <w:b/>
          <w:color w:val="auto"/>
          <w:sz w:val="32"/>
          <w:szCs w:val="32"/>
          <w:highlight w:val="none"/>
        </w:rPr>
      </w:pPr>
      <w:bookmarkStart w:id="64" w:name="_Toc15377223"/>
      <w:r>
        <w:rPr>
          <w:rFonts w:hint="eastAsia" w:ascii="仿宋" w:hAnsi="仿宋" w:eastAsia="仿宋"/>
          <w:b/>
          <w:color w:val="auto"/>
          <w:sz w:val="32"/>
          <w:szCs w:val="32"/>
          <w:highlight w:val="none"/>
        </w:rPr>
        <w:t>（二）政府采购支出情况</w:t>
      </w:r>
      <w:bookmarkEnd w:id="64"/>
    </w:p>
    <w:p w14:paraId="41D4A5AA">
      <w:pPr>
        <w:spacing w:line="60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eastAsia="zh-CN"/>
        </w:rPr>
        <w:t>2025</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val="en-US" w:eastAsia="zh-CN"/>
        </w:rPr>
        <w:t>小金县信访局机关</w:t>
      </w:r>
      <w:r>
        <w:rPr>
          <w:rFonts w:hint="eastAsia" w:ascii="仿宋_GB2312" w:eastAsia="仿宋_GB2312"/>
          <w:color w:val="auto"/>
          <w:sz w:val="32"/>
          <w:szCs w:val="32"/>
          <w:highlight w:val="none"/>
        </w:rPr>
        <w:t>政府采购支出总额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万元，其中：政府采购货物支出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万元、政府采购工程支出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万元、政府采购服务支出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万元。主要用于</w:t>
      </w:r>
      <w:r>
        <w:rPr>
          <w:rFonts w:ascii="仿宋_GB2312" w:eastAsia="仿宋_GB2312"/>
          <w:color w:val="auto"/>
          <w:sz w:val="32"/>
          <w:szCs w:val="32"/>
          <w:highlight w:val="none"/>
        </w:rPr>
        <w:t>…</w:t>
      </w:r>
      <w:r>
        <w:rPr>
          <w:rFonts w:hint="eastAsia" w:ascii="仿宋_GB2312" w:eastAsia="仿宋_GB2312"/>
          <w:color w:val="auto"/>
          <w:sz w:val="32"/>
          <w:szCs w:val="32"/>
          <w:highlight w:val="none"/>
        </w:rPr>
        <w:t>（具体工作）。授予中小企业合同金额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万元，占政府采购支出总额的</w:t>
      </w:r>
      <w:r>
        <w:rPr>
          <w:rFonts w:hint="eastAsia" w:ascii="仿宋_GB2312" w:eastAsia="仿宋_GB2312"/>
          <w:color w:val="auto"/>
          <w:sz w:val="32"/>
          <w:szCs w:val="32"/>
          <w:highlight w:val="none"/>
          <w:lang w:val="en-US" w:eastAsia="zh-CN"/>
        </w:rPr>
        <w:t>0</w:t>
      </w:r>
      <w:r>
        <w:rPr>
          <w:rFonts w:ascii="仿宋_GB2312" w:eastAsia="仿宋_GB2312"/>
          <w:color w:val="auto"/>
          <w:sz w:val="32"/>
          <w:szCs w:val="32"/>
          <w:highlight w:val="none"/>
        </w:rPr>
        <w:t>%</w:t>
      </w:r>
      <w:r>
        <w:rPr>
          <w:rFonts w:hint="eastAsia" w:ascii="仿宋_GB2312" w:eastAsia="仿宋_GB2312"/>
          <w:color w:val="auto"/>
          <w:sz w:val="32"/>
          <w:szCs w:val="32"/>
          <w:highlight w:val="none"/>
        </w:rPr>
        <w:t>，其中：授予小微企业合同金额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万元，占政府采购支出总额的</w:t>
      </w:r>
      <w:r>
        <w:rPr>
          <w:rFonts w:hint="eastAsia" w:ascii="仿宋_GB2312" w:eastAsia="仿宋_GB2312"/>
          <w:color w:val="auto"/>
          <w:sz w:val="32"/>
          <w:szCs w:val="32"/>
          <w:highlight w:val="none"/>
          <w:lang w:val="en-US" w:eastAsia="zh-CN"/>
        </w:rPr>
        <w:t>0</w:t>
      </w:r>
      <w:r>
        <w:rPr>
          <w:rFonts w:ascii="仿宋_GB2312" w:eastAsia="仿宋_GB2312"/>
          <w:color w:val="auto"/>
          <w:sz w:val="32"/>
          <w:szCs w:val="32"/>
          <w:highlight w:val="none"/>
        </w:rPr>
        <w:t>%</w:t>
      </w:r>
      <w:r>
        <w:rPr>
          <w:rFonts w:hint="eastAsia" w:ascii="仿宋_GB2312" w:eastAsia="仿宋_GB2312"/>
          <w:color w:val="auto"/>
          <w:sz w:val="32"/>
          <w:szCs w:val="32"/>
          <w:highlight w:val="none"/>
        </w:rPr>
        <w:t>。</w:t>
      </w:r>
    </w:p>
    <w:p w14:paraId="26013664">
      <w:pPr>
        <w:autoSpaceDE w:val="0"/>
        <w:autoSpaceDN w:val="0"/>
        <w:adjustRightInd w:val="0"/>
        <w:spacing w:line="600" w:lineRule="exact"/>
        <w:ind w:firstLine="643" w:firstLineChars="200"/>
        <w:jc w:val="left"/>
        <w:outlineLvl w:val="2"/>
        <w:rPr>
          <w:rFonts w:ascii="仿宋" w:hAnsi="仿宋" w:eastAsia="仿宋"/>
          <w:b/>
          <w:color w:val="auto"/>
          <w:sz w:val="32"/>
          <w:szCs w:val="32"/>
          <w:highlight w:val="none"/>
        </w:rPr>
      </w:pPr>
      <w:bookmarkStart w:id="65" w:name="_Toc15377224"/>
      <w:r>
        <w:rPr>
          <w:rFonts w:hint="eastAsia" w:ascii="仿宋" w:hAnsi="仿宋" w:eastAsia="仿宋"/>
          <w:b/>
          <w:color w:val="auto"/>
          <w:sz w:val="32"/>
          <w:szCs w:val="32"/>
          <w:highlight w:val="none"/>
        </w:rPr>
        <w:t>（三）国有资产占有使用情况</w:t>
      </w:r>
      <w:bookmarkEnd w:id="65"/>
    </w:p>
    <w:p w14:paraId="12476D02">
      <w:pPr>
        <w:autoSpaceDE w:val="0"/>
        <w:autoSpaceDN w:val="0"/>
        <w:adjustRightInd w:val="0"/>
        <w:spacing w:line="600" w:lineRule="exact"/>
        <w:ind w:firstLine="640" w:firstLineChars="200"/>
        <w:jc w:val="left"/>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截至</w:t>
      </w:r>
      <w:r>
        <w:rPr>
          <w:rFonts w:hint="eastAsia" w:ascii="仿宋_GB2312" w:eastAsia="仿宋_GB2312"/>
          <w:color w:val="auto"/>
          <w:sz w:val="32"/>
          <w:szCs w:val="32"/>
          <w:highlight w:val="none"/>
          <w:lang w:eastAsia="zh-CN"/>
        </w:rPr>
        <w:t>2025</w:t>
      </w:r>
      <w:r>
        <w:rPr>
          <w:rFonts w:hint="eastAsia" w:ascii="仿宋_GB2312" w:eastAsia="仿宋_GB2312"/>
          <w:color w:val="auto"/>
          <w:sz w:val="32"/>
          <w:szCs w:val="32"/>
          <w:highlight w:val="none"/>
        </w:rPr>
        <w:t>年</w:t>
      </w:r>
      <w:r>
        <w:rPr>
          <w:rFonts w:ascii="仿宋_GB2312" w:eastAsia="仿宋_GB2312"/>
          <w:color w:val="auto"/>
          <w:sz w:val="32"/>
          <w:szCs w:val="32"/>
          <w:highlight w:val="none"/>
        </w:rPr>
        <w:t>12</w:t>
      </w:r>
      <w:r>
        <w:rPr>
          <w:rFonts w:hint="eastAsia" w:ascii="仿宋_GB2312" w:eastAsia="仿宋_GB2312"/>
          <w:color w:val="auto"/>
          <w:sz w:val="32"/>
          <w:szCs w:val="32"/>
          <w:highlight w:val="none"/>
        </w:rPr>
        <w:t>月</w:t>
      </w:r>
      <w:r>
        <w:rPr>
          <w:rFonts w:ascii="仿宋_GB2312" w:eastAsia="仿宋_GB2312"/>
          <w:color w:val="auto"/>
          <w:sz w:val="32"/>
          <w:szCs w:val="32"/>
          <w:highlight w:val="none"/>
        </w:rPr>
        <w:t>31</w:t>
      </w:r>
      <w:r>
        <w:rPr>
          <w:rFonts w:hint="eastAsia" w:ascii="仿宋_GB2312" w:eastAsia="仿宋_GB2312"/>
          <w:color w:val="auto"/>
          <w:sz w:val="32"/>
          <w:szCs w:val="32"/>
          <w:highlight w:val="none"/>
        </w:rPr>
        <w:t>日，</w:t>
      </w:r>
      <w:r>
        <w:rPr>
          <w:rFonts w:hint="eastAsia" w:ascii="仿宋_GB2312" w:eastAsia="仿宋_GB2312"/>
          <w:color w:val="auto"/>
          <w:sz w:val="32"/>
          <w:szCs w:val="32"/>
          <w:highlight w:val="none"/>
          <w:lang w:val="en-US" w:eastAsia="zh-CN"/>
        </w:rPr>
        <w:t>小金县信访局机关</w:t>
      </w:r>
      <w:r>
        <w:rPr>
          <w:rFonts w:hint="eastAsia" w:ascii="仿宋_GB2312" w:eastAsia="仿宋_GB2312"/>
          <w:color w:val="auto"/>
          <w:sz w:val="32"/>
          <w:szCs w:val="32"/>
          <w:highlight w:val="none"/>
        </w:rPr>
        <w:t>共有车辆</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辆，其中：主要领导干部用车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辆、机要通信用车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辆、应急保障用车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辆、其他用车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单价</w:t>
      </w:r>
      <w:r>
        <w:rPr>
          <w:rFonts w:ascii="仿宋_GB2312" w:eastAsia="仿宋_GB2312"/>
          <w:color w:val="auto"/>
          <w:sz w:val="32"/>
          <w:szCs w:val="32"/>
          <w:highlight w:val="none"/>
        </w:rPr>
        <w:t>100</w:t>
      </w:r>
      <w:r>
        <w:rPr>
          <w:rFonts w:hint="eastAsia" w:ascii="仿宋_GB2312" w:eastAsia="仿宋_GB2312"/>
          <w:color w:val="auto"/>
          <w:sz w:val="32"/>
          <w:szCs w:val="32"/>
          <w:highlight w:val="none"/>
        </w:rPr>
        <w:t>万元以上专用设备</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台（套）。</w:t>
      </w:r>
    </w:p>
    <w:p w14:paraId="5D4C187F">
      <w:pPr>
        <w:autoSpaceDE w:val="0"/>
        <w:autoSpaceDN w:val="0"/>
        <w:adjustRightInd w:val="0"/>
        <w:spacing w:line="600" w:lineRule="exact"/>
        <w:ind w:firstLine="643" w:firstLineChars="200"/>
        <w:jc w:val="left"/>
        <w:outlineLvl w:val="2"/>
        <w:rPr>
          <w:rFonts w:ascii="仿宋" w:hAnsi="仿宋" w:eastAsia="仿宋"/>
          <w:b/>
          <w:color w:val="auto"/>
          <w:sz w:val="32"/>
          <w:szCs w:val="32"/>
          <w:highlight w:val="none"/>
        </w:rPr>
      </w:pPr>
      <w:r>
        <w:rPr>
          <w:rFonts w:hint="eastAsia" w:ascii="仿宋" w:hAnsi="仿宋" w:eastAsia="仿宋"/>
          <w:b/>
          <w:color w:val="auto"/>
          <w:sz w:val="32"/>
          <w:szCs w:val="32"/>
          <w:highlight w:val="none"/>
        </w:rPr>
        <w:t>（四）预算绩效管理情况</w:t>
      </w:r>
    </w:p>
    <w:p w14:paraId="10379305">
      <w:pPr>
        <w:widowControl/>
        <w:ind w:firstLine="640"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根据预算绩效管理要求，本部门在</w:t>
      </w:r>
      <w:r>
        <w:rPr>
          <w:rFonts w:hint="eastAsia" w:ascii="仿宋_GB2312" w:hAnsi="仿宋_GB2312" w:eastAsia="仿宋_GB2312" w:cs="仿宋_GB2312"/>
          <w:color w:val="auto"/>
          <w:sz w:val="32"/>
          <w:szCs w:val="32"/>
          <w:highlight w:val="none"/>
          <w:lang w:eastAsia="zh-CN"/>
        </w:rPr>
        <w:t>2025</w:t>
      </w:r>
      <w:r>
        <w:rPr>
          <w:rFonts w:hint="eastAsia" w:ascii="仿宋_GB2312" w:hAnsi="仿宋_GB2312" w:eastAsia="仿宋_GB2312" w:cs="仿宋_GB2312"/>
          <w:color w:val="auto"/>
          <w:sz w:val="32"/>
          <w:szCs w:val="32"/>
          <w:highlight w:val="none"/>
        </w:rPr>
        <w:t>年度预算编制阶段，组织对</w:t>
      </w:r>
      <w:r>
        <w:rPr>
          <w:rFonts w:hint="eastAsia" w:ascii="仿宋_GB2312" w:hAnsi="仿宋_GB2312" w:eastAsia="仿宋_GB2312" w:cs="仿宋_GB2312"/>
          <w:color w:val="auto"/>
          <w:sz w:val="32"/>
          <w:szCs w:val="32"/>
          <w:highlight w:val="none"/>
          <w:lang w:val="en-US" w:eastAsia="zh-CN"/>
        </w:rPr>
        <w:t>信访维稳经费</w:t>
      </w:r>
      <w:r>
        <w:rPr>
          <w:rFonts w:hint="eastAsia" w:ascii="仿宋_GB2312" w:hAnsi="仿宋_GB2312" w:eastAsia="仿宋_GB2312" w:cs="仿宋_GB2312"/>
          <w:color w:val="auto"/>
          <w:sz w:val="32"/>
          <w:szCs w:val="32"/>
          <w:highlight w:val="none"/>
        </w:rPr>
        <w:t>项目</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信访专项</w:t>
      </w:r>
      <w:r>
        <w:rPr>
          <w:rFonts w:hint="eastAsia" w:ascii="仿宋_GB2312" w:hAnsi="仿宋_GB2312" w:eastAsia="仿宋_GB2312" w:cs="仿宋_GB2312"/>
          <w:color w:val="auto"/>
          <w:sz w:val="32"/>
          <w:szCs w:val="32"/>
          <w:highlight w:val="none"/>
        </w:rPr>
        <w:t>等</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个项目开展了预算事前绩效评估，对</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个项目编制了绩效目标，预算执行过程中，选取</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个项目开展绩效监控。</w:t>
      </w:r>
    </w:p>
    <w:p w14:paraId="146C1583">
      <w:pPr>
        <w:keepNext w:val="0"/>
        <w:keepLines w:val="0"/>
        <w:pageBreakBefore w:val="0"/>
        <w:widowControl/>
        <w:kinsoku/>
        <w:wordWrap/>
        <w:overflowPunct/>
        <w:topLinePunct w:val="0"/>
        <w:autoSpaceDE/>
        <w:autoSpaceDN/>
        <w:bidi w:val="0"/>
        <w:adjustRightInd w:val="0"/>
        <w:spacing w:line="576" w:lineRule="exact"/>
        <w:ind w:firstLine="640"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组织对</w:t>
      </w:r>
      <w:r>
        <w:rPr>
          <w:rFonts w:hint="eastAsia" w:ascii="仿宋_GB2312" w:hAnsi="仿宋_GB2312" w:eastAsia="仿宋_GB2312" w:cs="仿宋_GB2312"/>
          <w:color w:val="auto"/>
          <w:sz w:val="32"/>
          <w:szCs w:val="32"/>
          <w:highlight w:val="none"/>
          <w:lang w:eastAsia="zh-CN"/>
        </w:rPr>
        <w:t>2025</w:t>
      </w:r>
      <w:r>
        <w:rPr>
          <w:rFonts w:hint="eastAsia" w:ascii="仿宋_GB2312" w:hAnsi="仿宋_GB2312" w:eastAsia="仿宋_GB2312" w:cs="仿宋_GB2312"/>
          <w:color w:val="auto"/>
          <w:sz w:val="32"/>
          <w:szCs w:val="32"/>
          <w:highlight w:val="none"/>
        </w:rPr>
        <w:t>年度一般公共预算、社会保险基金预算以及资本资产等全面开展绩效自评，形成</w:t>
      </w:r>
      <w:r>
        <w:rPr>
          <w:rFonts w:hint="eastAsia" w:ascii="仿宋_GB2312" w:hAnsi="仿宋_GB2312" w:eastAsia="仿宋_GB2312" w:cs="仿宋_GB2312"/>
          <w:color w:val="auto"/>
          <w:sz w:val="32"/>
          <w:szCs w:val="32"/>
          <w:highlight w:val="none"/>
          <w:lang w:val="en-US" w:eastAsia="zh-CN"/>
        </w:rPr>
        <w:t>小金县信访局机关</w:t>
      </w:r>
      <w:r>
        <w:rPr>
          <w:rFonts w:hint="eastAsia" w:ascii="仿宋_GB2312" w:hAnsi="仿宋_GB2312" w:eastAsia="仿宋_GB2312" w:cs="仿宋_GB2312"/>
          <w:color w:val="auto"/>
          <w:sz w:val="32"/>
          <w:szCs w:val="32"/>
          <w:highlight w:val="none"/>
        </w:rPr>
        <w:t>部门整体（含部门预算项目）绩效自评报告，其中，</w:t>
      </w:r>
      <w:r>
        <w:rPr>
          <w:rFonts w:hint="eastAsia" w:ascii="仿宋_GB2312" w:hAnsi="仿宋_GB2312" w:eastAsia="仿宋_GB2312" w:cs="仿宋_GB2312"/>
          <w:color w:val="auto"/>
          <w:sz w:val="32"/>
          <w:szCs w:val="32"/>
          <w:highlight w:val="none"/>
          <w:lang w:val="en-US" w:eastAsia="zh-CN"/>
        </w:rPr>
        <w:t>小金县信访局机关</w:t>
      </w:r>
      <w:r>
        <w:rPr>
          <w:rFonts w:hint="eastAsia" w:ascii="仿宋_GB2312" w:hAnsi="仿宋_GB2312" w:eastAsia="仿宋_GB2312" w:cs="仿宋_GB2312"/>
          <w:color w:val="auto"/>
          <w:sz w:val="32"/>
          <w:szCs w:val="32"/>
          <w:highlight w:val="none"/>
        </w:rPr>
        <w:t>部门整体（含部门预算项目）绩效自评得分为</w:t>
      </w:r>
      <w:r>
        <w:rPr>
          <w:rFonts w:hint="eastAsia" w:ascii="仿宋_GB2312" w:hAnsi="仿宋_GB2312" w:eastAsia="仿宋_GB2312" w:cs="仿宋_GB2312"/>
          <w:color w:val="auto"/>
          <w:sz w:val="32"/>
          <w:szCs w:val="32"/>
          <w:highlight w:val="none"/>
          <w:lang w:val="en-US" w:eastAsia="zh-CN"/>
        </w:rPr>
        <w:t>97</w:t>
      </w:r>
      <w:r>
        <w:rPr>
          <w:rFonts w:hint="eastAsia" w:ascii="仿宋_GB2312" w:hAnsi="仿宋_GB2312" w:eastAsia="仿宋_GB2312" w:cs="仿宋_GB2312"/>
          <w:color w:val="auto"/>
          <w:sz w:val="32"/>
          <w:szCs w:val="32"/>
          <w:highlight w:val="none"/>
        </w:rPr>
        <w:t>分，绩效自评综述：</w:t>
      </w:r>
      <w:r>
        <w:rPr>
          <w:rFonts w:hint="default" w:ascii="仿宋_GB2312" w:hAnsi="仿宋_GB2312" w:eastAsia="仿宋_GB2312" w:cs="仿宋_GB2312"/>
          <w:color w:val="auto"/>
          <w:sz w:val="32"/>
          <w:szCs w:val="32"/>
          <w:highlight w:val="none"/>
          <w:lang w:val="en-US" w:eastAsia="zh-CN"/>
        </w:rPr>
        <w:t>我局</w:t>
      </w:r>
      <w:r>
        <w:rPr>
          <w:rFonts w:hint="default" w:ascii="仿宋_GB2312" w:hAnsi="仿宋_GB2312" w:eastAsia="仿宋_GB2312" w:cs="仿宋_GB2312"/>
          <w:color w:val="auto"/>
          <w:sz w:val="32"/>
          <w:szCs w:val="32"/>
          <w:highlight w:val="none"/>
        </w:rPr>
        <w:t>预算执行情况良好，无不良记录及违规违纪行为，预算支出和决算支出情况相符。根据绩效评价工作要求，我们对自评工作实施方案进行了认真的研究和部署，是自评工作得以顺利开展，并取得了较好的效果</w:t>
      </w:r>
      <w:r>
        <w:rPr>
          <w:rFonts w:hint="eastAsia" w:ascii="仿宋_GB2312" w:hAnsi="仿宋_GB2312" w:eastAsia="仿宋_GB2312" w:cs="仿宋_GB2312"/>
          <w:color w:val="auto"/>
          <w:sz w:val="32"/>
          <w:szCs w:val="32"/>
          <w:highlight w:val="none"/>
        </w:rPr>
        <w:t>。</w:t>
      </w:r>
    </w:p>
    <w:p w14:paraId="6BB70F41">
      <w:pPr>
        <w:pStyle w:val="9"/>
        <w:rPr>
          <w:rFonts w:hint="eastAsia" w:ascii="仿宋_GB2312" w:hAnsi="仿宋_GB2312" w:eastAsia="仿宋_GB2312" w:cs="仿宋_GB2312"/>
          <w:color w:val="auto"/>
          <w:sz w:val="32"/>
          <w:szCs w:val="32"/>
          <w:highlight w:val="none"/>
        </w:rPr>
      </w:pPr>
    </w:p>
    <w:p w14:paraId="4BEA94D0">
      <w:pPr>
        <w:pStyle w:val="9"/>
        <w:rPr>
          <w:rFonts w:hint="eastAsia" w:ascii="仿宋_GB2312" w:hAnsi="仿宋_GB2312" w:eastAsia="仿宋_GB2312" w:cs="仿宋_GB2312"/>
          <w:color w:val="auto"/>
          <w:sz w:val="32"/>
          <w:szCs w:val="32"/>
          <w:highlight w:val="none"/>
        </w:rPr>
      </w:pPr>
    </w:p>
    <w:p w14:paraId="119B2F93">
      <w:pPr>
        <w:pStyle w:val="9"/>
        <w:rPr>
          <w:rFonts w:hint="eastAsia" w:ascii="仿宋_GB2312" w:hAnsi="仿宋_GB2312" w:eastAsia="仿宋_GB2312" w:cs="仿宋_GB2312"/>
          <w:color w:val="auto"/>
          <w:sz w:val="32"/>
          <w:szCs w:val="32"/>
          <w:highlight w:val="none"/>
        </w:rPr>
      </w:pPr>
    </w:p>
    <w:p w14:paraId="364C3385">
      <w:pPr>
        <w:pStyle w:val="9"/>
        <w:rPr>
          <w:rFonts w:hint="eastAsia" w:ascii="仿宋_GB2312" w:hAnsi="仿宋_GB2312" w:eastAsia="仿宋_GB2312" w:cs="仿宋_GB2312"/>
          <w:color w:val="auto"/>
          <w:sz w:val="32"/>
          <w:szCs w:val="32"/>
          <w:highlight w:val="none"/>
        </w:rPr>
      </w:pPr>
    </w:p>
    <w:p w14:paraId="2DAA0E72">
      <w:pPr>
        <w:pStyle w:val="9"/>
        <w:rPr>
          <w:rFonts w:hint="eastAsia" w:ascii="仿宋_GB2312" w:hAnsi="仿宋_GB2312" w:eastAsia="仿宋_GB2312" w:cs="仿宋_GB2312"/>
          <w:color w:val="auto"/>
          <w:sz w:val="32"/>
          <w:szCs w:val="32"/>
          <w:highlight w:val="none"/>
        </w:rPr>
      </w:pPr>
    </w:p>
    <w:p w14:paraId="0F46A7E7">
      <w:pPr>
        <w:pStyle w:val="9"/>
        <w:rPr>
          <w:rFonts w:hint="eastAsia" w:ascii="仿宋_GB2312" w:hAnsi="仿宋_GB2312" w:eastAsia="仿宋_GB2312" w:cs="仿宋_GB2312"/>
          <w:color w:val="auto"/>
          <w:sz w:val="32"/>
          <w:szCs w:val="32"/>
          <w:highlight w:val="none"/>
        </w:rPr>
      </w:pPr>
    </w:p>
    <w:p w14:paraId="4E927844">
      <w:pPr>
        <w:pStyle w:val="9"/>
        <w:rPr>
          <w:rFonts w:hint="eastAsia" w:ascii="仿宋_GB2312" w:hAnsi="仿宋_GB2312" w:eastAsia="仿宋_GB2312" w:cs="仿宋_GB2312"/>
          <w:color w:val="auto"/>
          <w:sz w:val="32"/>
          <w:szCs w:val="32"/>
          <w:highlight w:val="none"/>
        </w:rPr>
      </w:pPr>
    </w:p>
    <w:p w14:paraId="348A6168">
      <w:pPr>
        <w:pStyle w:val="9"/>
        <w:rPr>
          <w:rFonts w:hint="eastAsia" w:ascii="仿宋_GB2312" w:hAnsi="仿宋_GB2312" w:eastAsia="仿宋_GB2312" w:cs="仿宋_GB2312"/>
          <w:color w:val="auto"/>
          <w:sz w:val="32"/>
          <w:szCs w:val="32"/>
          <w:highlight w:val="none"/>
        </w:rPr>
      </w:pPr>
    </w:p>
    <w:p w14:paraId="4CEEA257">
      <w:pPr>
        <w:pStyle w:val="9"/>
        <w:rPr>
          <w:rFonts w:hint="eastAsia" w:ascii="仿宋_GB2312" w:hAnsi="仿宋_GB2312" w:eastAsia="仿宋_GB2312" w:cs="仿宋_GB2312"/>
          <w:color w:val="auto"/>
          <w:sz w:val="32"/>
          <w:szCs w:val="32"/>
          <w:highlight w:val="none"/>
        </w:rPr>
      </w:pPr>
    </w:p>
    <w:p w14:paraId="54133445">
      <w:pPr>
        <w:pStyle w:val="9"/>
        <w:rPr>
          <w:rFonts w:hint="eastAsia" w:ascii="仿宋_GB2312" w:hAnsi="仿宋_GB2312" w:eastAsia="仿宋_GB2312" w:cs="仿宋_GB2312"/>
          <w:color w:val="auto"/>
          <w:sz w:val="32"/>
          <w:szCs w:val="32"/>
          <w:highlight w:val="none"/>
        </w:rPr>
      </w:pPr>
    </w:p>
    <w:p w14:paraId="33FA052E">
      <w:pPr>
        <w:pStyle w:val="9"/>
        <w:rPr>
          <w:rFonts w:hint="eastAsia" w:ascii="仿宋_GB2312" w:hAnsi="仿宋_GB2312" w:eastAsia="仿宋_GB2312" w:cs="仿宋_GB2312"/>
          <w:color w:val="auto"/>
          <w:sz w:val="32"/>
          <w:szCs w:val="32"/>
          <w:highlight w:val="none"/>
        </w:rPr>
      </w:pPr>
    </w:p>
    <w:p w14:paraId="55F31ABA">
      <w:pPr>
        <w:pStyle w:val="9"/>
        <w:rPr>
          <w:rFonts w:hint="eastAsia" w:ascii="仿宋_GB2312" w:hAnsi="仿宋_GB2312" w:eastAsia="仿宋_GB2312" w:cs="仿宋_GB2312"/>
          <w:color w:val="auto"/>
          <w:sz w:val="32"/>
          <w:szCs w:val="32"/>
          <w:highlight w:val="none"/>
        </w:rPr>
      </w:pPr>
    </w:p>
    <w:p w14:paraId="50691E0B">
      <w:pPr>
        <w:pStyle w:val="9"/>
        <w:rPr>
          <w:rFonts w:hint="eastAsia" w:ascii="仿宋_GB2312" w:hAnsi="仿宋_GB2312" w:eastAsia="仿宋_GB2312" w:cs="仿宋_GB2312"/>
          <w:color w:val="auto"/>
          <w:sz w:val="32"/>
          <w:szCs w:val="32"/>
          <w:highlight w:val="none"/>
        </w:rPr>
      </w:pPr>
    </w:p>
    <w:p w14:paraId="58AD3E79">
      <w:pPr>
        <w:pStyle w:val="9"/>
        <w:rPr>
          <w:rFonts w:hint="eastAsia" w:ascii="仿宋_GB2312" w:hAnsi="仿宋_GB2312" w:eastAsia="仿宋_GB2312" w:cs="仿宋_GB2312"/>
          <w:color w:val="auto"/>
          <w:sz w:val="32"/>
          <w:szCs w:val="32"/>
          <w:highlight w:val="none"/>
        </w:rPr>
      </w:pPr>
    </w:p>
    <w:p w14:paraId="6CBCD7E1">
      <w:pPr>
        <w:pStyle w:val="9"/>
        <w:rPr>
          <w:rFonts w:hint="eastAsia" w:ascii="仿宋_GB2312" w:hAnsi="仿宋_GB2312" w:eastAsia="仿宋_GB2312" w:cs="仿宋_GB2312"/>
          <w:color w:val="auto"/>
          <w:sz w:val="32"/>
          <w:szCs w:val="32"/>
          <w:highlight w:val="none"/>
        </w:rPr>
      </w:pPr>
    </w:p>
    <w:p w14:paraId="2E8086B7">
      <w:pPr>
        <w:numPr>
          <w:ilvl w:val="0"/>
          <w:numId w:val="3"/>
        </w:numPr>
        <w:spacing w:line="600" w:lineRule="exact"/>
        <w:ind w:firstLine="660" w:firstLineChars="150"/>
        <w:jc w:val="center"/>
        <w:outlineLvl w:val="0"/>
        <w:rPr>
          <w:rStyle w:val="31"/>
          <w:rFonts w:ascii="黑体" w:hAnsi="黑体" w:eastAsia="黑体"/>
          <w:b w:val="0"/>
          <w:color w:val="auto"/>
          <w:highlight w:val="none"/>
        </w:rPr>
      </w:pPr>
      <w:bookmarkStart w:id="66" w:name="_Toc5354_WPSOffice_Level1"/>
      <w:bookmarkStart w:id="67" w:name="_Toc15377225"/>
      <w:bookmarkStart w:id="68" w:name="_Toc15396613"/>
      <w:r>
        <w:rPr>
          <w:rFonts w:hint="eastAsia" w:ascii="黑体" w:hAnsi="黑体" w:eastAsia="黑体"/>
          <w:color w:val="auto"/>
          <w:sz w:val="44"/>
          <w:szCs w:val="44"/>
          <w:highlight w:val="none"/>
        </w:rPr>
        <w:t>名</w:t>
      </w:r>
      <w:r>
        <w:rPr>
          <w:rStyle w:val="31"/>
          <w:rFonts w:hint="eastAsia" w:ascii="黑体" w:hAnsi="黑体" w:eastAsia="黑体"/>
          <w:b w:val="0"/>
          <w:color w:val="auto"/>
          <w:highlight w:val="none"/>
        </w:rPr>
        <w:t>词解释</w:t>
      </w:r>
      <w:bookmarkEnd w:id="66"/>
      <w:bookmarkEnd w:id="67"/>
      <w:bookmarkEnd w:id="68"/>
    </w:p>
    <w:p w14:paraId="49DEAC20">
      <w:pPr>
        <w:spacing w:line="600" w:lineRule="exact"/>
        <w:jc w:val="left"/>
        <w:rPr>
          <w:rFonts w:ascii="宋体"/>
          <w:b/>
          <w:color w:val="auto"/>
          <w:sz w:val="44"/>
          <w:szCs w:val="44"/>
          <w:highlight w:val="none"/>
        </w:rPr>
      </w:pPr>
    </w:p>
    <w:p w14:paraId="60EE28A7">
      <w:pPr>
        <w:pStyle w:val="29"/>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1.</w:t>
      </w:r>
      <w:r>
        <w:rPr>
          <w:rFonts w:hint="eastAsia" w:ascii="仿宋_GB2312" w:eastAsia="仿宋_GB2312"/>
          <w:color w:val="auto"/>
          <w:sz w:val="32"/>
          <w:szCs w:val="32"/>
          <w:highlight w:val="none"/>
        </w:rPr>
        <w:t>财政拨款收入：指单位从同级财政部门取得的财政预算资金。</w:t>
      </w:r>
    </w:p>
    <w:p w14:paraId="293AF82E">
      <w:pPr>
        <w:pStyle w:val="29"/>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2.</w:t>
      </w:r>
      <w:r>
        <w:rPr>
          <w:rFonts w:hint="eastAsia" w:ascii="仿宋_GB2312" w:eastAsia="仿宋_GB2312"/>
          <w:color w:val="auto"/>
          <w:sz w:val="32"/>
          <w:szCs w:val="32"/>
          <w:highlight w:val="none"/>
        </w:rPr>
        <w:t>事业收入：指事业单位开展专业业务活动及辅助活动取得的收入。如…（二级预算单位事业收入情况）等。</w:t>
      </w:r>
    </w:p>
    <w:p w14:paraId="3F7FB27A">
      <w:pPr>
        <w:pStyle w:val="29"/>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3.</w:t>
      </w:r>
      <w:r>
        <w:rPr>
          <w:rFonts w:hint="eastAsia" w:ascii="仿宋_GB2312" w:eastAsia="仿宋_GB2312"/>
          <w:color w:val="auto"/>
          <w:sz w:val="32"/>
          <w:szCs w:val="32"/>
          <w:highlight w:val="none"/>
        </w:rPr>
        <w:t>经营收入：指事业单位在专业业务活动及其辅助活动之外开展非独立核算经营活动取得的收入。如…（二级预算单位经营收入情况）等。</w:t>
      </w:r>
    </w:p>
    <w:p w14:paraId="539974DE">
      <w:pPr>
        <w:pStyle w:val="29"/>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4.</w:t>
      </w:r>
      <w:r>
        <w:rPr>
          <w:rFonts w:hint="eastAsia" w:ascii="仿宋_GB2312" w:eastAsia="仿宋_GB2312"/>
          <w:color w:val="auto"/>
          <w:sz w:val="32"/>
          <w:szCs w:val="32"/>
          <w:highlight w:val="none"/>
        </w:rPr>
        <w:t>其他收入：指单位取得的除上述收入以外的各项收入。主要是…（收入类型）等。</w:t>
      </w:r>
      <w:r>
        <w:rPr>
          <w:rFonts w:ascii="仿宋_GB2312" w:eastAsia="仿宋_GB2312"/>
          <w:color w:val="auto"/>
          <w:sz w:val="32"/>
          <w:szCs w:val="32"/>
          <w:highlight w:val="none"/>
        </w:rPr>
        <w:t xml:space="preserve"> </w:t>
      </w:r>
    </w:p>
    <w:p w14:paraId="1C601AF6">
      <w:pPr>
        <w:pStyle w:val="29"/>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5.</w:t>
      </w:r>
      <w:r>
        <w:rPr>
          <w:rFonts w:hint="eastAsia" w:ascii="仿宋_GB2312" w:eastAsia="仿宋_GB2312"/>
          <w:color w:val="auto"/>
          <w:sz w:val="32"/>
          <w:szCs w:val="32"/>
          <w:highlight w:val="none"/>
          <w:lang w:eastAsia="zh-CN"/>
        </w:rPr>
        <w:t>使用非财政拨款结余</w:t>
      </w:r>
      <w:r>
        <w:rPr>
          <w:rFonts w:hint="eastAsia" w:ascii="仿宋_GB2312" w:eastAsia="仿宋_GB2312"/>
          <w:color w:val="auto"/>
          <w:sz w:val="32"/>
          <w:szCs w:val="32"/>
          <w:highlight w:val="none"/>
        </w:rPr>
        <w:t>：指事业单位</w:t>
      </w:r>
      <w:r>
        <w:rPr>
          <w:rFonts w:hint="eastAsia" w:ascii="仿宋_GB2312" w:eastAsia="仿宋_GB2312"/>
          <w:color w:val="auto"/>
          <w:sz w:val="32"/>
          <w:szCs w:val="32"/>
          <w:highlight w:val="none"/>
          <w:lang w:eastAsia="zh-CN"/>
        </w:rPr>
        <w:t>使用以前年度积累的非财政拨款结余弥补当年收支差额的金额。</w:t>
      </w:r>
      <w:r>
        <w:rPr>
          <w:rFonts w:ascii="仿宋_GB2312" w:eastAsia="仿宋_GB2312"/>
          <w:color w:val="auto"/>
          <w:sz w:val="32"/>
          <w:szCs w:val="32"/>
          <w:highlight w:val="none"/>
        </w:rPr>
        <w:t xml:space="preserve"> </w:t>
      </w:r>
    </w:p>
    <w:p w14:paraId="3FB7DC83">
      <w:pPr>
        <w:pStyle w:val="29"/>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6.</w:t>
      </w:r>
      <w:r>
        <w:rPr>
          <w:rFonts w:hint="eastAsia" w:ascii="仿宋_GB2312" w:eastAsia="仿宋_GB2312"/>
          <w:color w:val="auto"/>
          <w:sz w:val="32"/>
          <w:szCs w:val="32"/>
          <w:highlight w:val="none"/>
        </w:rPr>
        <w:t>年初结转和结余：指以前年度尚未完成、结转到本年按有关规定继续使用的资金。</w:t>
      </w:r>
      <w:r>
        <w:rPr>
          <w:rFonts w:ascii="仿宋_GB2312" w:eastAsia="仿宋_GB2312"/>
          <w:color w:val="auto"/>
          <w:sz w:val="32"/>
          <w:szCs w:val="32"/>
          <w:highlight w:val="none"/>
        </w:rPr>
        <w:t xml:space="preserve"> </w:t>
      </w:r>
    </w:p>
    <w:p w14:paraId="77855940">
      <w:pPr>
        <w:pStyle w:val="29"/>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7.</w:t>
      </w:r>
      <w:r>
        <w:rPr>
          <w:rFonts w:hint="eastAsia" w:ascii="仿宋_GB2312" w:eastAsia="仿宋_GB2312"/>
          <w:color w:val="auto"/>
          <w:sz w:val="32"/>
          <w:szCs w:val="32"/>
          <w:highlight w:val="none"/>
        </w:rPr>
        <w:t>结余分配：指事业单位按照会计制度规定</w:t>
      </w:r>
      <w:r>
        <w:rPr>
          <w:rFonts w:hint="eastAsia" w:ascii="仿宋_GB2312" w:eastAsia="仿宋_GB2312"/>
          <w:color w:val="auto"/>
          <w:sz w:val="32"/>
          <w:szCs w:val="32"/>
          <w:highlight w:val="none"/>
          <w:lang w:eastAsia="zh-CN"/>
        </w:rPr>
        <w:t>缴纳的所得税、提取的专用结余以及转入非财政拨款结余的金额</w:t>
      </w:r>
      <w:r>
        <w:rPr>
          <w:rFonts w:hint="eastAsia" w:ascii="仿宋_GB2312" w:eastAsia="仿宋_GB2312"/>
          <w:color w:val="auto"/>
          <w:sz w:val="32"/>
          <w:szCs w:val="32"/>
          <w:highlight w:val="none"/>
        </w:rPr>
        <w:t>等。</w:t>
      </w:r>
    </w:p>
    <w:p w14:paraId="396F1F16">
      <w:pPr>
        <w:pStyle w:val="29"/>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8</w:t>
      </w:r>
      <w:r>
        <w:rPr>
          <w:rFonts w:hint="eastAsia" w:ascii="仿宋_GB2312" w:eastAsia="仿宋_GB2312"/>
          <w:color w:val="auto"/>
          <w:sz w:val="32"/>
          <w:szCs w:val="32"/>
          <w:highlight w:val="none"/>
          <w:lang w:val="en-US" w:eastAsia="zh-CN"/>
        </w:rPr>
        <w:t>.</w:t>
      </w:r>
      <w:r>
        <w:rPr>
          <w:rFonts w:hint="eastAsia" w:ascii="仿宋_GB2312" w:eastAsia="仿宋_GB2312"/>
          <w:color w:val="auto"/>
          <w:sz w:val="32"/>
          <w:szCs w:val="32"/>
          <w:highlight w:val="none"/>
        </w:rPr>
        <w:t>年末结转和结余：指单位按有关规定结转到下年或以后年度继续使用的资金。</w:t>
      </w:r>
    </w:p>
    <w:p w14:paraId="466E927E">
      <w:pPr>
        <w:ind w:firstLine="640" w:firstLineChars="200"/>
        <w:rPr>
          <w:rStyle w:val="20"/>
          <w:rFonts w:hint="eastAsia" w:ascii="仿宋" w:hAnsi="仿宋" w:eastAsia="仿宋"/>
          <w:b w:val="0"/>
          <w:bCs/>
          <w:color w:val="auto"/>
          <w:sz w:val="32"/>
          <w:szCs w:val="32"/>
          <w:highlight w:val="none"/>
          <w:lang w:val="en-US" w:eastAsia="zh-CN"/>
        </w:rPr>
      </w:pPr>
      <w:r>
        <w:rPr>
          <w:rFonts w:ascii="仿宋_GB2312" w:eastAsia="仿宋_GB2312"/>
          <w:color w:val="auto"/>
          <w:sz w:val="32"/>
          <w:szCs w:val="32"/>
          <w:highlight w:val="none"/>
        </w:rPr>
        <w:t>9.</w:t>
      </w:r>
      <w:r>
        <w:rPr>
          <w:rFonts w:hint="eastAsia" w:ascii="仿宋_GB2312" w:eastAsia="仿宋_GB2312"/>
          <w:color w:val="auto"/>
          <w:sz w:val="32"/>
          <w:szCs w:val="32"/>
          <w:highlight w:val="none"/>
        </w:rPr>
        <w:t>一般公共服务（类）</w:t>
      </w:r>
      <w:r>
        <w:rPr>
          <w:rFonts w:hint="eastAsia" w:ascii="仿宋_GB2312" w:eastAsia="仿宋_GB2312"/>
          <w:color w:val="auto"/>
          <w:sz w:val="32"/>
          <w:szCs w:val="32"/>
          <w:highlight w:val="none"/>
          <w:lang w:val="en-US" w:eastAsia="zh-CN"/>
        </w:rPr>
        <w:t>201</w:t>
      </w:r>
      <w:r>
        <w:rPr>
          <w:rFonts w:hint="eastAsia" w:ascii="仿宋_GB2312" w:eastAsia="仿宋_GB2312"/>
          <w:color w:val="auto"/>
          <w:sz w:val="32"/>
          <w:szCs w:val="32"/>
          <w:highlight w:val="none"/>
        </w:rPr>
        <w:t>（款）…（项）：</w:t>
      </w:r>
      <w:r>
        <w:rPr>
          <w:rFonts w:hint="eastAsia" w:ascii="仿宋_GB2312" w:eastAsia="仿宋_GB2312"/>
          <w:color w:val="auto"/>
          <w:sz w:val="32"/>
          <w:szCs w:val="32"/>
          <w:highlight w:val="none"/>
          <w:lang w:val="en-US" w:eastAsia="zh-CN"/>
        </w:rPr>
        <w:t>2014001反映行政单位的基本支出</w:t>
      </w:r>
      <w:r>
        <w:rPr>
          <w:rStyle w:val="20"/>
          <w:rFonts w:hint="eastAsia" w:ascii="仿宋" w:hAnsi="仿宋" w:eastAsia="仿宋"/>
          <w:b w:val="0"/>
          <w:bCs/>
          <w:color w:val="auto"/>
          <w:sz w:val="32"/>
          <w:szCs w:val="32"/>
          <w:highlight w:val="none"/>
          <w:lang w:val="en-US" w:eastAsia="zh-CN"/>
        </w:rPr>
        <w:t>。</w:t>
      </w:r>
    </w:p>
    <w:p w14:paraId="2FB95BBC">
      <w:pPr>
        <w:spacing w:line="600" w:lineRule="exact"/>
        <w:ind w:firstLine="640" w:firstLineChars="200"/>
        <w:rPr>
          <w:rFonts w:ascii="仿宋" w:hAnsi="仿宋" w:eastAsia="仿宋"/>
          <w:b/>
          <w:color w:val="auto"/>
          <w:sz w:val="32"/>
          <w:szCs w:val="32"/>
          <w:highlight w:val="none"/>
        </w:rPr>
      </w:pPr>
      <w:r>
        <w:rPr>
          <w:rFonts w:hint="eastAsia" w:ascii="仿宋_GB2312" w:eastAsia="仿宋_GB2312"/>
          <w:color w:val="auto"/>
          <w:sz w:val="32"/>
          <w:szCs w:val="32"/>
          <w:highlight w:val="none"/>
          <w:lang w:val="en-US" w:eastAsia="zh-CN"/>
        </w:rPr>
        <w:t>10</w:t>
      </w:r>
      <w:r>
        <w:rPr>
          <w:rFonts w:ascii="仿宋_GB2312" w:eastAsia="仿宋_GB2312"/>
          <w:color w:val="auto"/>
          <w:sz w:val="32"/>
          <w:szCs w:val="32"/>
          <w:highlight w:val="none"/>
        </w:rPr>
        <w:t>.</w:t>
      </w:r>
      <w:r>
        <w:rPr>
          <w:rFonts w:hint="eastAsia" w:ascii="仿宋_GB2312" w:eastAsia="仿宋_GB2312"/>
          <w:color w:val="auto"/>
          <w:sz w:val="32"/>
          <w:szCs w:val="32"/>
          <w:highlight w:val="none"/>
        </w:rPr>
        <w:t>社会保障和就业（类）</w:t>
      </w:r>
      <w:r>
        <w:rPr>
          <w:rFonts w:hint="eastAsia" w:ascii="仿宋_GB2312" w:eastAsia="仿宋_GB2312"/>
          <w:color w:val="auto"/>
          <w:sz w:val="32"/>
          <w:szCs w:val="32"/>
          <w:highlight w:val="none"/>
          <w:lang w:val="en-US" w:eastAsia="zh-CN"/>
        </w:rPr>
        <w:t>208</w:t>
      </w:r>
      <w:r>
        <w:rPr>
          <w:rFonts w:hint="eastAsia" w:ascii="仿宋_GB2312" w:eastAsia="仿宋_GB2312"/>
          <w:color w:val="auto"/>
          <w:sz w:val="32"/>
          <w:szCs w:val="32"/>
          <w:highlight w:val="none"/>
        </w:rPr>
        <w:t>（款）…（项）：</w:t>
      </w:r>
      <w:r>
        <w:rPr>
          <w:rStyle w:val="20"/>
          <w:rFonts w:hint="eastAsia" w:ascii="仿宋" w:hAnsi="仿宋" w:eastAsia="仿宋"/>
          <w:b w:val="0"/>
          <w:bCs/>
          <w:color w:val="auto"/>
          <w:sz w:val="32"/>
          <w:szCs w:val="32"/>
          <w:highlight w:val="none"/>
          <w:lang w:val="en-US" w:eastAsia="zh-CN"/>
        </w:rPr>
        <w:t>机关事业单位基本养老保险缴费支出2080505反映机关事业单位实施养老保险制度由单位缴纳的基本养老保险费支出；机关事业单位职业年金缴费支出2080506反映机关事业单位实施养老保险制度由单位实际缴纳的职业年金</w:t>
      </w:r>
      <w:r>
        <w:rPr>
          <w:rStyle w:val="20"/>
          <w:rFonts w:hint="eastAsia" w:ascii="仿宋" w:hAnsi="仿宋" w:eastAsia="仿宋"/>
          <w:b w:val="0"/>
          <w:bCs/>
          <w:color w:val="auto"/>
          <w:sz w:val="32"/>
          <w:szCs w:val="32"/>
          <w:highlight w:val="none"/>
        </w:rPr>
        <w:t>。</w:t>
      </w:r>
    </w:p>
    <w:p w14:paraId="7C5914F6">
      <w:pPr>
        <w:ind w:firstLine="640" w:firstLineChars="200"/>
        <w:rPr>
          <w:rFonts w:hint="default"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11</w:t>
      </w:r>
      <w:r>
        <w:rPr>
          <w:rFonts w:ascii="仿宋_GB2312" w:eastAsia="仿宋_GB2312"/>
          <w:color w:val="auto"/>
          <w:sz w:val="32"/>
          <w:szCs w:val="32"/>
          <w:highlight w:val="none"/>
        </w:rPr>
        <w:t>.</w:t>
      </w:r>
      <w:r>
        <w:rPr>
          <w:rFonts w:hint="eastAsia" w:ascii="仿宋_GB2312" w:eastAsia="仿宋_GB2312"/>
          <w:color w:val="auto"/>
          <w:sz w:val="32"/>
          <w:szCs w:val="32"/>
          <w:highlight w:val="none"/>
          <w:lang w:eastAsia="zh-CN"/>
        </w:rPr>
        <w:t>卫生健康</w:t>
      </w:r>
      <w:r>
        <w:rPr>
          <w:rFonts w:hint="eastAsia" w:ascii="仿宋_GB2312" w:eastAsia="仿宋_GB2312"/>
          <w:color w:val="auto"/>
          <w:sz w:val="32"/>
          <w:szCs w:val="32"/>
          <w:highlight w:val="none"/>
        </w:rPr>
        <w:t>（类）</w:t>
      </w:r>
      <w:r>
        <w:rPr>
          <w:rFonts w:hint="eastAsia" w:ascii="仿宋_GB2312" w:eastAsia="仿宋_GB2312"/>
          <w:color w:val="auto"/>
          <w:sz w:val="32"/>
          <w:szCs w:val="32"/>
          <w:highlight w:val="none"/>
          <w:lang w:val="en-US" w:eastAsia="zh-CN"/>
        </w:rPr>
        <w:t>210</w:t>
      </w:r>
      <w:r>
        <w:rPr>
          <w:rFonts w:hint="eastAsia" w:ascii="仿宋_GB2312" w:eastAsia="仿宋_GB2312"/>
          <w:color w:val="auto"/>
          <w:sz w:val="32"/>
          <w:szCs w:val="32"/>
          <w:highlight w:val="none"/>
        </w:rPr>
        <w:t>（款）…（项）：</w:t>
      </w:r>
      <w:r>
        <w:rPr>
          <w:rFonts w:hint="eastAsia" w:ascii="仿宋_GB2312" w:eastAsia="仿宋_GB2312"/>
          <w:color w:val="auto"/>
          <w:sz w:val="32"/>
          <w:szCs w:val="32"/>
          <w:highlight w:val="none"/>
          <w:lang w:val="en-US" w:eastAsia="zh-CN"/>
        </w:rPr>
        <w:t>2101101反映财政部门安排的行政单位基本医疗保险缴费经费，未参加医疗保险的行政单位的公费医疗经费，按国家规定享受离休人员、红军老战士待遇人员的医疗经费；2101102反映财政部门安排的事业单位基本医疗保险缴费经费，未参加医疗保险 的事业单位的公费医疗经费，按国家规定享受离休人员待遇的医疗经费；2101103反映财政部门安排的公务员医疗补助经费；2101199其他用于行政事业单位医疗方面的支出。</w:t>
      </w:r>
    </w:p>
    <w:p w14:paraId="4F5A452D">
      <w:pPr>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12</w:t>
      </w:r>
      <w:r>
        <w:rPr>
          <w:rFonts w:ascii="仿宋_GB2312" w:eastAsia="仿宋_GB2312"/>
          <w:color w:val="auto"/>
          <w:sz w:val="32"/>
          <w:szCs w:val="32"/>
          <w:highlight w:val="none"/>
        </w:rPr>
        <w:t>.</w:t>
      </w:r>
      <w:r>
        <w:rPr>
          <w:rFonts w:hint="eastAsia" w:ascii="仿宋_GB2312" w:eastAsia="仿宋_GB2312"/>
          <w:color w:val="auto"/>
          <w:sz w:val="32"/>
          <w:szCs w:val="32"/>
          <w:highlight w:val="none"/>
        </w:rPr>
        <w:t>住房保障（类）</w:t>
      </w:r>
      <w:r>
        <w:rPr>
          <w:rFonts w:hint="eastAsia" w:ascii="仿宋_GB2312" w:eastAsia="仿宋_GB2312"/>
          <w:color w:val="auto"/>
          <w:sz w:val="32"/>
          <w:szCs w:val="32"/>
          <w:highlight w:val="none"/>
          <w:lang w:val="en-US" w:eastAsia="zh-CN"/>
        </w:rPr>
        <w:t>221</w:t>
      </w:r>
      <w:r>
        <w:rPr>
          <w:rFonts w:hint="eastAsia" w:ascii="仿宋_GB2312" w:eastAsia="仿宋_GB2312"/>
          <w:color w:val="auto"/>
          <w:sz w:val="32"/>
          <w:szCs w:val="32"/>
          <w:highlight w:val="none"/>
        </w:rPr>
        <w:t>（款）…（项）：</w:t>
      </w:r>
      <w:r>
        <w:rPr>
          <w:rFonts w:hint="eastAsia" w:ascii="仿宋_GB2312" w:eastAsia="仿宋_GB2312"/>
          <w:color w:val="auto"/>
          <w:sz w:val="32"/>
          <w:szCs w:val="32"/>
          <w:highlight w:val="none"/>
          <w:lang w:val="en-US" w:eastAsia="zh-CN"/>
        </w:rPr>
        <w:t>2210201</w:t>
      </w:r>
      <w:r>
        <w:rPr>
          <w:rFonts w:hint="eastAsia" w:ascii="仿宋_GB2312" w:eastAsia="仿宋_GB2312"/>
          <w:color w:val="auto"/>
          <w:sz w:val="32"/>
          <w:szCs w:val="32"/>
          <w:highlight w:val="none"/>
        </w:rPr>
        <w:t>指</w:t>
      </w:r>
      <w:r>
        <w:rPr>
          <w:rFonts w:hint="eastAsia" w:ascii="仿宋_GB2312" w:eastAsia="仿宋_GB2312"/>
          <w:color w:val="auto"/>
          <w:sz w:val="32"/>
          <w:szCs w:val="32"/>
          <w:highlight w:val="none"/>
          <w:lang w:val="en-US" w:eastAsia="zh-CN"/>
        </w:rPr>
        <w:t>反映行政事业单位按人力资源和社会保障部、财政部规定的基本工资和津贴补贴以及规定比例为职工缴纳的住房公积金</w:t>
      </w:r>
      <w:r>
        <w:rPr>
          <w:rFonts w:hint="eastAsia" w:ascii="仿宋_GB2312" w:eastAsia="仿宋_GB2312"/>
          <w:color w:val="auto"/>
          <w:sz w:val="32"/>
          <w:szCs w:val="32"/>
          <w:highlight w:val="none"/>
        </w:rPr>
        <w:t>。</w:t>
      </w:r>
    </w:p>
    <w:p w14:paraId="2CAAC419">
      <w:pPr>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13</w:t>
      </w:r>
      <w:r>
        <w:rPr>
          <w:rFonts w:ascii="仿宋_GB2312" w:eastAsia="仿宋_GB2312"/>
          <w:color w:val="auto"/>
          <w:sz w:val="32"/>
          <w:szCs w:val="32"/>
          <w:highlight w:val="none"/>
        </w:rPr>
        <w:t>.</w:t>
      </w:r>
      <w:r>
        <w:rPr>
          <w:rFonts w:hint="eastAsia" w:ascii="仿宋_GB2312" w:eastAsia="仿宋_GB2312"/>
          <w:color w:val="auto"/>
          <w:sz w:val="32"/>
          <w:szCs w:val="32"/>
          <w:highlight w:val="none"/>
        </w:rPr>
        <w:t>基本支出：指为保障机构正常运转、完成日常工作任务而发生的人员支出和公用支出。</w:t>
      </w:r>
    </w:p>
    <w:p w14:paraId="53542C5C">
      <w:pPr>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14</w:t>
      </w:r>
      <w:r>
        <w:rPr>
          <w:rFonts w:ascii="仿宋_GB2312" w:eastAsia="仿宋_GB2312"/>
          <w:color w:val="auto"/>
          <w:sz w:val="32"/>
          <w:szCs w:val="32"/>
          <w:highlight w:val="none"/>
        </w:rPr>
        <w:t>.</w:t>
      </w:r>
      <w:r>
        <w:rPr>
          <w:rFonts w:hint="eastAsia" w:ascii="仿宋_GB2312" w:eastAsia="仿宋_GB2312"/>
          <w:color w:val="auto"/>
          <w:sz w:val="32"/>
          <w:szCs w:val="32"/>
          <w:highlight w:val="none"/>
        </w:rPr>
        <w:t>项目支出：指在基本支出之外为完成特定行政任务和事业发展目标所发生的支出。</w:t>
      </w:r>
      <w:r>
        <w:rPr>
          <w:rFonts w:ascii="仿宋_GB2312" w:eastAsia="仿宋_GB2312"/>
          <w:color w:val="auto"/>
          <w:sz w:val="32"/>
          <w:szCs w:val="32"/>
          <w:highlight w:val="none"/>
        </w:rPr>
        <w:t xml:space="preserve"> </w:t>
      </w:r>
    </w:p>
    <w:p w14:paraId="36528679">
      <w:pPr>
        <w:pStyle w:val="29"/>
        <w:spacing w:line="56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15</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504A19FB">
      <w:pPr>
        <w:pStyle w:val="29"/>
        <w:spacing w:line="56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16</w:t>
      </w:r>
      <w:r>
        <w:rPr>
          <w:rFonts w:ascii="仿宋_GB2312" w:eastAsia="仿宋_GB2312"/>
          <w:color w:val="auto"/>
          <w:sz w:val="32"/>
          <w:szCs w:val="32"/>
          <w:highlight w:val="none"/>
        </w:rPr>
        <w:t>.</w:t>
      </w:r>
      <w:r>
        <w:rPr>
          <w:rFonts w:hint="eastAsia" w:ascii="仿宋_GB2312" w:eastAsia="仿宋_GB2312"/>
          <w:color w:val="auto"/>
          <w:sz w:val="32"/>
          <w:szCs w:val="32"/>
          <w:highlight w:val="none"/>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F240DBB">
      <w:pPr>
        <w:spacing w:line="600" w:lineRule="exact"/>
        <w:jc w:val="center"/>
        <w:outlineLvl w:val="0"/>
        <w:rPr>
          <w:rFonts w:hint="eastAsia" w:ascii="黑体" w:hAnsi="黑体" w:eastAsia="黑体"/>
          <w:color w:val="auto"/>
          <w:sz w:val="44"/>
          <w:szCs w:val="44"/>
          <w:highlight w:val="none"/>
        </w:rPr>
      </w:pPr>
      <w:bookmarkStart w:id="69" w:name="_Toc15769_WPSOffice_Level1"/>
      <w:bookmarkStart w:id="70" w:name="_Toc15396618"/>
      <w:bookmarkStart w:id="71" w:name="_Toc15377226"/>
    </w:p>
    <w:p w14:paraId="731F0369">
      <w:pPr>
        <w:spacing w:line="600" w:lineRule="exact"/>
        <w:jc w:val="center"/>
        <w:outlineLvl w:val="0"/>
        <w:rPr>
          <w:rFonts w:hint="eastAsia" w:ascii="黑体" w:hAnsi="黑体" w:eastAsia="黑体"/>
          <w:color w:val="auto"/>
          <w:sz w:val="44"/>
          <w:szCs w:val="44"/>
          <w:highlight w:val="none"/>
        </w:rPr>
      </w:pPr>
    </w:p>
    <w:p w14:paraId="652C5D39">
      <w:pPr>
        <w:spacing w:line="600" w:lineRule="exact"/>
        <w:jc w:val="center"/>
        <w:outlineLvl w:val="0"/>
        <w:rPr>
          <w:rFonts w:hint="eastAsia" w:ascii="黑体" w:hAnsi="黑体" w:eastAsia="黑体"/>
          <w:color w:val="auto"/>
          <w:sz w:val="44"/>
          <w:szCs w:val="44"/>
          <w:highlight w:val="none"/>
        </w:rPr>
      </w:pPr>
    </w:p>
    <w:p w14:paraId="78266366">
      <w:pPr>
        <w:pStyle w:val="9"/>
        <w:rPr>
          <w:rFonts w:hint="eastAsia" w:ascii="黑体" w:hAnsi="黑体" w:eastAsia="黑体"/>
          <w:color w:val="auto"/>
          <w:sz w:val="44"/>
          <w:szCs w:val="44"/>
          <w:highlight w:val="none"/>
        </w:rPr>
      </w:pPr>
    </w:p>
    <w:p w14:paraId="71D86876">
      <w:pPr>
        <w:pStyle w:val="9"/>
        <w:rPr>
          <w:rFonts w:hint="eastAsia" w:ascii="黑体" w:hAnsi="黑体" w:eastAsia="黑体"/>
          <w:color w:val="auto"/>
          <w:sz w:val="44"/>
          <w:szCs w:val="44"/>
          <w:highlight w:val="none"/>
        </w:rPr>
      </w:pPr>
    </w:p>
    <w:p w14:paraId="4CE61690">
      <w:pPr>
        <w:pStyle w:val="9"/>
        <w:rPr>
          <w:rFonts w:hint="eastAsia" w:ascii="黑体" w:hAnsi="黑体" w:eastAsia="黑体"/>
          <w:color w:val="auto"/>
          <w:sz w:val="44"/>
          <w:szCs w:val="44"/>
          <w:highlight w:val="none"/>
        </w:rPr>
      </w:pPr>
    </w:p>
    <w:p w14:paraId="758B881B">
      <w:pPr>
        <w:pStyle w:val="9"/>
        <w:rPr>
          <w:rFonts w:hint="eastAsia" w:ascii="黑体" w:hAnsi="黑体" w:eastAsia="黑体"/>
          <w:color w:val="auto"/>
          <w:sz w:val="44"/>
          <w:szCs w:val="44"/>
          <w:highlight w:val="none"/>
        </w:rPr>
      </w:pPr>
    </w:p>
    <w:p w14:paraId="714ABAAE">
      <w:pPr>
        <w:pStyle w:val="9"/>
        <w:rPr>
          <w:rFonts w:hint="eastAsia" w:ascii="黑体" w:hAnsi="黑体" w:eastAsia="黑体"/>
          <w:color w:val="auto"/>
          <w:sz w:val="44"/>
          <w:szCs w:val="44"/>
          <w:highlight w:val="none"/>
        </w:rPr>
      </w:pPr>
    </w:p>
    <w:p w14:paraId="3390589E">
      <w:pPr>
        <w:pStyle w:val="9"/>
        <w:rPr>
          <w:rFonts w:hint="eastAsia" w:ascii="黑体" w:hAnsi="黑体" w:eastAsia="黑体"/>
          <w:color w:val="auto"/>
          <w:sz w:val="44"/>
          <w:szCs w:val="44"/>
          <w:highlight w:val="none"/>
        </w:rPr>
      </w:pPr>
    </w:p>
    <w:p w14:paraId="6916EDD1">
      <w:pPr>
        <w:spacing w:line="600" w:lineRule="exact"/>
        <w:jc w:val="center"/>
        <w:outlineLvl w:val="0"/>
        <w:rPr>
          <w:rStyle w:val="31"/>
          <w:rFonts w:hint="eastAsia" w:ascii="黑体" w:hAnsi="黑体" w:eastAsia="黑体"/>
          <w:b w:val="0"/>
          <w:color w:val="auto"/>
          <w:highlight w:val="none"/>
          <w:lang w:eastAsia="zh-CN"/>
        </w:rPr>
      </w:pPr>
      <w:bookmarkStart w:id="72" w:name="_Toc15396614"/>
      <w:r>
        <w:rPr>
          <w:rFonts w:hint="eastAsia" w:ascii="黑体" w:hAnsi="黑体" w:eastAsia="黑体"/>
          <w:color w:val="auto"/>
          <w:sz w:val="44"/>
          <w:szCs w:val="44"/>
          <w:highlight w:val="none"/>
        </w:rPr>
        <w:t>第</w:t>
      </w:r>
      <w:r>
        <w:rPr>
          <w:rStyle w:val="31"/>
          <w:rFonts w:hint="eastAsia" w:ascii="黑体" w:hAnsi="黑体" w:eastAsia="黑体"/>
          <w:b w:val="0"/>
          <w:color w:val="auto"/>
          <w:highlight w:val="none"/>
        </w:rPr>
        <w:t>四部分 附件</w:t>
      </w:r>
      <w:bookmarkEnd w:id="72"/>
    </w:p>
    <w:p w14:paraId="23A92334">
      <w:pPr>
        <w:keepNext w:val="0"/>
        <w:keepLines w:val="0"/>
        <w:pageBreakBefore w:val="0"/>
        <w:kinsoku/>
        <w:wordWrap/>
        <w:overflowPunct/>
        <w:topLinePunct w:val="0"/>
        <w:autoSpaceDE/>
        <w:autoSpaceDN/>
        <w:bidi w:val="0"/>
        <w:spacing w:line="572" w:lineRule="exact"/>
        <w:jc w:val="left"/>
        <w:textAlignment w:val="auto"/>
        <w:outlineLvl w:val="0"/>
        <w:rPr>
          <w:rFonts w:hint="eastAsia" w:ascii="黑体" w:hAnsi="黑体" w:eastAsia="黑体" w:cs="黑体"/>
          <w:color w:val="FF0000"/>
          <w:sz w:val="32"/>
          <w:szCs w:val="32"/>
          <w:highlight w:val="none"/>
        </w:rPr>
      </w:pPr>
    </w:p>
    <w:p w14:paraId="085D1DBD">
      <w:pPr>
        <w:keepNext w:val="0"/>
        <w:keepLines w:val="0"/>
        <w:pageBreakBefore w:val="0"/>
        <w:kinsoku/>
        <w:wordWrap/>
        <w:overflowPunct/>
        <w:topLinePunct w:val="0"/>
        <w:autoSpaceDE/>
        <w:autoSpaceDN/>
        <w:bidi w:val="0"/>
        <w:spacing w:line="572" w:lineRule="exact"/>
        <w:jc w:val="left"/>
        <w:textAlignment w:val="auto"/>
        <w:outlineLvl w:val="0"/>
        <w:rPr>
          <w:rFonts w:hint="eastAsia" w:ascii="方正小标宋简体" w:hAnsi="方正小标宋简体" w:eastAsia="黑体" w:cs="方正小标宋简体"/>
          <w:color w:val="auto"/>
          <w:sz w:val="44"/>
          <w:szCs w:val="44"/>
          <w:highlight w:val="none"/>
          <w:lang w:val="en-US" w:eastAsia="zh-CN"/>
        </w:rPr>
      </w:pPr>
      <w:r>
        <w:rPr>
          <w:rFonts w:hint="eastAsia" w:ascii="黑体" w:hAnsi="黑体" w:eastAsia="黑体" w:cs="黑体"/>
          <w:color w:val="auto"/>
          <w:sz w:val="32"/>
          <w:szCs w:val="32"/>
          <w:highlight w:val="none"/>
        </w:rPr>
        <w:t>附件</w:t>
      </w:r>
      <w:r>
        <w:rPr>
          <w:rFonts w:hint="eastAsia" w:ascii="黑体" w:hAnsi="黑体" w:eastAsia="黑体" w:cs="黑体"/>
          <w:color w:val="auto"/>
          <w:sz w:val="32"/>
          <w:szCs w:val="32"/>
          <w:highlight w:val="none"/>
          <w:lang w:val="en-US" w:eastAsia="zh-CN"/>
        </w:rPr>
        <w:t>1</w:t>
      </w:r>
    </w:p>
    <w:p w14:paraId="49BB9F6A">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14:paraId="52577BA9">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both"/>
        <w:textAlignment w:val="auto"/>
        <w:outlineLvl w:val="9"/>
        <w:rPr>
          <w:rFonts w:hint="eastAsia" w:eastAsia="黑体" w:cs="Times New Roman"/>
          <w:color w:val="000000"/>
          <w:kern w:val="0"/>
          <w:sz w:val="32"/>
          <w:szCs w:val="32"/>
          <w:highlight w:val="none"/>
          <w:shd w:val="clear" w:color="auto" w:fill="FFFFFF"/>
          <w:lang w:val="zh-CN"/>
        </w:rPr>
      </w:pPr>
    </w:p>
    <w:p w14:paraId="64CC54DE">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both"/>
        <w:textAlignment w:val="auto"/>
        <w:outlineLvl w:val="9"/>
        <w:rPr>
          <w:rFonts w:ascii="Times New Roman" w:hAnsi="Times New Roman" w:cs="Times New Roman"/>
          <w:sz w:val="32"/>
          <w:szCs w:val="32"/>
        </w:rPr>
      </w:pPr>
      <w:r>
        <w:rPr>
          <w:rFonts w:hint="eastAsia" w:eastAsia="黑体" w:cs="Times New Roman"/>
          <w:color w:val="000000"/>
          <w:kern w:val="0"/>
          <w:sz w:val="32"/>
          <w:szCs w:val="32"/>
          <w:highlight w:val="none"/>
          <w:shd w:val="clear" w:color="auto" w:fill="FFFFFF"/>
          <w:lang w:val="zh-CN"/>
        </w:rPr>
        <w:t>一、</w:t>
      </w:r>
      <w:r>
        <w:rPr>
          <w:rFonts w:ascii="Times New Roman" w:hAnsi="Times New Roman" w:eastAsia="黑体" w:cs="Times New Roman"/>
          <w:color w:val="000000"/>
          <w:kern w:val="0"/>
          <w:sz w:val="32"/>
          <w:szCs w:val="32"/>
          <w:highlight w:val="none"/>
          <w:shd w:val="clear" w:color="auto" w:fill="FFFFFF"/>
          <w:lang w:val="zh-CN"/>
        </w:rPr>
        <w:t>部门（单位）基本情况</w:t>
      </w:r>
    </w:p>
    <w:p w14:paraId="1D9FA50D">
      <w:pPr>
        <w:keepNext w:val="0"/>
        <w:keepLines w:val="0"/>
        <w:pageBreakBefore w:val="0"/>
        <w:widowControl w:val="0"/>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default" w:ascii="Times New Roman" w:hAnsi="Times New Roman" w:eastAsia="方正仿宋_GBK" w:cs="Times New Roman"/>
          <w:sz w:val="32"/>
          <w:szCs w:val="32"/>
          <w:lang w:val="en-US" w:eastAsia="zh-CN"/>
        </w:rPr>
      </w:pPr>
      <w:r>
        <w:rPr>
          <w:rFonts w:hint="eastAsia" w:eastAsia="楷体_GB2312" w:cs="Times New Roman"/>
          <w:b/>
          <w:bCs/>
          <w:color w:val="000000"/>
          <w:kern w:val="0"/>
          <w:sz w:val="32"/>
          <w:szCs w:val="32"/>
          <w:highlight w:val="none"/>
          <w:shd w:val="clear" w:color="auto" w:fill="FFFFFF"/>
          <w:lang w:val="zh-CN"/>
        </w:rPr>
        <w:t>（一）</w:t>
      </w:r>
      <w:r>
        <w:rPr>
          <w:rFonts w:ascii="Times New Roman" w:hAnsi="Times New Roman" w:eastAsia="楷体_GB2312" w:cs="Times New Roman"/>
          <w:b/>
          <w:bCs/>
          <w:color w:val="000000"/>
          <w:kern w:val="0"/>
          <w:sz w:val="32"/>
          <w:szCs w:val="32"/>
          <w:highlight w:val="none"/>
          <w:shd w:val="clear" w:color="auto" w:fill="FFFFFF"/>
          <w:lang w:val="zh-CN"/>
        </w:rPr>
        <w:t>机构组成。</w:t>
      </w:r>
      <w:r>
        <w:rPr>
          <w:rFonts w:hint="eastAsia" w:ascii="Times New Roman" w:hAnsi="Times New Roman" w:eastAsia="方正仿宋_GBK" w:cs="Times New Roman"/>
          <w:sz w:val="32"/>
          <w:szCs w:val="32"/>
          <w:lang w:val="en-US" w:eastAsia="zh-CN"/>
        </w:rPr>
        <w:t>小金县信访局机关机关</w:t>
      </w:r>
      <w:r>
        <w:rPr>
          <w:rFonts w:hint="default" w:ascii="Times New Roman" w:hAnsi="Times New Roman" w:eastAsia="方正仿宋_GBK" w:cs="Times New Roman"/>
          <w:sz w:val="32"/>
          <w:szCs w:val="32"/>
          <w:lang w:val="en-US" w:eastAsia="zh-CN"/>
        </w:rPr>
        <w:t>，是县委主管的正科级行政机构，内设办公室。</w:t>
      </w:r>
    </w:p>
    <w:p w14:paraId="57920FE6">
      <w:pPr>
        <w:keepNext w:val="0"/>
        <w:keepLines w:val="0"/>
        <w:pageBreakBefore w:val="0"/>
        <w:widowControl w:val="0"/>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ascii="Times New Roman" w:hAnsi="Times New Roman" w:eastAsia="楷体_GB2312" w:cs="Times New Roman"/>
          <w:b/>
          <w:bCs/>
          <w:color w:val="000000"/>
          <w:kern w:val="0"/>
          <w:sz w:val="32"/>
          <w:szCs w:val="32"/>
          <w:highlight w:val="none"/>
          <w:shd w:val="clear" w:color="auto" w:fill="FFFFFF"/>
          <w:lang w:val="zh-CN"/>
        </w:rPr>
      </w:pPr>
      <w:r>
        <w:rPr>
          <w:rFonts w:ascii="Times New Roman" w:hAnsi="Times New Roman" w:eastAsia="楷体_GB2312" w:cs="Times New Roman"/>
          <w:b/>
          <w:bCs/>
          <w:color w:val="000000"/>
          <w:kern w:val="0"/>
          <w:sz w:val="32"/>
          <w:szCs w:val="32"/>
          <w:highlight w:val="none"/>
          <w:shd w:val="clear" w:color="auto" w:fill="FFFFFF"/>
          <w:lang w:val="zh-CN"/>
        </w:rPr>
        <w:t>（二）机构职能</w:t>
      </w:r>
      <w:r>
        <w:rPr>
          <w:rFonts w:hint="eastAsia" w:eastAsia="楷体_GB2312" w:cs="Times New Roman"/>
          <w:b/>
          <w:bCs/>
          <w:color w:val="000000"/>
          <w:kern w:val="0"/>
          <w:sz w:val="32"/>
          <w:szCs w:val="32"/>
          <w:highlight w:val="none"/>
          <w:shd w:val="clear" w:color="auto" w:fill="FFFFFF"/>
          <w:lang w:val="zh-CN"/>
        </w:rPr>
        <w:t>。</w:t>
      </w:r>
      <w:r>
        <w:rPr>
          <w:rFonts w:hint="default" w:ascii="Times New Roman" w:hAnsi="Times New Roman" w:eastAsia="方正仿宋_GBK" w:cs="Times New Roman"/>
          <w:b/>
          <w:bCs/>
          <w:sz w:val="32"/>
          <w:szCs w:val="32"/>
          <w:lang w:val="en-US" w:eastAsia="zh-CN"/>
        </w:rPr>
        <w:t>一是</w:t>
      </w:r>
      <w:r>
        <w:rPr>
          <w:rFonts w:hint="default" w:ascii="Times New Roman" w:hAnsi="Times New Roman" w:eastAsia="方正仿宋_GBK" w:cs="Times New Roman"/>
          <w:sz w:val="32"/>
          <w:szCs w:val="32"/>
          <w:lang w:val="en-US" w:eastAsia="zh-CN"/>
        </w:rPr>
        <w:t>受理、转送、交办信访事项；</w:t>
      </w:r>
      <w:r>
        <w:rPr>
          <w:rFonts w:hint="default" w:ascii="Times New Roman" w:hAnsi="Times New Roman" w:eastAsia="方正仿宋_GBK" w:cs="Times New Roman"/>
          <w:b/>
          <w:bCs/>
          <w:sz w:val="32"/>
          <w:szCs w:val="32"/>
          <w:lang w:val="en-US" w:eastAsia="zh-CN"/>
        </w:rPr>
        <w:t>二是</w:t>
      </w:r>
      <w:r>
        <w:rPr>
          <w:rFonts w:hint="default" w:ascii="Times New Roman" w:hAnsi="Times New Roman" w:eastAsia="方正仿宋_GBK" w:cs="Times New Roman"/>
          <w:sz w:val="32"/>
          <w:szCs w:val="32"/>
          <w:lang w:val="en-US" w:eastAsia="zh-CN"/>
        </w:rPr>
        <w:t>协调解决重要信访问题；</w:t>
      </w:r>
      <w:r>
        <w:rPr>
          <w:rFonts w:hint="default" w:ascii="Times New Roman" w:hAnsi="Times New Roman" w:eastAsia="方正仿宋_GBK" w:cs="Times New Roman"/>
          <w:b/>
          <w:bCs/>
          <w:sz w:val="32"/>
          <w:szCs w:val="32"/>
          <w:lang w:val="en-US" w:eastAsia="zh-CN"/>
        </w:rPr>
        <w:t>三是</w:t>
      </w:r>
      <w:r>
        <w:rPr>
          <w:rFonts w:hint="default" w:ascii="Times New Roman" w:hAnsi="Times New Roman" w:eastAsia="方正仿宋_GBK" w:cs="Times New Roman"/>
          <w:sz w:val="32"/>
          <w:szCs w:val="32"/>
          <w:lang w:val="en-US" w:eastAsia="zh-CN"/>
        </w:rPr>
        <w:t>督促检查重要信访事项的处理和落实；</w:t>
      </w:r>
      <w:r>
        <w:rPr>
          <w:rFonts w:hint="default" w:ascii="Times New Roman" w:hAnsi="Times New Roman" w:eastAsia="方正仿宋_GBK" w:cs="Times New Roman"/>
          <w:b/>
          <w:bCs/>
          <w:sz w:val="32"/>
          <w:szCs w:val="32"/>
          <w:lang w:val="en-US" w:eastAsia="zh-CN"/>
        </w:rPr>
        <w:t>四是</w:t>
      </w:r>
      <w:r>
        <w:rPr>
          <w:rFonts w:hint="default" w:ascii="Times New Roman" w:hAnsi="Times New Roman" w:eastAsia="方正仿宋_GBK" w:cs="Times New Roman"/>
          <w:sz w:val="32"/>
          <w:szCs w:val="32"/>
          <w:lang w:val="en-US" w:eastAsia="zh-CN"/>
        </w:rPr>
        <w:t>综合反映信访信息，分析研判信访形势，为党委和政府提供决策参考；</w:t>
      </w:r>
      <w:r>
        <w:rPr>
          <w:rFonts w:hint="default" w:ascii="Times New Roman" w:hAnsi="Times New Roman" w:eastAsia="方正仿宋_GBK" w:cs="Times New Roman"/>
          <w:b/>
          <w:bCs/>
          <w:sz w:val="32"/>
          <w:szCs w:val="32"/>
          <w:lang w:val="en-US" w:eastAsia="zh-CN"/>
        </w:rPr>
        <w:t>五是</w:t>
      </w:r>
      <w:r>
        <w:rPr>
          <w:rFonts w:hint="default" w:ascii="Times New Roman" w:hAnsi="Times New Roman" w:eastAsia="方正仿宋_GBK" w:cs="Times New Roman"/>
          <w:sz w:val="32"/>
          <w:szCs w:val="32"/>
          <w:lang w:val="en-US" w:eastAsia="zh-CN"/>
        </w:rPr>
        <w:t>指导本级其他机关、单位和下级的信访工作；</w:t>
      </w:r>
      <w:r>
        <w:rPr>
          <w:rFonts w:hint="default" w:ascii="Times New Roman" w:hAnsi="Times New Roman" w:eastAsia="方正仿宋_GBK" w:cs="Times New Roman"/>
          <w:b/>
          <w:bCs/>
          <w:sz w:val="32"/>
          <w:szCs w:val="32"/>
          <w:lang w:val="en-US" w:eastAsia="zh-CN"/>
        </w:rPr>
        <w:t>六是</w:t>
      </w:r>
      <w:r>
        <w:rPr>
          <w:rFonts w:hint="default" w:ascii="Times New Roman" w:hAnsi="Times New Roman" w:eastAsia="方正仿宋_GBK" w:cs="Times New Roman"/>
          <w:sz w:val="32"/>
          <w:szCs w:val="32"/>
          <w:lang w:val="en-US" w:eastAsia="zh-CN"/>
        </w:rPr>
        <w:t>提出改进工作、完善政策和追究责任的建议；</w:t>
      </w:r>
      <w:r>
        <w:rPr>
          <w:rFonts w:hint="default" w:ascii="Times New Roman" w:hAnsi="Times New Roman" w:eastAsia="方正仿宋_GBK" w:cs="Times New Roman"/>
          <w:b/>
          <w:bCs/>
          <w:sz w:val="32"/>
          <w:szCs w:val="32"/>
          <w:lang w:val="en-US" w:eastAsia="zh-CN"/>
        </w:rPr>
        <w:t>七是</w:t>
      </w:r>
      <w:r>
        <w:rPr>
          <w:rFonts w:hint="default" w:ascii="Times New Roman" w:hAnsi="Times New Roman" w:eastAsia="方正仿宋_GBK" w:cs="Times New Roman"/>
          <w:sz w:val="32"/>
          <w:szCs w:val="32"/>
          <w:lang w:val="en-US" w:eastAsia="zh-CN"/>
        </w:rPr>
        <w:t>承担本级党委和政府交办的其他事项。</w:t>
      </w:r>
    </w:p>
    <w:p w14:paraId="0D96C270">
      <w:pPr>
        <w:keepNext w:val="0"/>
        <w:keepLines w:val="0"/>
        <w:pageBreakBefore w:val="0"/>
        <w:widowControl w:val="0"/>
        <w:kinsoku/>
        <w:wordWrap w:val="0"/>
        <w:overflowPunct/>
        <w:topLinePunct w:val="0"/>
        <w:autoSpaceDE w:val="0"/>
        <w:autoSpaceDN w:val="0"/>
        <w:bidi w:val="0"/>
        <w:adjustRightInd/>
        <w:snapToGrid/>
        <w:spacing w:line="576" w:lineRule="exact"/>
        <w:ind w:firstLine="643" w:firstLineChars="200"/>
        <w:jc w:val="both"/>
        <w:textAlignment w:val="auto"/>
        <w:rPr>
          <w:rFonts w:hint="default" w:ascii="Times New Roman" w:hAnsi="Times New Roman" w:eastAsia="方正仿宋_GBK" w:cs="Times New Roman"/>
          <w:sz w:val="32"/>
          <w:szCs w:val="32"/>
          <w:lang w:val="en-US" w:eastAsia="zh-CN"/>
        </w:rPr>
      </w:pPr>
      <w:r>
        <w:rPr>
          <w:rFonts w:ascii="Times New Roman" w:hAnsi="Times New Roman" w:eastAsia="楷体_GB2312" w:cs="Times New Roman"/>
          <w:b/>
          <w:bCs/>
          <w:color w:val="000000"/>
          <w:kern w:val="0"/>
          <w:sz w:val="32"/>
          <w:szCs w:val="32"/>
          <w:highlight w:val="none"/>
          <w:shd w:val="clear" w:color="auto" w:fill="FFFFFF"/>
          <w:lang w:val="zh-CN"/>
        </w:rPr>
        <w:t>（</w:t>
      </w:r>
      <w:r>
        <w:rPr>
          <w:rFonts w:hint="eastAsia" w:eastAsia="楷体_GB2312" w:cs="Times New Roman"/>
          <w:b/>
          <w:bCs/>
          <w:color w:val="000000"/>
          <w:kern w:val="0"/>
          <w:sz w:val="32"/>
          <w:szCs w:val="32"/>
          <w:highlight w:val="none"/>
          <w:shd w:val="clear" w:color="auto" w:fill="FFFFFF"/>
          <w:lang w:val="zh-CN"/>
        </w:rPr>
        <w:t>三</w:t>
      </w:r>
      <w:r>
        <w:rPr>
          <w:rFonts w:ascii="Times New Roman" w:hAnsi="Times New Roman" w:eastAsia="楷体_GB2312" w:cs="Times New Roman"/>
          <w:b/>
          <w:bCs/>
          <w:color w:val="000000"/>
          <w:kern w:val="0"/>
          <w:sz w:val="32"/>
          <w:szCs w:val="32"/>
          <w:highlight w:val="none"/>
          <w:shd w:val="clear" w:color="auto" w:fill="FFFFFF"/>
          <w:lang w:val="zh-CN"/>
        </w:rPr>
        <w:t>）人员概况</w:t>
      </w:r>
      <w:r>
        <w:rPr>
          <w:rFonts w:hint="eastAsia" w:eastAsia="楷体_GB2312" w:cs="Times New Roman"/>
          <w:b/>
          <w:bCs/>
          <w:color w:val="000000"/>
          <w:kern w:val="0"/>
          <w:sz w:val="32"/>
          <w:szCs w:val="32"/>
          <w:highlight w:val="none"/>
          <w:shd w:val="clear" w:color="auto" w:fill="FFFFFF"/>
          <w:lang w:val="zh-CN"/>
        </w:rPr>
        <w:t>。</w:t>
      </w:r>
      <w:r>
        <w:rPr>
          <w:rFonts w:hint="default" w:ascii="Times New Roman" w:hAnsi="Times New Roman" w:eastAsia="方正仿宋_GBK" w:cs="Times New Roman"/>
          <w:sz w:val="32"/>
          <w:szCs w:val="32"/>
          <w:lang w:val="en-US" w:eastAsia="zh-CN"/>
        </w:rPr>
        <w:t>截至202</w:t>
      </w:r>
      <w:r>
        <w:rPr>
          <w:rFonts w:hint="eastAsia"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lang w:val="en-US" w:eastAsia="zh-CN"/>
        </w:rPr>
        <w:t>年末，我局实有人数为1</w:t>
      </w:r>
      <w:r>
        <w:rPr>
          <w:rFonts w:hint="eastAsia"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lang w:val="en-US" w:eastAsia="zh-CN"/>
        </w:rPr>
        <w:t>人，其中：公务员</w:t>
      </w:r>
      <w:r>
        <w:rPr>
          <w:rFonts w:hint="eastAsia" w:ascii="Times New Roman" w:hAnsi="Times New Roman" w:eastAsia="方正仿宋_GBK" w:cs="Times New Roman"/>
          <w:sz w:val="32"/>
          <w:szCs w:val="32"/>
          <w:lang w:val="en-US" w:eastAsia="zh-CN"/>
        </w:rPr>
        <w:t>4</w:t>
      </w:r>
      <w:r>
        <w:rPr>
          <w:rFonts w:hint="default" w:ascii="Times New Roman" w:hAnsi="Times New Roman" w:eastAsia="方正仿宋_GBK" w:cs="Times New Roman"/>
          <w:sz w:val="32"/>
          <w:szCs w:val="32"/>
          <w:lang w:val="en-US" w:eastAsia="zh-CN"/>
        </w:rPr>
        <w:t>人，事业</w:t>
      </w:r>
      <w:r>
        <w:rPr>
          <w:rFonts w:hint="eastAsia"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lang w:val="en-US" w:eastAsia="zh-CN"/>
        </w:rPr>
        <w:t>人，行政工勤1人。</w:t>
      </w:r>
    </w:p>
    <w:p w14:paraId="408B2C43">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ascii="Times New Roman" w:hAnsi="Times New Roman" w:eastAsia="黑体" w:cs="Times New Roman"/>
          <w:color w:val="000000"/>
          <w:kern w:val="0"/>
          <w:sz w:val="32"/>
          <w:szCs w:val="32"/>
          <w:highlight w:val="none"/>
          <w:shd w:val="clear" w:color="auto" w:fill="FFFFFF"/>
        </w:rPr>
      </w:pPr>
      <w:r>
        <w:rPr>
          <w:rFonts w:ascii="Times New Roman" w:hAnsi="Times New Roman" w:eastAsia="黑体" w:cs="Times New Roman"/>
          <w:color w:val="000000"/>
          <w:kern w:val="0"/>
          <w:sz w:val="32"/>
          <w:szCs w:val="32"/>
          <w:highlight w:val="none"/>
          <w:shd w:val="clear" w:color="auto" w:fill="FFFFFF"/>
        </w:rPr>
        <w:t>二、</w:t>
      </w:r>
      <w:r>
        <w:rPr>
          <w:rFonts w:ascii="Times New Roman" w:hAnsi="Times New Roman" w:eastAsia="黑体" w:cs="Times New Roman"/>
          <w:color w:val="000000"/>
          <w:kern w:val="0"/>
          <w:sz w:val="32"/>
          <w:szCs w:val="32"/>
          <w:highlight w:val="none"/>
          <w:shd w:val="clear" w:color="auto" w:fill="FFFFFF"/>
          <w:lang w:eastAsia="zh-CN"/>
        </w:rPr>
        <w:t>部门</w:t>
      </w:r>
      <w:r>
        <w:rPr>
          <w:rFonts w:ascii="Times New Roman" w:hAnsi="Times New Roman" w:eastAsia="黑体" w:cs="Times New Roman"/>
          <w:color w:val="000000"/>
          <w:kern w:val="0"/>
          <w:sz w:val="32"/>
          <w:szCs w:val="32"/>
          <w:highlight w:val="none"/>
          <w:shd w:val="clear" w:color="auto" w:fill="FFFFFF"/>
        </w:rPr>
        <w:t>资金收支情况</w:t>
      </w:r>
    </w:p>
    <w:p w14:paraId="637550B6">
      <w:pPr>
        <w:keepNext w:val="0"/>
        <w:keepLines w:val="0"/>
        <w:pageBreakBefore w:val="0"/>
        <w:widowControl w:val="0"/>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default" w:ascii="Times New Roman" w:hAnsi="Times New Roman" w:eastAsia="方正仿宋_GBK" w:cs="Times New Roman"/>
          <w:sz w:val="32"/>
          <w:szCs w:val="32"/>
          <w:lang w:val="en-US" w:eastAsia="zh-CN"/>
        </w:rPr>
      </w:pPr>
      <w:r>
        <w:rPr>
          <w:rFonts w:ascii="Times New Roman" w:hAnsi="Times New Roman" w:eastAsia="楷体_GB2312" w:cs="Times New Roman"/>
          <w:b/>
          <w:bCs/>
          <w:color w:val="000000"/>
          <w:kern w:val="0"/>
          <w:sz w:val="32"/>
          <w:szCs w:val="32"/>
          <w:highlight w:val="none"/>
          <w:shd w:val="clear" w:color="auto" w:fill="FFFFFF"/>
          <w:lang w:val="zh-CN"/>
        </w:rPr>
        <w:t>（一）</w:t>
      </w:r>
      <w:r>
        <w:rPr>
          <w:rFonts w:hint="eastAsia" w:eastAsia="楷体_GB2312" w:cs="Times New Roman"/>
          <w:b/>
          <w:bCs/>
          <w:color w:val="000000"/>
          <w:kern w:val="0"/>
          <w:sz w:val="32"/>
          <w:szCs w:val="32"/>
          <w:highlight w:val="none"/>
          <w:shd w:val="clear" w:color="auto" w:fill="FFFFFF"/>
          <w:lang w:val="zh-CN"/>
        </w:rPr>
        <w:t>收入情况</w:t>
      </w:r>
      <w:r>
        <w:rPr>
          <w:rFonts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方正仿宋_GBK" w:cs="Times New Roman"/>
          <w:sz w:val="32"/>
          <w:szCs w:val="32"/>
          <w:lang w:val="en-US" w:eastAsia="zh-CN"/>
        </w:rPr>
        <w:t>小金县信访局机关</w:t>
      </w:r>
      <w:r>
        <w:rPr>
          <w:rFonts w:hint="eastAsia" w:eastAsia="方正仿宋_GBK" w:cs="Times New Roman"/>
          <w:sz w:val="32"/>
          <w:szCs w:val="32"/>
          <w:lang w:val="en-US" w:eastAsia="zh-CN"/>
        </w:rPr>
        <w:t>2025</w:t>
      </w:r>
      <w:r>
        <w:rPr>
          <w:rFonts w:hint="eastAsia" w:ascii="Times New Roman" w:hAnsi="Times New Roman" w:eastAsia="方正仿宋_GBK" w:cs="Times New Roman"/>
          <w:sz w:val="32"/>
          <w:szCs w:val="32"/>
          <w:lang w:val="en-US" w:eastAsia="zh-CN"/>
        </w:rPr>
        <w:t>年年初预算收入</w:t>
      </w:r>
      <w:r>
        <w:rPr>
          <w:rFonts w:hint="eastAsia" w:eastAsia="方正仿宋_GBK" w:cs="Times New Roman"/>
          <w:sz w:val="32"/>
          <w:szCs w:val="32"/>
          <w:lang w:val="en-US" w:eastAsia="zh-CN"/>
        </w:rPr>
        <w:t>197.76</w:t>
      </w:r>
      <w:r>
        <w:rPr>
          <w:rFonts w:hint="eastAsia" w:ascii="Times New Roman" w:hAnsi="Times New Roman" w:eastAsia="方正仿宋_GBK" w:cs="Times New Roman"/>
          <w:sz w:val="32"/>
          <w:szCs w:val="32"/>
          <w:lang w:val="en-US" w:eastAsia="zh-CN"/>
        </w:rPr>
        <w:t>万元。决算报表收入</w:t>
      </w:r>
      <w:r>
        <w:rPr>
          <w:rFonts w:hint="eastAsia" w:eastAsia="方正仿宋_GBK" w:cs="Times New Roman"/>
          <w:sz w:val="32"/>
          <w:szCs w:val="32"/>
          <w:lang w:val="en-US" w:eastAsia="zh-CN"/>
        </w:rPr>
        <w:t>197.76</w:t>
      </w:r>
      <w:r>
        <w:rPr>
          <w:rFonts w:hint="eastAsia" w:ascii="Times New Roman" w:hAnsi="Times New Roman" w:eastAsia="方正仿宋_GBK" w:cs="Times New Roman"/>
          <w:sz w:val="32"/>
          <w:szCs w:val="32"/>
          <w:lang w:val="en-US" w:eastAsia="zh-CN"/>
        </w:rPr>
        <w:t>万元，比</w:t>
      </w:r>
      <w:r>
        <w:rPr>
          <w:rFonts w:hint="eastAsia" w:eastAsia="方正仿宋_GBK" w:cs="Times New Roman"/>
          <w:sz w:val="32"/>
          <w:szCs w:val="32"/>
          <w:lang w:val="en-US" w:eastAsia="zh-CN"/>
        </w:rPr>
        <w:t>2024</w:t>
      </w:r>
      <w:r>
        <w:rPr>
          <w:rFonts w:hint="eastAsia" w:ascii="Times New Roman" w:hAnsi="Times New Roman" w:eastAsia="方正仿宋_GBK" w:cs="Times New Roman"/>
          <w:sz w:val="32"/>
          <w:szCs w:val="32"/>
          <w:lang w:val="en-US" w:eastAsia="zh-CN"/>
        </w:rPr>
        <w:t>年</w:t>
      </w:r>
      <w:r>
        <w:rPr>
          <w:rFonts w:hint="eastAsia" w:eastAsia="方正仿宋_GBK" w:cs="Times New Roman"/>
          <w:sz w:val="32"/>
          <w:szCs w:val="32"/>
          <w:lang w:val="en-US" w:eastAsia="zh-CN"/>
        </w:rPr>
        <w:t>减少21.84</w:t>
      </w:r>
      <w:r>
        <w:rPr>
          <w:rFonts w:hint="eastAsia" w:ascii="Times New Roman" w:hAnsi="Times New Roman" w:eastAsia="方正仿宋_GBK" w:cs="Times New Roman"/>
          <w:sz w:val="32"/>
          <w:szCs w:val="32"/>
          <w:lang w:val="en-US" w:eastAsia="zh-CN"/>
        </w:rPr>
        <w:t>万元，</w:t>
      </w:r>
      <w:r>
        <w:rPr>
          <w:rFonts w:hint="eastAsia" w:eastAsia="方正仿宋_GBK" w:cs="Times New Roman"/>
          <w:sz w:val="32"/>
          <w:szCs w:val="32"/>
          <w:lang w:val="en-US" w:eastAsia="zh-CN"/>
        </w:rPr>
        <w:t>减少9.95</w:t>
      </w:r>
      <w:r>
        <w:rPr>
          <w:rFonts w:hint="eastAsia" w:ascii="Times New Roman" w:hAnsi="Times New Roman" w:eastAsia="方正仿宋_GBK" w:cs="Times New Roman"/>
          <w:sz w:val="32"/>
          <w:szCs w:val="32"/>
          <w:lang w:val="en-US" w:eastAsia="zh-CN"/>
        </w:rPr>
        <w:t>%。</w:t>
      </w:r>
    </w:p>
    <w:p w14:paraId="2BCF5D74">
      <w:pPr>
        <w:spacing w:line="600" w:lineRule="exact"/>
        <w:ind w:firstLine="640"/>
        <w:rPr>
          <w:rFonts w:hint="eastAsia" w:ascii="Times New Roman" w:hAnsi="Times New Roman" w:eastAsia="方正仿宋_GBK" w:cs="Times New Roman"/>
          <w:sz w:val="32"/>
          <w:szCs w:val="32"/>
          <w:lang w:val="zh-CN" w:eastAsia="zh-CN"/>
        </w:rPr>
      </w:pPr>
      <w:r>
        <w:rPr>
          <w:rFonts w:ascii="Times New Roman" w:hAnsi="Times New Roman" w:eastAsia="楷体_GB2312" w:cs="Times New Roman"/>
          <w:b/>
          <w:bCs/>
          <w:color w:val="000000"/>
          <w:kern w:val="0"/>
          <w:sz w:val="32"/>
          <w:szCs w:val="32"/>
          <w:highlight w:val="none"/>
          <w:shd w:val="clear" w:color="auto" w:fill="FFFFFF"/>
          <w:lang w:val="zh-CN"/>
        </w:rPr>
        <w:t>（</w:t>
      </w:r>
      <w:r>
        <w:rPr>
          <w:rFonts w:hint="eastAsia" w:eastAsia="楷体_GB2312" w:cs="Times New Roman"/>
          <w:b/>
          <w:bCs/>
          <w:color w:val="000000"/>
          <w:kern w:val="0"/>
          <w:sz w:val="32"/>
          <w:szCs w:val="32"/>
          <w:highlight w:val="none"/>
          <w:shd w:val="clear" w:color="auto" w:fill="FFFFFF"/>
          <w:lang w:val="zh-CN"/>
        </w:rPr>
        <w:t>二</w:t>
      </w:r>
      <w:r>
        <w:rPr>
          <w:rFonts w:ascii="Times New Roman" w:hAnsi="Times New Roman" w:eastAsia="楷体_GB2312" w:cs="Times New Roman"/>
          <w:b/>
          <w:bCs/>
          <w:color w:val="000000"/>
          <w:kern w:val="0"/>
          <w:sz w:val="32"/>
          <w:szCs w:val="32"/>
          <w:highlight w:val="none"/>
          <w:shd w:val="clear" w:color="auto" w:fill="FFFFFF"/>
          <w:lang w:val="zh-CN"/>
        </w:rPr>
        <w:t>）</w:t>
      </w:r>
      <w:r>
        <w:rPr>
          <w:rFonts w:hint="eastAsia" w:eastAsia="楷体_GB2312" w:cs="Times New Roman"/>
          <w:b/>
          <w:bCs/>
          <w:color w:val="000000"/>
          <w:kern w:val="0"/>
          <w:sz w:val="32"/>
          <w:szCs w:val="32"/>
          <w:highlight w:val="none"/>
          <w:shd w:val="clear" w:color="auto" w:fill="FFFFFF"/>
          <w:lang w:val="zh-CN"/>
        </w:rPr>
        <w:t>支出情况</w:t>
      </w:r>
      <w:r>
        <w:rPr>
          <w:rFonts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方正仿宋_GBK" w:cs="Times New Roman"/>
          <w:sz w:val="32"/>
          <w:szCs w:val="32"/>
          <w:lang w:val="en-US" w:eastAsia="zh-CN"/>
        </w:rPr>
        <w:t>小金县信访局机关</w:t>
      </w:r>
      <w:r>
        <w:rPr>
          <w:rFonts w:hint="eastAsia" w:eastAsia="方正仿宋_GBK" w:cs="Times New Roman"/>
          <w:sz w:val="32"/>
          <w:szCs w:val="32"/>
          <w:lang w:val="en-US" w:eastAsia="zh-CN"/>
        </w:rPr>
        <w:t>2025</w:t>
      </w:r>
      <w:r>
        <w:rPr>
          <w:rFonts w:hint="eastAsia" w:ascii="Times New Roman" w:hAnsi="Times New Roman" w:eastAsia="方正仿宋_GBK" w:cs="Times New Roman"/>
          <w:sz w:val="32"/>
          <w:szCs w:val="32"/>
          <w:lang w:val="en-US" w:eastAsia="zh-CN"/>
        </w:rPr>
        <w:t>年年初预算支出</w:t>
      </w:r>
      <w:r>
        <w:rPr>
          <w:rFonts w:hint="eastAsia" w:eastAsia="方正仿宋_GBK" w:cs="Times New Roman"/>
          <w:sz w:val="32"/>
          <w:szCs w:val="32"/>
          <w:lang w:val="en-US" w:eastAsia="zh-CN"/>
        </w:rPr>
        <w:t>197.76</w:t>
      </w:r>
      <w:r>
        <w:rPr>
          <w:rFonts w:hint="eastAsia" w:ascii="Times New Roman" w:hAnsi="Times New Roman" w:eastAsia="方正仿宋_GBK" w:cs="Times New Roman"/>
          <w:sz w:val="32"/>
          <w:szCs w:val="32"/>
          <w:lang w:val="en-US" w:eastAsia="zh-CN"/>
        </w:rPr>
        <w:t>万元。决算报表支出</w:t>
      </w:r>
      <w:r>
        <w:rPr>
          <w:rFonts w:hint="eastAsia" w:eastAsia="方正仿宋_GBK" w:cs="Times New Roman"/>
          <w:sz w:val="32"/>
          <w:szCs w:val="32"/>
          <w:lang w:val="en-US" w:eastAsia="zh-CN"/>
        </w:rPr>
        <w:t>197.76</w:t>
      </w:r>
      <w:r>
        <w:rPr>
          <w:rFonts w:hint="eastAsia" w:ascii="Times New Roman" w:hAnsi="Times New Roman" w:eastAsia="方正仿宋_GBK" w:cs="Times New Roman"/>
          <w:sz w:val="32"/>
          <w:szCs w:val="32"/>
          <w:lang w:val="en-US" w:eastAsia="zh-CN"/>
        </w:rPr>
        <w:t>万元，</w:t>
      </w:r>
      <w:r>
        <w:rPr>
          <w:rFonts w:hint="eastAsia" w:ascii="仿宋" w:hAnsi="仿宋" w:eastAsia="仿宋" w:cs="Times New Roman"/>
          <w:color w:val="auto"/>
          <w:sz w:val="32"/>
          <w:szCs w:val="32"/>
          <w:highlight w:val="none"/>
        </w:rPr>
        <w:t>一般公共服务支出为</w:t>
      </w:r>
      <w:r>
        <w:rPr>
          <w:rFonts w:hint="eastAsia" w:ascii="仿宋" w:hAnsi="仿宋" w:eastAsia="仿宋" w:cs="Times New Roman"/>
          <w:color w:val="auto"/>
          <w:sz w:val="32"/>
          <w:szCs w:val="32"/>
          <w:highlight w:val="none"/>
          <w:lang w:val="en-US" w:eastAsia="zh-CN"/>
        </w:rPr>
        <w:t>144.62</w:t>
      </w:r>
      <w:r>
        <w:rPr>
          <w:rFonts w:hint="eastAsia" w:ascii="仿宋" w:hAnsi="仿宋" w:eastAsia="仿宋" w:cs="Times New Roman"/>
          <w:color w:val="auto"/>
          <w:sz w:val="32"/>
          <w:szCs w:val="32"/>
          <w:highlight w:val="none"/>
        </w:rPr>
        <w:t>万元，占比</w:t>
      </w:r>
      <w:r>
        <w:rPr>
          <w:rFonts w:hint="eastAsia" w:ascii="仿宋" w:hAnsi="仿宋" w:eastAsia="仿宋" w:cs="Times New Roman"/>
          <w:color w:val="auto"/>
          <w:sz w:val="32"/>
          <w:szCs w:val="32"/>
          <w:highlight w:val="none"/>
          <w:lang w:val="en-US" w:eastAsia="zh-CN"/>
        </w:rPr>
        <w:t>73.13</w:t>
      </w:r>
      <w:r>
        <w:rPr>
          <w:rFonts w:hint="eastAsia" w:ascii="仿宋" w:hAnsi="仿宋" w:eastAsia="仿宋" w:cs="Times New Roman"/>
          <w:color w:val="auto"/>
          <w:sz w:val="32"/>
          <w:szCs w:val="32"/>
          <w:highlight w:val="none"/>
        </w:rPr>
        <w:t>%</w:t>
      </w:r>
      <w:r>
        <w:rPr>
          <w:rFonts w:hint="eastAsia" w:ascii="仿宋" w:hAnsi="仿宋" w:eastAsia="仿宋" w:cs="Times New Roman"/>
          <w:color w:val="auto"/>
          <w:sz w:val="32"/>
          <w:szCs w:val="32"/>
          <w:highlight w:val="none"/>
          <w:lang w:val="en-US" w:eastAsia="zh-CN"/>
        </w:rPr>
        <w:t>；社会保障和就业支出为30.53万元，占比15.44%；卫生健康支出为9.73万元，占比4.92%；住房保障支出为12.87万元，占比6.51%</w:t>
      </w:r>
      <w:r>
        <w:rPr>
          <w:rFonts w:hint="eastAsia" w:ascii="仿宋" w:hAnsi="仿宋" w:eastAsia="仿宋" w:cs="Times New Roman"/>
          <w:color w:val="auto"/>
          <w:sz w:val="32"/>
          <w:szCs w:val="32"/>
          <w:highlight w:val="none"/>
        </w:rPr>
        <w:t>。</w:t>
      </w:r>
    </w:p>
    <w:p w14:paraId="2649AB83">
      <w:pPr>
        <w:keepNext w:val="0"/>
        <w:keepLines w:val="0"/>
        <w:pageBreakBefore w:val="0"/>
        <w:widowControl w:val="0"/>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eastAsia" w:ascii="Times New Roman" w:hAnsi="Times New Roman" w:eastAsia="方正仿宋_GBK" w:cs="Times New Roman"/>
          <w:sz w:val="32"/>
          <w:szCs w:val="32"/>
          <w:lang w:val="zh-CN" w:eastAsia="zh-CN"/>
        </w:rPr>
      </w:pPr>
      <w:r>
        <w:rPr>
          <w:rFonts w:ascii="Times New Roman" w:hAnsi="Times New Roman" w:eastAsia="楷体_GB2312" w:cs="Times New Roman"/>
          <w:b/>
          <w:bCs/>
          <w:color w:val="000000"/>
          <w:kern w:val="0"/>
          <w:sz w:val="32"/>
          <w:szCs w:val="32"/>
          <w:highlight w:val="none"/>
          <w:shd w:val="clear" w:color="auto" w:fill="FFFFFF"/>
          <w:lang w:val="zh-CN"/>
        </w:rPr>
        <w:t>（</w:t>
      </w:r>
      <w:r>
        <w:rPr>
          <w:rFonts w:hint="eastAsia" w:eastAsia="楷体_GB2312" w:cs="Times New Roman"/>
          <w:b/>
          <w:bCs/>
          <w:color w:val="000000"/>
          <w:kern w:val="0"/>
          <w:sz w:val="32"/>
          <w:szCs w:val="32"/>
          <w:highlight w:val="none"/>
          <w:shd w:val="clear" w:color="auto" w:fill="FFFFFF"/>
          <w:lang w:val="zh-CN"/>
        </w:rPr>
        <w:t>三</w:t>
      </w:r>
      <w:r>
        <w:rPr>
          <w:rFonts w:ascii="Times New Roman" w:hAnsi="Times New Roman" w:eastAsia="楷体_GB2312" w:cs="Times New Roman"/>
          <w:b/>
          <w:bCs/>
          <w:color w:val="000000"/>
          <w:kern w:val="0"/>
          <w:sz w:val="32"/>
          <w:szCs w:val="32"/>
          <w:highlight w:val="none"/>
          <w:shd w:val="clear" w:color="auto" w:fill="FFFFFF"/>
          <w:lang w:val="zh-CN"/>
        </w:rPr>
        <w:t>）</w:t>
      </w:r>
      <w:r>
        <w:rPr>
          <w:rFonts w:ascii="Times New Roman" w:hAnsi="Times New Roman" w:eastAsia="楷体_GB2312" w:cs="Times New Roman"/>
          <w:b/>
          <w:sz w:val="32"/>
          <w:szCs w:val="32"/>
        </w:rPr>
        <w:t>结余分配和结转结余情况</w:t>
      </w:r>
      <w:r>
        <w:rPr>
          <w:rFonts w:hint="eastAsia" w:ascii="Times New Roman" w:hAnsi="Times New Roman" w:eastAsia="楷体_GB2312" w:cs="Times New Roman"/>
          <w:b/>
          <w:sz w:val="32"/>
          <w:szCs w:val="32"/>
          <w:lang w:eastAsia="zh-CN"/>
        </w:rPr>
        <w:t>。</w:t>
      </w:r>
      <w:r>
        <w:rPr>
          <w:rFonts w:hint="eastAsia" w:ascii="Times New Roman" w:hAnsi="Times New Roman" w:eastAsia="方正仿宋_GBK" w:cs="Times New Roman"/>
          <w:sz w:val="32"/>
          <w:szCs w:val="32"/>
          <w:lang w:val="en-US" w:eastAsia="zh-CN"/>
        </w:rPr>
        <w:t>小金县信访局机关</w:t>
      </w:r>
      <w:r>
        <w:rPr>
          <w:rFonts w:hint="eastAsia" w:eastAsia="方正仿宋_GBK" w:cs="Times New Roman"/>
          <w:sz w:val="32"/>
          <w:szCs w:val="32"/>
          <w:lang w:val="en-US" w:eastAsia="zh-CN"/>
        </w:rPr>
        <w:t>2025</w:t>
      </w:r>
      <w:r>
        <w:rPr>
          <w:rFonts w:hint="eastAsia" w:ascii="Times New Roman" w:hAnsi="Times New Roman" w:eastAsia="方正仿宋_GBK" w:cs="Times New Roman"/>
          <w:sz w:val="32"/>
          <w:szCs w:val="32"/>
          <w:lang w:val="en-US" w:eastAsia="zh-CN"/>
        </w:rPr>
        <w:t>年决算报表无结转结余情况。</w:t>
      </w:r>
    </w:p>
    <w:p w14:paraId="76A2F305">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ascii="Times New Roman" w:hAnsi="Times New Roman" w:eastAsia="黑体" w:cs="Times New Roman"/>
          <w:color w:val="000000"/>
          <w:kern w:val="0"/>
          <w:sz w:val="32"/>
          <w:szCs w:val="32"/>
          <w:highlight w:val="none"/>
          <w:shd w:val="clear" w:color="auto" w:fill="FFFFFF"/>
        </w:rPr>
      </w:pPr>
      <w:r>
        <w:rPr>
          <w:rFonts w:ascii="Times New Roman" w:hAnsi="Times New Roman" w:eastAsia="黑体" w:cs="Times New Roman"/>
          <w:color w:val="000000"/>
          <w:kern w:val="0"/>
          <w:sz w:val="32"/>
          <w:szCs w:val="32"/>
          <w:highlight w:val="none"/>
          <w:shd w:val="clear" w:color="auto" w:fill="FFFFFF"/>
        </w:rPr>
        <w:t>三、</w:t>
      </w:r>
      <w:r>
        <w:rPr>
          <w:rFonts w:ascii="Times New Roman" w:hAnsi="Times New Roman" w:eastAsia="黑体" w:cs="Times New Roman"/>
          <w:color w:val="000000"/>
          <w:kern w:val="0"/>
          <w:sz w:val="32"/>
          <w:szCs w:val="32"/>
          <w:highlight w:val="none"/>
          <w:u w:val="none"/>
          <w:shd w:val="clear" w:color="auto" w:fill="FFFFFF"/>
        </w:rPr>
        <w:t>部门</w:t>
      </w:r>
      <w:r>
        <w:rPr>
          <w:rFonts w:ascii="Times New Roman" w:hAnsi="Times New Roman" w:eastAsia="黑体" w:cs="Times New Roman"/>
          <w:color w:val="000000"/>
          <w:kern w:val="0"/>
          <w:sz w:val="32"/>
          <w:szCs w:val="32"/>
          <w:highlight w:val="none"/>
          <w:u w:val="none"/>
          <w:shd w:val="clear" w:color="auto" w:fill="FFFFFF"/>
          <w:lang w:eastAsia="zh-CN"/>
        </w:rPr>
        <w:t>预算</w:t>
      </w:r>
      <w:r>
        <w:rPr>
          <w:rFonts w:ascii="Times New Roman" w:hAnsi="Times New Roman" w:eastAsia="黑体" w:cs="Times New Roman"/>
          <w:color w:val="000000"/>
          <w:kern w:val="0"/>
          <w:sz w:val="32"/>
          <w:szCs w:val="32"/>
          <w:highlight w:val="none"/>
          <w:u w:val="none"/>
          <w:shd w:val="clear" w:color="auto" w:fill="FFFFFF"/>
        </w:rPr>
        <w:t>绩效</w:t>
      </w:r>
      <w:r>
        <w:rPr>
          <w:rFonts w:ascii="Times New Roman" w:hAnsi="Times New Roman" w:eastAsia="黑体" w:cs="Times New Roman"/>
          <w:color w:val="000000"/>
          <w:kern w:val="0"/>
          <w:sz w:val="32"/>
          <w:szCs w:val="32"/>
          <w:highlight w:val="none"/>
          <w:u w:val="none"/>
          <w:shd w:val="clear" w:color="auto" w:fill="FFFFFF"/>
          <w:lang w:eastAsia="zh-CN"/>
        </w:rPr>
        <w:t>分析</w:t>
      </w:r>
    </w:p>
    <w:p w14:paraId="49C1AF8D">
      <w:pPr>
        <w:keepNext w:val="0"/>
        <w:keepLines w:val="0"/>
        <w:pageBreakBefore w:val="0"/>
        <w:widowControl w:val="0"/>
        <w:kinsoku/>
        <w:wordWrap/>
        <w:overflowPunct/>
        <w:topLinePunct w:val="0"/>
        <w:autoSpaceDE/>
        <w:autoSpaceDN/>
        <w:bidi w:val="0"/>
        <w:adjustRightInd w:val="0"/>
        <w:snapToGrid w:val="0"/>
        <w:spacing w:line="578" w:lineRule="exact"/>
        <w:ind w:left="0" w:firstLine="643" w:firstLineChars="200"/>
        <w:contextualSpacing/>
        <w:jc w:val="both"/>
        <w:textAlignment w:val="auto"/>
        <w:outlineLvl w:val="9"/>
        <w:rPr>
          <w:rFonts w:hint="eastAsia" w:ascii="Times New Roman" w:hAnsi="Times New Roman" w:eastAsia="方正仿宋_GBK" w:cs="Times New Roman"/>
          <w:sz w:val="32"/>
          <w:szCs w:val="32"/>
          <w:lang w:val="zh-CN" w:eastAsia="zh-CN"/>
        </w:rPr>
      </w:pPr>
      <w:r>
        <w:rPr>
          <w:rFonts w:ascii="Times New Roman" w:hAnsi="Times New Roman" w:eastAsia="楷体_GB2312" w:cs="Times New Roman"/>
          <w:b/>
          <w:bCs/>
          <w:color w:val="000000"/>
          <w:kern w:val="0"/>
          <w:sz w:val="32"/>
          <w:szCs w:val="32"/>
          <w:highlight w:val="none"/>
          <w:shd w:val="clear" w:color="auto" w:fill="FFFFFF"/>
          <w:lang w:val="zh-CN"/>
        </w:rPr>
        <w:t>（一）</w:t>
      </w:r>
      <w:r>
        <w:rPr>
          <w:rFonts w:hint="eastAsia" w:eastAsia="楷体_GB2312" w:cs="Times New Roman"/>
          <w:b/>
          <w:bCs/>
          <w:color w:val="000000"/>
          <w:kern w:val="0"/>
          <w:sz w:val="32"/>
          <w:szCs w:val="32"/>
          <w:highlight w:val="none"/>
          <w:shd w:val="clear" w:color="auto" w:fill="FFFFFF"/>
          <w:lang w:val="zh-CN"/>
        </w:rPr>
        <w:t>部门预算</w:t>
      </w:r>
      <w:r>
        <w:rPr>
          <w:rFonts w:ascii="Times New Roman" w:hAnsi="Times New Roman" w:eastAsia="楷体_GB2312" w:cs="Times New Roman"/>
          <w:b/>
          <w:bCs/>
          <w:color w:val="000000"/>
          <w:kern w:val="0"/>
          <w:sz w:val="32"/>
          <w:szCs w:val="32"/>
          <w:highlight w:val="none"/>
          <w:shd w:val="clear" w:color="auto" w:fill="FFFFFF"/>
          <w:lang w:val="zh-CN"/>
        </w:rPr>
        <w:t>总体绩效分析。</w:t>
      </w:r>
      <w:r>
        <w:rPr>
          <w:rFonts w:hint="eastAsia" w:ascii="Times New Roman" w:hAnsi="Times New Roman" w:eastAsia="方正仿宋_GBK" w:cs="Times New Roman"/>
          <w:sz w:val="32"/>
          <w:szCs w:val="32"/>
          <w:lang w:val="zh-CN" w:eastAsia="zh-CN"/>
        </w:rPr>
        <w:t>根据部门预算绩效评价指标体系“总体绩效”涉及二、三级指标进行逐项绩效分析并评分，依次包括履职效能、预算管理、财务管理、资产管理、采购管理等情况。</w:t>
      </w:r>
    </w:p>
    <w:p w14:paraId="5797613D">
      <w:pPr>
        <w:keepNext w:val="0"/>
        <w:keepLines w:val="0"/>
        <w:pageBreakBefore w:val="0"/>
        <w:widowControl w:val="0"/>
        <w:kinsoku/>
        <w:wordWrap w:val="0"/>
        <w:overflowPunct/>
        <w:topLinePunct w:val="0"/>
        <w:autoSpaceDE w:val="0"/>
        <w:autoSpaceDN w:val="0"/>
        <w:bidi w:val="0"/>
        <w:adjustRightInd w:val="0"/>
        <w:snapToGrid w:val="0"/>
        <w:spacing w:line="578" w:lineRule="exact"/>
        <w:ind w:left="0" w:firstLine="643" w:firstLineChars="200"/>
        <w:contextualSpacing/>
        <w:jc w:val="both"/>
        <w:textAlignment w:val="auto"/>
        <w:outlineLvl w:val="9"/>
        <w:rPr>
          <w:rFonts w:hint="eastAsia" w:ascii="Times New Roman" w:hAnsi="Times New Roman" w:eastAsia="方正仿宋_GBK" w:cs="Times New Roman"/>
          <w:sz w:val="32"/>
          <w:szCs w:val="32"/>
          <w:lang w:val="zh-CN" w:eastAsia="zh-CN"/>
        </w:rPr>
      </w:pPr>
      <w:r>
        <w:rPr>
          <w:rFonts w:hint="eastAsia" w:ascii="楷体_GB2312" w:eastAsia="楷体_GB2312" w:cs="楷体_GB2312"/>
          <w:b/>
          <w:bCs/>
          <w:color w:val="000000"/>
          <w:kern w:val="0"/>
          <w:sz w:val="32"/>
          <w:szCs w:val="32"/>
          <w:highlight w:val="none"/>
          <w:shd w:val="clear" w:color="auto" w:fill="FFFFFF"/>
          <w:lang w:val="en-US" w:eastAsia="zh-CN"/>
        </w:rPr>
        <w:t>1.</w:t>
      </w:r>
      <w:r>
        <w:rPr>
          <w:rFonts w:hint="eastAsia" w:ascii="楷体_GB2312" w:eastAsia="楷体_GB2312" w:cs="楷体_GB2312"/>
          <w:b/>
          <w:bCs/>
          <w:color w:val="000000"/>
          <w:kern w:val="0"/>
          <w:sz w:val="32"/>
          <w:szCs w:val="32"/>
          <w:highlight w:val="none"/>
          <w:shd w:val="clear" w:color="auto" w:fill="FFFFFF"/>
          <w:lang w:val="zh-CN"/>
        </w:rPr>
        <w:t>履职效能。</w:t>
      </w:r>
      <w:r>
        <w:rPr>
          <w:rFonts w:hint="eastAsia" w:ascii="Times New Roman" w:hAnsi="Times New Roman" w:eastAsia="方正仿宋_GBK" w:cs="Times New Roman"/>
          <w:sz w:val="32"/>
          <w:szCs w:val="32"/>
          <w:lang w:val="zh-CN" w:eastAsia="zh-CN"/>
        </w:rPr>
        <w:t>小金县信访局机关在提升履职效能方面，通过优化信访流程、强化责任落实、创新服务模式等措施，显著提高了信访案件的办理效率和质量。</w:t>
      </w:r>
      <w:r>
        <w:rPr>
          <w:rFonts w:hint="eastAsia" w:ascii="Times New Roman" w:hAnsi="Times New Roman" w:eastAsia="方正仿宋_GBK" w:cs="Times New Roman"/>
          <w:sz w:val="32"/>
          <w:szCs w:val="32"/>
          <w:lang w:val="en-US" w:eastAsia="zh-CN"/>
        </w:rPr>
        <w:t>2025年，</w:t>
      </w:r>
      <w:r>
        <w:rPr>
          <w:rFonts w:hint="default" w:ascii="Times New Roman" w:hAnsi="Times New Roman" w:eastAsia="方正仿宋_GBK" w:cs="Times New Roman"/>
          <w:sz w:val="32"/>
          <w:szCs w:val="32"/>
          <w:lang w:val="zh-CN" w:eastAsia="zh-CN"/>
        </w:rPr>
        <w:t>我县信访总量</w:t>
      </w:r>
      <w:r>
        <w:rPr>
          <w:rFonts w:hint="eastAsia" w:ascii="Times New Roman" w:hAnsi="Times New Roman" w:eastAsia="方正仿宋_GBK" w:cs="Times New Roman"/>
          <w:sz w:val="32"/>
          <w:szCs w:val="32"/>
          <w:lang w:val="en-US" w:eastAsia="zh-CN"/>
        </w:rPr>
        <w:t>173</w:t>
      </w:r>
      <w:r>
        <w:rPr>
          <w:rFonts w:hint="default" w:ascii="Times New Roman" w:hAnsi="Times New Roman" w:eastAsia="方正仿宋_GBK" w:cs="Times New Roman"/>
          <w:sz w:val="32"/>
          <w:szCs w:val="32"/>
          <w:lang w:val="zh-CN" w:eastAsia="zh-CN"/>
        </w:rPr>
        <w:t>件</w:t>
      </w:r>
      <w:r>
        <w:rPr>
          <w:rFonts w:hint="eastAsia" w:ascii="Times New Roman" w:hAnsi="Times New Roman" w:eastAsia="方正仿宋_GBK" w:cs="Times New Roman"/>
          <w:sz w:val="32"/>
          <w:szCs w:val="32"/>
          <w:lang w:val="zh-CN" w:eastAsia="zh-CN"/>
        </w:rPr>
        <w:t>，</w:t>
      </w:r>
      <w:r>
        <w:rPr>
          <w:rFonts w:hint="default" w:ascii="Times New Roman" w:hAnsi="Times New Roman" w:eastAsia="方正仿宋_GBK" w:cs="Times New Roman"/>
          <w:sz w:val="32"/>
          <w:szCs w:val="32"/>
          <w:lang w:val="zh-CN" w:eastAsia="zh-CN"/>
        </w:rPr>
        <w:t>同</w:t>
      </w:r>
      <w:r>
        <w:rPr>
          <w:rFonts w:hint="eastAsia" w:ascii="Times New Roman" w:hAnsi="Times New Roman" w:eastAsia="方正仿宋_GBK" w:cs="Times New Roman"/>
          <w:sz w:val="32"/>
          <w:szCs w:val="32"/>
          <w:lang w:val="en-US" w:eastAsia="zh-CN"/>
        </w:rPr>
        <w:t>比减少134</w:t>
      </w:r>
      <w:r>
        <w:rPr>
          <w:rFonts w:hint="default" w:ascii="Times New Roman" w:hAnsi="Times New Roman" w:eastAsia="方正仿宋_GBK" w:cs="Times New Roman"/>
          <w:sz w:val="32"/>
          <w:szCs w:val="32"/>
          <w:lang w:val="zh-CN" w:eastAsia="zh-CN"/>
        </w:rPr>
        <w:t>件，</w:t>
      </w:r>
      <w:r>
        <w:rPr>
          <w:rFonts w:hint="eastAsia" w:ascii="Times New Roman" w:hAnsi="Times New Roman" w:eastAsia="方正仿宋_GBK" w:cs="Times New Roman"/>
          <w:sz w:val="32"/>
          <w:szCs w:val="32"/>
          <w:lang w:val="en-US" w:eastAsia="zh-CN"/>
        </w:rPr>
        <w:t>降低44.08</w:t>
      </w:r>
      <w:r>
        <w:rPr>
          <w:rFonts w:hint="default" w:ascii="Times New Roman" w:hAnsi="Times New Roman" w:eastAsia="方正仿宋_GBK" w:cs="Times New Roman"/>
          <w:sz w:val="32"/>
          <w:szCs w:val="32"/>
          <w:lang w:val="zh-CN" w:eastAsia="zh-CN"/>
        </w:rPr>
        <w:t>％。</w:t>
      </w:r>
      <w:r>
        <w:rPr>
          <w:rFonts w:hint="eastAsia" w:ascii="Times New Roman" w:hAnsi="Times New Roman" w:eastAsia="方正仿宋_GBK" w:cs="Times New Roman"/>
          <w:sz w:val="32"/>
          <w:szCs w:val="32"/>
          <w:lang w:val="en-US" w:eastAsia="zh-CN"/>
        </w:rPr>
        <w:t>信访三率均达到100%。</w:t>
      </w:r>
      <w:r>
        <w:rPr>
          <w:rFonts w:hint="eastAsia" w:ascii="Times New Roman" w:hAnsi="Times New Roman" w:eastAsia="方正仿宋_GBK" w:cs="Times New Roman"/>
          <w:sz w:val="32"/>
          <w:szCs w:val="32"/>
          <w:lang w:val="zh-CN" w:eastAsia="zh-CN"/>
        </w:rPr>
        <w:t>部门预算中，专项用于提升</w:t>
      </w:r>
      <w:r>
        <w:rPr>
          <w:rFonts w:hint="eastAsia" w:ascii="Times New Roman" w:hAnsi="Times New Roman" w:eastAsia="方正仿宋_GBK" w:cs="Times New Roman"/>
          <w:sz w:val="32"/>
          <w:szCs w:val="32"/>
          <w:lang w:val="en-US" w:eastAsia="zh-CN"/>
        </w:rPr>
        <w:t>信访件处理</w:t>
      </w:r>
      <w:r>
        <w:rPr>
          <w:rFonts w:hint="eastAsia" w:ascii="Times New Roman" w:hAnsi="Times New Roman" w:eastAsia="方正仿宋_GBK" w:cs="Times New Roman"/>
          <w:sz w:val="32"/>
          <w:szCs w:val="32"/>
          <w:lang w:val="zh-CN" w:eastAsia="zh-CN"/>
        </w:rPr>
        <w:t>的经费，</w:t>
      </w:r>
      <w:r>
        <w:rPr>
          <w:rFonts w:hint="eastAsia" w:ascii="Times New Roman" w:hAnsi="Times New Roman" w:eastAsia="方正仿宋_GBK" w:cs="Times New Roman"/>
          <w:sz w:val="32"/>
          <w:szCs w:val="32"/>
          <w:lang w:val="en-US" w:eastAsia="zh-CN"/>
        </w:rPr>
        <w:t>有效处理了173件信访件，化解信访矛盾17件</w:t>
      </w:r>
      <w:r>
        <w:rPr>
          <w:rFonts w:hint="eastAsia" w:ascii="Times New Roman" w:hAnsi="Times New Roman" w:eastAsia="方正仿宋_GBK" w:cs="Times New Roman"/>
          <w:sz w:val="32"/>
          <w:szCs w:val="32"/>
          <w:lang w:val="zh-CN" w:eastAsia="zh-CN"/>
        </w:rPr>
        <w:t>。同时，预算还保障了信访接待场所的改造升级，提升了群众来访体验，增强了群众的信任感和满意度。这些投入直接转化为履职效能的提升，体现了预算资金的高效利用。</w:t>
      </w:r>
    </w:p>
    <w:p w14:paraId="0E65E424">
      <w:pPr>
        <w:keepNext w:val="0"/>
        <w:keepLines w:val="0"/>
        <w:pageBreakBefore w:val="0"/>
        <w:widowControl w:val="0"/>
        <w:kinsoku/>
        <w:wordWrap/>
        <w:overflowPunct/>
        <w:topLinePunct w:val="0"/>
        <w:autoSpaceDE/>
        <w:autoSpaceDN/>
        <w:bidi w:val="0"/>
        <w:adjustRightInd w:val="0"/>
        <w:snapToGrid w:val="0"/>
        <w:spacing w:line="578" w:lineRule="exact"/>
        <w:ind w:left="0" w:firstLine="643" w:firstLineChars="200"/>
        <w:contextualSpacing/>
        <w:jc w:val="both"/>
        <w:textAlignment w:val="auto"/>
        <w:outlineLvl w:val="9"/>
        <w:rPr>
          <w:rFonts w:hint="eastAsia" w:ascii="Times New Roman" w:hAnsi="Times New Roman" w:cs="Times New Roman"/>
          <w:color w:val="000000"/>
          <w:kern w:val="0"/>
          <w:sz w:val="32"/>
          <w:szCs w:val="32"/>
          <w:highlight w:val="none"/>
          <w:shd w:val="clear" w:color="auto" w:fill="FFFFFF"/>
          <w:lang w:val="zh-CN"/>
        </w:rPr>
      </w:pPr>
      <w:r>
        <w:rPr>
          <w:rFonts w:hint="eastAsia" w:ascii="楷体_GB2312" w:eastAsia="楷体_GB2312" w:cs="楷体_GB2312"/>
          <w:b/>
          <w:bCs/>
          <w:color w:val="000000"/>
          <w:kern w:val="0"/>
          <w:sz w:val="32"/>
          <w:szCs w:val="32"/>
          <w:highlight w:val="none"/>
          <w:shd w:val="clear" w:color="auto" w:fill="FFFFFF"/>
          <w:lang w:val="en-US" w:eastAsia="zh-CN"/>
        </w:rPr>
        <w:t>2.</w:t>
      </w:r>
      <w:r>
        <w:rPr>
          <w:rFonts w:ascii="楷体_GB2312" w:eastAsia="楷体_GB2312" w:cs="楷体_GB2312"/>
          <w:b/>
          <w:bCs/>
          <w:color w:val="000000"/>
          <w:kern w:val="0"/>
          <w:sz w:val="32"/>
          <w:szCs w:val="32"/>
          <w:highlight w:val="none"/>
          <w:shd w:val="clear" w:color="auto" w:fill="FFFFFF"/>
          <w:lang w:val="zh-CN"/>
        </w:rPr>
        <w:t>预算管理</w:t>
      </w:r>
      <w:r>
        <w:rPr>
          <w:rFonts w:hint="eastAsia" w:ascii="楷体_GB2312" w:eastAsia="楷体_GB2312" w:cs="楷体_GB2312"/>
          <w:b/>
          <w:bCs/>
          <w:color w:val="000000"/>
          <w:kern w:val="0"/>
          <w:sz w:val="32"/>
          <w:szCs w:val="32"/>
          <w:highlight w:val="none"/>
          <w:shd w:val="clear" w:color="auto" w:fill="FFFFFF"/>
          <w:lang w:val="zh-CN"/>
        </w:rPr>
        <w:t>。</w:t>
      </w:r>
      <w:r>
        <w:rPr>
          <w:rFonts w:hint="eastAsia" w:ascii="Times New Roman" w:hAnsi="Times New Roman" w:eastAsia="方正仿宋_GBK" w:cs="Times New Roman"/>
          <w:sz w:val="32"/>
          <w:szCs w:val="32"/>
          <w:lang w:val="zh-CN" w:eastAsia="zh-CN"/>
        </w:rPr>
        <w:t>小金县信访局机关在预算管理上，坚持科学编制、严格执行、强化监督的原则。预算编制过程中，充分考虑了信访工作的实际需求与县财政状况，确保预算的合理性和可行性。执行过程中，严格按照预算计划进行资金拨付和使用，避免了资金的浪费和挪用。同时，建立健全了预算绩效评价体系，定期对预算执行情况进行评估，及时调整优化预算结构，确保预算目标的实现。此外，加强了对预算执行的监督检查，提高了预算的透明度和公信力。</w:t>
      </w:r>
    </w:p>
    <w:p w14:paraId="0866C228">
      <w:pPr>
        <w:keepNext w:val="0"/>
        <w:keepLines w:val="0"/>
        <w:pageBreakBefore w:val="0"/>
        <w:widowControl w:val="0"/>
        <w:kinsoku/>
        <w:wordWrap/>
        <w:overflowPunct/>
        <w:topLinePunct w:val="0"/>
        <w:autoSpaceDE/>
        <w:autoSpaceDN/>
        <w:bidi w:val="0"/>
        <w:adjustRightInd w:val="0"/>
        <w:snapToGrid w:val="0"/>
        <w:spacing w:line="578" w:lineRule="exact"/>
        <w:ind w:left="0" w:firstLine="643" w:firstLineChars="200"/>
        <w:contextualSpacing/>
        <w:jc w:val="both"/>
        <w:textAlignment w:val="auto"/>
        <w:outlineLvl w:val="9"/>
        <w:rPr>
          <w:rFonts w:hint="eastAsia" w:ascii="Times New Roman" w:hAnsi="Times New Roman" w:eastAsia="方正仿宋_GBK" w:cs="Times New Roman"/>
          <w:sz w:val="32"/>
          <w:szCs w:val="32"/>
          <w:lang w:val="zh-CN" w:eastAsia="zh-CN"/>
        </w:rPr>
      </w:pPr>
      <w:r>
        <w:rPr>
          <w:rFonts w:hint="eastAsia" w:ascii="楷体_GB2312" w:eastAsia="楷体_GB2312" w:cs="楷体_GB2312"/>
          <w:b/>
          <w:bCs/>
          <w:color w:val="000000"/>
          <w:kern w:val="0"/>
          <w:sz w:val="32"/>
          <w:szCs w:val="32"/>
          <w:highlight w:val="none"/>
          <w:shd w:val="clear" w:color="auto" w:fill="FFFFFF"/>
          <w:lang w:val="en-US" w:eastAsia="zh-CN"/>
        </w:rPr>
        <w:t>3.</w:t>
      </w:r>
      <w:r>
        <w:rPr>
          <w:rFonts w:ascii="楷体_GB2312" w:eastAsia="楷体_GB2312" w:cs="楷体_GB2312"/>
          <w:b/>
          <w:bCs/>
          <w:color w:val="000000"/>
          <w:kern w:val="0"/>
          <w:sz w:val="32"/>
          <w:szCs w:val="32"/>
          <w:highlight w:val="none"/>
          <w:shd w:val="clear" w:color="auto" w:fill="FFFFFF"/>
          <w:lang w:val="zh-CN"/>
        </w:rPr>
        <w:t>财务管理</w:t>
      </w:r>
      <w:r>
        <w:rPr>
          <w:rFonts w:hint="eastAsia" w:ascii="楷体_GB2312" w:eastAsia="楷体_GB2312" w:cs="楷体_GB2312"/>
          <w:b/>
          <w:bCs/>
          <w:color w:val="000000"/>
          <w:kern w:val="0"/>
          <w:sz w:val="32"/>
          <w:szCs w:val="32"/>
          <w:highlight w:val="none"/>
          <w:shd w:val="clear" w:color="auto" w:fill="FFFFFF"/>
          <w:lang w:val="zh-CN"/>
        </w:rPr>
        <w:t>。</w:t>
      </w:r>
      <w:r>
        <w:rPr>
          <w:rFonts w:hint="eastAsia" w:ascii="Times New Roman" w:hAnsi="Times New Roman" w:eastAsia="方正仿宋_GBK" w:cs="Times New Roman"/>
          <w:sz w:val="32"/>
          <w:szCs w:val="32"/>
          <w:lang w:val="zh-CN" w:eastAsia="zh-CN"/>
        </w:rPr>
        <w:t>小金县信访局机关在财务管理方面，注重内部控制制度的建立和完善，明确了岗位职责，规范了财务操作流程，有效防范了财务风险。通过实施财务集中核算，提高了资金使用的规范性和效率。同时，加强了对财务数据的分析和利用，为决策提供有力支持。此外，还积极推行财务信息公开，主动接受社会监督，提升了财务管理的透明度和公众的信任度。</w:t>
      </w:r>
    </w:p>
    <w:p w14:paraId="348D5B04">
      <w:pPr>
        <w:keepNext w:val="0"/>
        <w:keepLines w:val="0"/>
        <w:pageBreakBefore w:val="0"/>
        <w:widowControl w:val="0"/>
        <w:kinsoku/>
        <w:wordWrap/>
        <w:overflowPunct/>
        <w:topLinePunct w:val="0"/>
        <w:autoSpaceDE/>
        <w:autoSpaceDN/>
        <w:bidi w:val="0"/>
        <w:adjustRightInd w:val="0"/>
        <w:snapToGrid w:val="0"/>
        <w:spacing w:line="578" w:lineRule="exact"/>
        <w:ind w:left="0" w:firstLine="643" w:firstLineChars="200"/>
        <w:contextualSpacing/>
        <w:jc w:val="both"/>
        <w:textAlignment w:val="auto"/>
        <w:outlineLvl w:val="9"/>
        <w:rPr>
          <w:rFonts w:hint="eastAsia" w:ascii="Times New Roman" w:hAnsi="Times New Roman" w:cs="Times New Roman"/>
          <w:color w:val="000000"/>
          <w:kern w:val="0"/>
          <w:sz w:val="32"/>
          <w:szCs w:val="32"/>
          <w:highlight w:val="none"/>
          <w:shd w:val="clear" w:color="auto" w:fill="FFFFFF"/>
          <w:lang w:val="zh-CN"/>
        </w:rPr>
      </w:pPr>
      <w:r>
        <w:rPr>
          <w:rFonts w:hint="eastAsia" w:ascii="楷体_GB2312" w:eastAsia="楷体_GB2312" w:cs="楷体_GB2312"/>
          <w:b/>
          <w:bCs/>
          <w:color w:val="000000"/>
          <w:kern w:val="0"/>
          <w:sz w:val="32"/>
          <w:szCs w:val="32"/>
          <w:highlight w:val="none"/>
          <w:shd w:val="clear" w:color="auto" w:fill="FFFFFF"/>
          <w:lang w:val="en-US" w:eastAsia="zh-CN"/>
        </w:rPr>
        <w:t>4.</w:t>
      </w:r>
      <w:r>
        <w:rPr>
          <w:rFonts w:ascii="楷体_GB2312" w:eastAsia="楷体_GB2312" w:cs="楷体_GB2312"/>
          <w:b/>
          <w:bCs/>
          <w:color w:val="000000"/>
          <w:kern w:val="0"/>
          <w:sz w:val="32"/>
          <w:szCs w:val="32"/>
          <w:highlight w:val="none"/>
          <w:shd w:val="clear" w:color="auto" w:fill="FFFFFF"/>
          <w:lang w:val="zh-CN"/>
        </w:rPr>
        <w:t>资产管理</w:t>
      </w:r>
      <w:r>
        <w:rPr>
          <w:rFonts w:hint="eastAsia" w:ascii="楷体_GB2312" w:eastAsia="楷体_GB2312" w:cs="楷体_GB2312"/>
          <w:b/>
          <w:bCs/>
          <w:color w:val="000000"/>
          <w:kern w:val="0"/>
          <w:sz w:val="32"/>
          <w:szCs w:val="32"/>
          <w:highlight w:val="none"/>
          <w:shd w:val="clear" w:color="auto" w:fill="FFFFFF"/>
          <w:lang w:val="zh-CN"/>
        </w:rPr>
        <w:t>。</w:t>
      </w:r>
      <w:r>
        <w:rPr>
          <w:rFonts w:hint="eastAsia" w:ascii="Times New Roman" w:hAnsi="Times New Roman" w:eastAsia="方正仿宋_GBK" w:cs="Times New Roman"/>
          <w:sz w:val="32"/>
          <w:szCs w:val="32"/>
          <w:lang w:val="zh-CN" w:eastAsia="zh-CN"/>
        </w:rPr>
        <w:t>小金县信访局机关在资产管理中，坚持“谁使用、谁负责”的原则，明确了资产的保管责任和使用要求。通过建立健全资产管理制度，规范了资产的采购、验收、登记、使用、处置等各个环节，确保了资产的安全完整和有效利用。同时，定期对资产进行清查盘点，及时发现并处理资产管理中存在的问题，防止了资产流失和浪费。</w:t>
      </w:r>
    </w:p>
    <w:p w14:paraId="3890EC65">
      <w:pPr>
        <w:keepNext w:val="0"/>
        <w:keepLines w:val="0"/>
        <w:pageBreakBefore w:val="0"/>
        <w:widowControl w:val="0"/>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eastAsia" w:ascii="Times New Roman" w:hAnsi="Times New Roman" w:eastAsia="方正仿宋_GBK" w:cs="Times New Roman"/>
          <w:sz w:val="32"/>
          <w:szCs w:val="32"/>
          <w:lang w:val="zh-CN" w:eastAsia="zh-CN"/>
        </w:rPr>
      </w:pPr>
      <w:r>
        <w:rPr>
          <w:rFonts w:hint="eastAsia" w:ascii="楷体_GB2312" w:hAnsi="Times New Roman" w:eastAsia="楷体_GB2312" w:cs="楷体_GB2312"/>
          <w:b/>
          <w:bCs/>
          <w:color w:val="000000"/>
          <w:kern w:val="0"/>
          <w:sz w:val="32"/>
          <w:szCs w:val="32"/>
          <w:highlight w:val="none"/>
          <w:shd w:val="clear" w:color="auto" w:fill="FFFFFF"/>
          <w:lang w:val="en-US" w:eastAsia="zh-CN"/>
        </w:rPr>
        <w:t>5.</w:t>
      </w:r>
      <w:r>
        <w:rPr>
          <w:rFonts w:ascii="楷体_GB2312" w:hAnsi="Times New Roman" w:eastAsia="楷体_GB2312" w:cs="楷体_GB2312"/>
          <w:b/>
          <w:bCs/>
          <w:color w:val="000000"/>
          <w:kern w:val="0"/>
          <w:sz w:val="32"/>
          <w:szCs w:val="32"/>
          <w:highlight w:val="none"/>
          <w:shd w:val="clear" w:color="auto" w:fill="FFFFFF"/>
          <w:lang w:val="zh-CN"/>
        </w:rPr>
        <w:t>采购管理</w:t>
      </w:r>
      <w:r>
        <w:rPr>
          <w:rFonts w:hint="eastAsia" w:ascii="楷体_GB2312" w:hAnsi="Times New Roman" w:eastAsia="楷体_GB2312" w:cs="楷体_GB2312"/>
          <w:b/>
          <w:bCs/>
          <w:color w:val="000000"/>
          <w:kern w:val="0"/>
          <w:sz w:val="32"/>
          <w:szCs w:val="32"/>
          <w:highlight w:val="none"/>
          <w:shd w:val="clear" w:color="auto" w:fill="FFFFFF"/>
          <w:lang w:val="zh-CN"/>
        </w:rPr>
        <w:t>。</w:t>
      </w:r>
      <w:r>
        <w:rPr>
          <w:rFonts w:hint="eastAsia" w:ascii="Times New Roman" w:hAnsi="Times New Roman" w:eastAsia="方正仿宋_GBK" w:cs="Times New Roman"/>
          <w:sz w:val="32"/>
          <w:szCs w:val="32"/>
          <w:lang w:val="en-US" w:eastAsia="zh-CN"/>
        </w:rPr>
        <w:t>小金县信访局机关近两年来没有政府采购项目，但经后，如有采购我局会</w:t>
      </w:r>
      <w:r>
        <w:rPr>
          <w:rFonts w:hint="eastAsia" w:ascii="Times New Roman" w:hAnsi="Times New Roman" w:eastAsia="方正仿宋_GBK" w:cs="Times New Roman"/>
          <w:sz w:val="32"/>
          <w:szCs w:val="32"/>
          <w:lang w:val="zh-CN" w:eastAsia="zh-CN"/>
        </w:rPr>
        <w:t>严格遵守政府采购法律法规，规范了采购程序和方式。通过公开招标、竞争性谈判等方式，确保了采购活动的公平、公正和透明。同时，加强对采购项</w:t>
      </w:r>
      <w:r>
        <w:rPr>
          <w:rFonts w:hint="eastAsia" w:ascii="Times New Roman" w:hAnsi="Times New Roman" w:eastAsia="方正仿宋_GBK" w:cs="Times New Roman"/>
          <w:spacing w:val="-11"/>
          <w:sz w:val="32"/>
          <w:szCs w:val="32"/>
          <w:lang w:val="zh-CN" w:eastAsia="zh-CN"/>
        </w:rPr>
        <w:t>目的预算管理和成本控制，确保采购资金的使用效益最大化。</w:t>
      </w:r>
    </w:p>
    <w:p w14:paraId="10C658DF">
      <w:pPr>
        <w:keepNext w:val="0"/>
        <w:keepLines w:val="0"/>
        <w:pageBreakBefore w:val="0"/>
        <w:widowControl w:val="0"/>
        <w:kinsoku/>
        <w:wordWrap/>
        <w:overflowPunct/>
        <w:topLinePunct w:val="0"/>
        <w:autoSpaceDE/>
        <w:autoSpaceDN/>
        <w:bidi w:val="0"/>
        <w:adjustRightInd w:val="0"/>
        <w:snapToGrid w:val="0"/>
        <w:spacing w:line="578" w:lineRule="exact"/>
        <w:ind w:left="0" w:firstLine="643" w:firstLineChars="200"/>
        <w:contextualSpacing/>
        <w:jc w:val="both"/>
        <w:textAlignment w:val="auto"/>
        <w:outlineLvl w:val="9"/>
        <w:rPr>
          <w:rFonts w:ascii="Times New Roman" w:hAnsi="Times New Roman" w:eastAsia="楷体_GB2312" w:cs="Times New Roman"/>
          <w:b/>
          <w:bCs/>
          <w:color w:val="000000"/>
          <w:kern w:val="0"/>
          <w:sz w:val="32"/>
          <w:szCs w:val="32"/>
          <w:highlight w:val="none"/>
          <w:shd w:val="clear" w:color="auto" w:fill="FFFFFF"/>
          <w:lang w:val="zh-CN"/>
        </w:rPr>
      </w:pPr>
      <w:r>
        <w:rPr>
          <w:rFonts w:ascii="Times New Roman" w:hAnsi="Times New Roman" w:eastAsia="楷体_GB2312" w:cs="Times New Roman"/>
          <w:b/>
          <w:bCs/>
          <w:color w:val="000000"/>
          <w:kern w:val="0"/>
          <w:sz w:val="32"/>
          <w:szCs w:val="32"/>
          <w:highlight w:val="none"/>
          <w:shd w:val="clear" w:color="auto" w:fill="FFFFFF"/>
          <w:lang w:val="zh-CN"/>
        </w:rPr>
        <w:t>（二）部门预算项目绩效分析。</w:t>
      </w:r>
    </w:p>
    <w:p w14:paraId="2E20532D">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方正仿宋_GBK" w:cs="Times New Roman"/>
          <w:sz w:val="32"/>
          <w:szCs w:val="32"/>
          <w:lang w:val="zh-CN" w:eastAsia="zh-CN"/>
        </w:rPr>
      </w:pPr>
      <w:r>
        <w:rPr>
          <w:rFonts w:hint="eastAsia" w:ascii="Times New Roman" w:hAnsi="Times New Roman" w:eastAsia="方正仿宋_GBK" w:cs="Times New Roman"/>
          <w:sz w:val="32"/>
          <w:szCs w:val="32"/>
          <w:lang w:val="en-US" w:eastAsia="zh-CN"/>
        </w:rPr>
        <w:t>常年项目绩效分析。</w:t>
      </w:r>
      <w:r>
        <w:rPr>
          <w:rFonts w:hint="eastAsia" w:ascii="Times New Roman" w:hAnsi="Times New Roman" w:eastAsia="方正仿宋_GBK" w:cs="Times New Roman"/>
          <w:sz w:val="32"/>
          <w:szCs w:val="32"/>
          <w:lang w:val="zh-CN" w:eastAsia="zh-CN"/>
        </w:rPr>
        <w:t>该类项目总数</w:t>
      </w:r>
      <w:r>
        <w:rPr>
          <w:rFonts w:hint="eastAsia" w:ascii="Times New Roman" w:hAnsi="Times New Roman" w:eastAsia="方正仿宋_GBK" w:cs="Times New Roman"/>
          <w:sz w:val="32"/>
          <w:szCs w:val="32"/>
          <w:lang w:val="en-US" w:eastAsia="zh-CN"/>
        </w:rPr>
        <w:t>1</w:t>
      </w:r>
      <w:r>
        <w:rPr>
          <w:rFonts w:hint="eastAsia" w:ascii="Times New Roman" w:hAnsi="Times New Roman" w:eastAsia="方正仿宋_GBK" w:cs="Times New Roman"/>
          <w:sz w:val="32"/>
          <w:szCs w:val="32"/>
          <w:lang w:val="zh-CN" w:eastAsia="zh-CN"/>
        </w:rPr>
        <w:t>个，涉及预算总金额</w:t>
      </w:r>
      <w:r>
        <w:rPr>
          <w:rFonts w:hint="eastAsia" w:ascii="Times New Roman" w:hAnsi="Times New Roman" w:eastAsia="方正仿宋_GBK" w:cs="Times New Roman"/>
          <w:sz w:val="32"/>
          <w:szCs w:val="32"/>
          <w:lang w:val="en-US" w:eastAsia="zh-CN"/>
        </w:rPr>
        <w:t>14.14</w:t>
      </w:r>
      <w:r>
        <w:rPr>
          <w:rFonts w:hint="eastAsia" w:ascii="Times New Roman" w:hAnsi="Times New Roman" w:eastAsia="方正仿宋_GBK" w:cs="Times New Roman"/>
          <w:sz w:val="32"/>
          <w:szCs w:val="32"/>
          <w:lang w:val="zh-CN" w:eastAsia="zh-CN"/>
        </w:rPr>
        <w:t>万元，1—1</w:t>
      </w:r>
      <w:r>
        <w:rPr>
          <w:rFonts w:hint="eastAsia" w:ascii="Times New Roman" w:hAnsi="Times New Roman" w:eastAsia="方正仿宋_GBK" w:cs="Times New Roman"/>
          <w:sz w:val="32"/>
          <w:szCs w:val="32"/>
          <w:lang w:val="en-US" w:eastAsia="zh-CN"/>
        </w:rPr>
        <w:t>2</w:t>
      </w:r>
      <w:r>
        <w:rPr>
          <w:rFonts w:hint="eastAsia" w:ascii="Times New Roman" w:hAnsi="Times New Roman" w:eastAsia="方正仿宋_GBK" w:cs="Times New Roman"/>
          <w:sz w:val="32"/>
          <w:szCs w:val="32"/>
          <w:lang w:val="zh-CN" w:eastAsia="zh-CN"/>
        </w:rPr>
        <w:t>月预算执行总体进度为</w:t>
      </w:r>
      <w:r>
        <w:rPr>
          <w:rFonts w:hint="eastAsia" w:ascii="Times New Roman" w:hAnsi="Times New Roman" w:eastAsia="方正仿宋_GBK" w:cs="Times New Roman"/>
          <w:sz w:val="32"/>
          <w:szCs w:val="32"/>
          <w:lang w:val="en-US" w:eastAsia="zh-CN"/>
        </w:rPr>
        <w:t>100</w:t>
      </w:r>
      <w:r>
        <w:rPr>
          <w:rFonts w:hint="eastAsia" w:ascii="Times New Roman" w:hAnsi="Times New Roman" w:eastAsia="方正仿宋_GBK" w:cs="Times New Roman"/>
          <w:sz w:val="32"/>
          <w:szCs w:val="32"/>
          <w:lang w:val="zh-CN" w:eastAsia="zh-CN"/>
        </w:rPr>
        <w:t>%，其中：预算结余率大于</w:t>
      </w:r>
      <w:r>
        <w:rPr>
          <w:rFonts w:hint="eastAsia" w:ascii="Times New Roman" w:hAnsi="Times New Roman" w:eastAsia="方正仿宋_GBK" w:cs="Times New Roman"/>
          <w:sz w:val="32"/>
          <w:szCs w:val="32"/>
          <w:lang w:val="en-US" w:eastAsia="zh-CN"/>
        </w:rPr>
        <w:t>10%</w:t>
      </w:r>
      <w:r>
        <w:rPr>
          <w:rFonts w:hint="eastAsia" w:ascii="Times New Roman" w:hAnsi="Times New Roman" w:eastAsia="方正仿宋_GBK" w:cs="Times New Roman"/>
          <w:sz w:val="32"/>
          <w:szCs w:val="32"/>
          <w:lang w:val="zh-CN" w:eastAsia="zh-CN"/>
        </w:rPr>
        <w:t>的项目共计</w:t>
      </w:r>
      <w:r>
        <w:rPr>
          <w:rFonts w:hint="eastAsia" w:ascii="Times New Roman" w:hAnsi="Times New Roman" w:eastAsia="方正仿宋_GBK" w:cs="Times New Roman"/>
          <w:sz w:val="32"/>
          <w:szCs w:val="32"/>
          <w:lang w:val="en-US" w:eastAsia="zh-CN"/>
        </w:rPr>
        <w:t>0</w:t>
      </w:r>
      <w:r>
        <w:rPr>
          <w:rFonts w:hint="eastAsia" w:ascii="Times New Roman" w:hAnsi="Times New Roman" w:eastAsia="方正仿宋_GBK" w:cs="Times New Roman"/>
          <w:sz w:val="32"/>
          <w:szCs w:val="32"/>
          <w:lang w:val="zh-CN" w:eastAsia="zh-CN"/>
        </w:rPr>
        <w:t>个。</w:t>
      </w:r>
    </w:p>
    <w:p w14:paraId="764E9E86">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方正仿宋_GBK" w:cs="Times New Roman"/>
          <w:sz w:val="32"/>
          <w:szCs w:val="32"/>
          <w:lang w:val="zh-CN" w:eastAsia="zh-CN"/>
        </w:rPr>
      </w:pPr>
      <w:r>
        <w:rPr>
          <w:rFonts w:hint="eastAsia" w:ascii="Times New Roman" w:hAnsi="Times New Roman" w:eastAsia="方正仿宋_GBK" w:cs="Times New Roman"/>
          <w:sz w:val="32"/>
          <w:szCs w:val="32"/>
          <w:lang w:val="en-US" w:eastAsia="zh-CN"/>
        </w:rPr>
        <w:t>阶段（一次性）项目绩效分析。</w:t>
      </w:r>
      <w:r>
        <w:rPr>
          <w:rFonts w:hint="eastAsia" w:ascii="Times New Roman" w:hAnsi="Times New Roman" w:eastAsia="方正仿宋_GBK" w:cs="Times New Roman"/>
          <w:sz w:val="32"/>
          <w:szCs w:val="32"/>
          <w:lang w:val="zh-CN" w:eastAsia="zh-CN"/>
        </w:rPr>
        <w:t>该类项目总数</w:t>
      </w:r>
      <w:r>
        <w:rPr>
          <w:rFonts w:hint="eastAsia" w:ascii="Times New Roman" w:hAnsi="Times New Roman" w:eastAsia="方正仿宋_GBK" w:cs="Times New Roman"/>
          <w:sz w:val="32"/>
          <w:szCs w:val="32"/>
          <w:lang w:val="en-US" w:eastAsia="zh-CN"/>
        </w:rPr>
        <w:t>0</w:t>
      </w:r>
      <w:r>
        <w:rPr>
          <w:rFonts w:hint="eastAsia" w:ascii="Times New Roman" w:hAnsi="Times New Roman" w:eastAsia="方正仿宋_GBK" w:cs="Times New Roman"/>
          <w:sz w:val="32"/>
          <w:szCs w:val="32"/>
          <w:lang w:val="zh-CN" w:eastAsia="zh-CN"/>
        </w:rPr>
        <w:t>个，涉及预算总金额</w:t>
      </w:r>
      <w:r>
        <w:rPr>
          <w:rFonts w:hint="eastAsia" w:ascii="Times New Roman" w:hAnsi="Times New Roman" w:eastAsia="方正仿宋_GBK" w:cs="Times New Roman"/>
          <w:sz w:val="32"/>
          <w:szCs w:val="32"/>
          <w:lang w:val="en-US" w:eastAsia="zh-CN"/>
        </w:rPr>
        <w:t>0</w:t>
      </w:r>
      <w:r>
        <w:rPr>
          <w:rFonts w:hint="eastAsia" w:ascii="Times New Roman" w:hAnsi="Times New Roman" w:eastAsia="方正仿宋_GBK" w:cs="Times New Roman"/>
          <w:sz w:val="32"/>
          <w:szCs w:val="32"/>
          <w:lang w:val="zh-CN" w:eastAsia="zh-CN"/>
        </w:rPr>
        <w:t>万元，1—1</w:t>
      </w:r>
      <w:r>
        <w:rPr>
          <w:rFonts w:hint="eastAsia" w:ascii="Times New Roman" w:hAnsi="Times New Roman" w:eastAsia="方正仿宋_GBK" w:cs="Times New Roman"/>
          <w:sz w:val="32"/>
          <w:szCs w:val="32"/>
          <w:lang w:val="en-US" w:eastAsia="zh-CN"/>
        </w:rPr>
        <w:t>2</w:t>
      </w:r>
      <w:r>
        <w:rPr>
          <w:rFonts w:hint="eastAsia" w:ascii="Times New Roman" w:hAnsi="Times New Roman" w:eastAsia="方正仿宋_GBK" w:cs="Times New Roman"/>
          <w:sz w:val="32"/>
          <w:szCs w:val="32"/>
          <w:lang w:val="zh-CN" w:eastAsia="zh-CN"/>
        </w:rPr>
        <w:t>月预算执行总体进度为</w:t>
      </w:r>
      <w:r>
        <w:rPr>
          <w:rFonts w:hint="eastAsia" w:ascii="Times New Roman" w:hAnsi="Times New Roman" w:eastAsia="方正仿宋_GBK" w:cs="Times New Roman"/>
          <w:sz w:val="32"/>
          <w:szCs w:val="32"/>
          <w:lang w:val="en-US" w:eastAsia="zh-CN"/>
        </w:rPr>
        <w:t>0</w:t>
      </w:r>
      <w:r>
        <w:rPr>
          <w:rFonts w:hint="eastAsia" w:ascii="Times New Roman" w:hAnsi="Times New Roman" w:eastAsia="方正仿宋_GBK" w:cs="Times New Roman"/>
          <w:sz w:val="32"/>
          <w:szCs w:val="32"/>
          <w:lang w:val="zh-CN" w:eastAsia="zh-CN"/>
        </w:rPr>
        <w:t>%，其中：预算结余率大于</w:t>
      </w:r>
      <w:r>
        <w:rPr>
          <w:rFonts w:hint="eastAsia" w:ascii="Times New Roman" w:hAnsi="Times New Roman" w:eastAsia="方正仿宋_GBK" w:cs="Times New Roman"/>
          <w:sz w:val="32"/>
          <w:szCs w:val="32"/>
          <w:lang w:val="en-US" w:eastAsia="zh-CN"/>
        </w:rPr>
        <w:t>10%</w:t>
      </w:r>
      <w:r>
        <w:rPr>
          <w:rFonts w:hint="eastAsia" w:ascii="Times New Roman" w:hAnsi="Times New Roman" w:eastAsia="方正仿宋_GBK" w:cs="Times New Roman"/>
          <w:sz w:val="32"/>
          <w:szCs w:val="32"/>
          <w:lang w:val="zh-CN" w:eastAsia="zh-CN"/>
        </w:rPr>
        <w:t>的项目共计</w:t>
      </w:r>
      <w:r>
        <w:rPr>
          <w:rFonts w:hint="eastAsia" w:ascii="Times New Roman" w:hAnsi="Times New Roman" w:eastAsia="方正仿宋_GBK" w:cs="Times New Roman"/>
          <w:sz w:val="32"/>
          <w:szCs w:val="32"/>
          <w:lang w:val="en-US" w:eastAsia="zh-CN"/>
        </w:rPr>
        <w:t>0</w:t>
      </w:r>
      <w:r>
        <w:rPr>
          <w:rFonts w:hint="eastAsia" w:ascii="Times New Roman" w:hAnsi="Times New Roman" w:eastAsia="方正仿宋_GBK" w:cs="Times New Roman"/>
          <w:sz w:val="32"/>
          <w:szCs w:val="32"/>
          <w:lang w:val="zh-CN" w:eastAsia="zh-CN"/>
        </w:rPr>
        <w:t>个。</w:t>
      </w:r>
    </w:p>
    <w:p w14:paraId="721E31CF">
      <w:pPr>
        <w:keepNext w:val="0"/>
        <w:keepLines w:val="0"/>
        <w:pageBreakBefore w:val="0"/>
        <w:widowControl w:val="0"/>
        <w:kinsoku/>
        <w:wordWrap/>
        <w:overflowPunct/>
        <w:topLinePunct w:val="0"/>
        <w:autoSpaceDE/>
        <w:autoSpaceDN/>
        <w:bidi w:val="0"/>
        <w:adjustRightInd w:val="0"/>
        <w:snapToGrid w:val="0"/>
        <w:spacing w:line="578" w:lineRule="exact"/>
        <w:ind w:left="0" w:firstLine="643" w:firstLineChars="200"/>
        <w:contextualSpacing/>
        <w:jc w:val="both"/>
        <w:textAlignment w:val="auto"/>
        <w:outlineLvl w:val="9"/>
        <w:rPr>
          <w:rFonts w:hint="eastAsia" w:ascii="Times New Roman" w:hAnsi="Times New Roman" w:eastAsia="方正仿宋_GBK" w:cs="Times New Roman"/>
          <w:sz w:val="32"/>
          <w:szCs w:val="32"/>
          <w:lang w:val="en-US" w:eastAsia="zh-CN"/>
        </w:rPr>
      </w:pPr>
      <w:r>
        <w:rPr>
          <w:rFonts w:hint="eastAsia" w:cs="Times New Roman"/>
          <w:b/>
          <w:bCs/>
          <w:color w:val="000000"/>
          <w:kern w:val="0"/>
          <w:sz w:val="32"/>
          <w:szCs w:val="32"/>
          <w:highlight w:val="none"/>
          <w:shd w:val="clear" w:color="auto" w:fill="FFFFFF"/>
          <w:lang w:val="en-US" w:eastAsia="zh-CN"/>
        </w:rPr>
        <w:t>1.</w:t>
      </w:r>
      <w:r>
        <w:rPr>
          <w:rFonts w:hint="eastAsia" w:ascii="楷体_GB2312" w:eastAsia="楷体_GB2312" w:cs="楷体_GB2312"/>
          <w:b/>
          <w:bCs/>
          <w:color w:val="000000"/>
          <w:kern w:val="0"/>
          <w:sz w:val="32"/>
          <w:szCs w:val="32"/>
          <w:highlight w:val="none"/>
          <w:shd w:val="clear" w:color="auto" w:fill="FFFFFF"/>
          <w:lang w:val="zh-CN"/>
        </w:rPr>
        <w:t>项目决策。</w:t>
      </w:r>
      <w:r>
        <w:rPr>
          <w:rFonts w:hint="eastAsia" w:ascii="Times New Roman" w:hAnsi="Times New Roman" w:eastAsia="方正仿宋_GBK" w:cs="Times New Roman"/>
          <w:sz w:val="32"/>
          <w:szCs w:val="32"/>
          <w:lang w:val="en-US" w:eastAsia="zh-CN"/>
        </w:rPr>
        <w:t>小金县信访局机关在项目决策阶段，坚持问题导向，紧密结合县域实际和群众关切，科学规划预算项目。首先，通过广泛调研，深入了解当前信访工作面临的痛点难点，如案件积压、处理效率低下等。结合政策导向和财政承受能力，精准定位预算项目，确保项目既符合实际需求，又具有前瞻性和可操作性。同时，强化预算编制的透明度和公众参与，确保项目决策的科学性和民主性。</w:t>
      </w:r>
    </w:p>
    <w:p w14:paraId="625B7B3B">
      <w:pPr>
        <w:keepNext w:val="0"/>
        <w:keepLines w:val="0"/>
        <w:pageBreakBefore w:val="0"/>
        <w:widowControl w:val="0"/>
        <w:kinsoku/>
        <w:wordWrap/>
        <w:overflowPunct/>
        <w:topLinePunct w:val="0"/>
        <w:autoSpaceDE/>
        <w:autoSpaceDN/>
        <w:bidi w:val="0"/>
        <w:adjustRightInd w:val="0"/>
        <w:snapToGrid w:val="0"/>
        <w:spacing w:line="578" w:lineRule="exact"/>
        <w:ind w:left="0" w:firstLine="643" w:firstLineChars="200"/>
        <w:contextualSpacing/>
        <w:jc w:val="both"/>
        <w:textAlignment w:val="auto"/>
        <w:outlineLvl w:val="9"/>
        <w:rPr>
          <w:rFonts w:hint="eastAsia" w:ascii="Times New Roman" w:hAnsi="Times New Roman" w:eastAsia="方正仿宋_GBK" w:cs="Times New Roman"/>
          <w:sz w:val="32"/>
          <w:szCs w:val="32"/>
          <w:lang w:val="en-US" w:eastAsia="zh-CN"/>
        </w:rPr>
      </w:pPr>
      <w:r>
        <w:rPr>
          <w:rFonts w:hint="eastAsia" w:ascii="楷体_GB2312" w:hAnsi="Times New Roman" w:eastAsia="楷体_GB2312" w:cs="楷体_GB2312"/>
          <w:b/>
          <w:bCs/>
          <w:color w:val="000000"/>
          <w:kern w:val="0"/>
          <w:sz w:val="32"/>
          <w:szCs w:val="32"/>
          <w:highlight w:val="none"/>
          <w:shd w:val="clear" w:color="auto" w:fill="FFFFFF"/>
          <w:lang w:val="en-US" w:eastAsia="zh-CN"/>
        </w:rPr>
        <w:t>2.项目执行</w:t>
      </w:r>
      <w:r>
        <w:rPr>
          <w:rFonts w:hint="eastAsia" w:ascii="楷体_GB2312" w:hAnsi="Times New Roman" w:eastAsia="楷体_GB2312" w:cs="楷体_GB2312"/>
          <w:b/>
          <w:bCs/>
          <w:color w:val="000000"/>
          <w:kern w:val="0"/>
          <w:sz w:val="32"/>
          <w:szCs w:val="32"/>
          <w:highlight w:val="none"/>
          <w:shd w:val="clear" w:color="auto" w:fill="FFFFFF"/>
          <w:lang w:val="zh-CN"/>
        </w:rPr>
        <w:t>。</w:t>
      </w:r>
      <w:r>
        <w:rPr>
          <w:rFonts w:hint="eastAsia" w:ascii="Times New Roman" w:hAnsi="Times New Roman" w:eastAsia="方正仿宋_GBK" w:cs="Times New Roman"/>
          <w:sz w:val="32"/>
          <w:szCs w:val="32"/>
          <w:lang w:val="en-US" w:eastAsia="zh-CN"/>
        </w:rPr>
        <w:t>小金县信访局机关在项目执行过程中，建立了完善的项目管理制度，明确了责任分工和时间节点，确保项目有序推进。一方面，加强资金监管，实行专款专用，严格把控资金使用方向，防止资金挪用和浪费。另一方面，注重过程监控，定期组织项目进展评估，及时发现并纠正执行中的问题，确保项目按质按量完成。此外，还注重信息化手段的应用，通过建立信访信息管理系统，提高案件处理效率和群众满意度。</w:t>
      </w:r>
    </w:p>
    <w:p w14:paraId="589AE40F">
      <w:pPr>
        <w:keepNext w:val="0"/>
        <w:keepLines w:val="0"/>
        <w:pageBreakBefore w:val="0"/>
        <w:widowControl w:val="0"/>
        <w:kinsoku/>
        <w:wordWrap/>
        <w:overflowPunct/>
        <w:topLinePunct w:val="0"/>
        <w:autoSpaceDE/>
        <w:autoSpaceDN/>
        <w:bidi w:val="0"/>
        <w:adjustRightInd w:val="0"/>
        <w:snapToGrid w:val="0"/>
        <w:spacing w:line="578" w:lineRule="exact"/>
        <w:ind w:left="0" w:firstLine="643" w:firstLineChars="200"/>
        <w:contextualSpacing/>
        <w:jc w:val="both"/>
        <w:textAlignment w:val="auto"/>
        <w:outlineLvl w:val="9"/>
        <w:rPr>
          <w:rFonts w:hint="eastAsia" w:ascii="Times New Roman" w:hAnsi="Times New Roman" w:eastAsia="方正仿宋_GBK" w:cs="Times New Roman"/>
          <w:sz w:val="32"/>
          <w:szCs w:val="32"/>
          <w:lang w:val="zh-CN" w:eastAsia="zh-CN"/>
        </w:rPr>
      </w:pPr>
      <w:r>
        <w:rPr>
          <w:rFonts w:hint="eastAsia" w:ascii="楷体_GB2312" w:eastAsia="楷体_GB2312" w:cs="楷体_GB2312"/>
          <w:b/>
          <w:bCs/>
          <w:color w:val="000000"/>
          <w:kern w:val="0"/>
          <w:sz w:val="32"/>
          <w:szCs w:val="32"/>
          <w:highlight w:val="none"/>
          <w:shd w:val="clear" w:color="auto" w:fill="FFFFFF"/>
          <w:lang w:val="en-US" w:eastAsia="zh-CN"/>
        </w:rPr>
        <w:t>3.</w:t>
      </w:r>
      <w:r>
        <w:rPr>
          <w:rFonts w:hint="eastAsia" w:ascii="楷体_GB2312" w:eastAsia="楷体_GB2312" w:cs="楷体_GB2312"/>
          <w:b/>
          <w:bCs/>
          <w:color w:val="000000"/>
          <w:kern w:val="0"/>
          <w:sz w:val="32"/>
          <w:szCs w:val="32"/>
          <w:highlight w:val="none"/>
          <w:shd w:val="clear" w:color="auto" w:fill="FFFFFF"/>
          <w:lang w:val="zh-CN"/>
        </w:rPr>
        <w:t>目标实现。</w:t>
      </w:r>
      <w:r>
        <w:rPr>
          <w:rFonts w:hint="eastAsia" w:ascii="Times New Roman" w:hAnsi="Times New Roman" w:eastAsia="方正仿宋_GBK" w:cs="Times New Roman"/>
          <w:sz w:val="32"/>
          <w:szCs w:val="32"/>
          <w:lang w:val="en-US" w:eastAsia="zh-CN"/>
        </w:rPr>
        <w:t>经过精心决策和高效执行，小金县信访局机关部门预算项目取得了显著成效，有效推动了信访工作的转型升级。一是案件处理效率大幅提升，通过优化流程、引入智能化工具，案件积压问题得到有效缓解，群众诉求得到更快响应和解决。二是群众满意度不断提高，信访渠道的畅通和高效服务赢得了群众的广泛赞誉，增强了政府的公信力和人民群众的获得感。三是社会治理水平明显提升，信访工作作为社会治理的重要组成部分，其效能的提升直接促进了社会和谐稳定。</w:t>
      </w:r>
    </w:p>
    <w:p w14:paraId="77A891B7">
      <w:pPr>
        <w:keepNext w:val="0"/>
        <w:keepLines w:val="0"/>
        <w:pageBreakBefore w:val="0"/>
        <w:widowControl w:val="0"/>
        <w:kinsoku/>
        <w:wordWrap/>
        <w:overflowPunct/>
        <w:topLinePunct w:val="0"/>
        <w:autoSpaceDE/>
        <w:autoSpaceDN/>
        <w:bidi w:val="0"/>
        <w:snapToGrid w:val="0"/>
        <w:spacing w:line="600" w:lineRule="exact"/>
        <w:ind w:firstLine="643" w:firstLineChars="200"/>
        <w:jc w:val="both"/>
        <w:textAlignment w:val="auto"/>
        <w:rPr>
          <w:rFonts w:hint="eastAsia" w:ascii="Times New Roman" w:hAnsi="Times New Roman" w:eastAsia="楷体_GB2312" w:cs="Times New Roman"/>
          <w:b/>
          <w:bCs/>
          <w:sz w:val="32"/>
          <w:szCs w:val="32"/>
          <w:lang w:val="zh-CN"/>
        </w:rPr>
      </w:pPr>
      <w:r>
        <w:rPr>
          <w:rFonts w:ascii="Times New Roman" w:hAnsi="Times New Roman" w:eastAsia="楷体_GB2312" w:cs="Times New Roman"/>
          <w:b/>
          <w:bCs/>
          <w:color w:val="000000"/>
          <w:kern w:val="0"/>
          <w:sz w:val="32"/>
          <w:szCs w:val="32"/>
          <w:highlight w:val="none"/>
          <w:shd w:val="clear" w:color="auto" w:fill="FFFFFF"/>
          <w:lang w:val="zh-CN"/>
        </w:rPr>
        <w:t>（</w:t>
      </w:r>
      <w:r>
        <w:rPr>
          <w:rFonts w:hint="eastAsia" w:eastAsia="楷体_GB2312" w:cs="Times New Roman"/>
          <w:b/>
          <w:bCs/>
          <w:color w:val="000000"/>
          <w:kern w:val="0"/>
          <w:sz w:val="32"/>
          <w:szCs w:val="32"/>
          <w:highlight w:val="none"/>
          <w:shd w:val="clear" w:color="auto" w:fill="FFFFFF"/>
          <w:lang w:val="zh-CN"/>
        </w:rPr>
        <w:t>三</w:t>
      </w:r>
      <w:r>
        <w:rPr>
          <w:rFonts w:ascii="Times New Roman" w:hAnsi="Times New Roman" w:eastAsia="楷体_GB2312" w:cs="Times New Roman"/>
          <w:b/>
          <w:bCs/>
          <w:color w:val="000000"/>
          <w:kern w:val="0"/>
          <w:sz w:val="32"/>
          <w:szCs w:val="32"/>
          <w:highlight w:val="none"/>
          <w:shd w:val="clear" w:color="auto" w:fill="FFFFFF"/>
          <w:lang w:val="zh-CN"/>
        </w:rPr>
        <w:t>）</w:t>
      </w:r>
      <w:r>
        <w:rPr>
          <w:rFonts w:ascii="Times New Roman" w:hAnsi="Times New Roman" w:eastAsia="楷体_GB2312" w:cs="Times New Roman"/>
          <w:b/>
          <w:bCs/>
          <w:sz w:val="32"/>
          <w:szCs w:val="32"/>
          <w:lang w:val="zh-CN"/>
        </w:rPr>
        <w:t>绩效结果应用情况</w:t>
      </w:r>
      <w:r>
        <w:rPr>
          <w:rFonts w:hint="eastAsia" w:ascii="Times New Roman" w:hAnsi="Times New Roman" w:eastAsia="楷体_GB2312" w:cs="Times New Roman"/>
          <w:b/>
          <w:bCs/>
          <w:sz w:val="32"/>
          <w:szCs w:val="32"/>
          <w:lang w:val="zh-CN"/>
        </w:rPr>
        <w:t>。</w:t>
      </w:r>
    </w:p>
    <w:p w14:paraId="347DD5AA">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both"/>
        <w:textAlignment w:val="auto"/>
        <w:outlineLvl w:val="9"/>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1.内部应用情况。小金县信访局机关将预算绩效结果作为内部管理的重要参考，实现了从“要钱办事”到“花钱问效”的转变。首先，在预算编制阶段，通过历史绩效数据和项目评估报告，科学设定预算目标和绩效指标，确保预算安排与信访工作实际需求相匹配。其次，在执行过程中，实施动态监控与调整机制，定期对项目进展、资金使用效率和群众满意度进行评估，及时调整优化资金配置，避免资源浪费。</w:t>
      </w:r>
    </w:p>
    <w:p w14:paraId="6F1CA42C">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both"/>
        <w:textAlignment w:val="auto"/>
        <w:outlineLvl w:val="9"/>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2.信息公开情况。小金县信访局机关高度重视预算绩效信息的公开透明，将其作为提升政府公信力的关键举措。按照上级部门要求，通过政府网站、公示栏等多种渠道，及时、准确、完整地公开预算绩效目标、评价指标、评价方法及评价结果等信息，接受社会监督。</w:t>
      </w:r>
    </w:p>
    <w:p w14:paraId="1FE365FE">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both"/>
        <w:textAlignment w:val="auto"/>
        <w:outlineLvl w:val="9"/>
        <w:rPr>
          <w:rFonts w:hint="eastAsia" w:ascii="Times New Roman" w:hAnsi="Times New Roman" w:eastAsia="方正仿宋_GBK" w:cs="Times New Roman"/>
          <w:spacing w:val="-11"/>
          <w:sz w:val="32"/>
          <w:szCs w:val="32"/>
          <w:lang w:val="en-US" w:eastAsia="zh-CN"/>
        </w:rPr>
      </w:pPr>
      <w:r>
        <w:rPr>
          <w:rFonts w:hint="eastAsia" w:ascii="Times New Roman" w:hAnsi="Times New Roman" w:eastAsia="方正仿宋_GBK" w:cs="Times New Roman"/>
          <w:sz w:val="32"/>
          <w:szCs w:val="32"/>
          <w:lang w:val="en-US" w:eastAsia="zh-CN"/>
        </w:rPr>
        <w:t>3.整改反馈情况。针对预算绩效评价中发现的问题和不足，小金县信访局机关建立了完善的整改反馈机制。首先，对评价报告中指出的问题进行逐一梳理，明确整改责任人和时间节点，制定具体可行的整改措施。其次，加强跟踪督查，确</w:t>
      </w:r>
      <w:r>
        <w:rPr>
          <w:rFonts w:hint="eastAsia" w:ascii="Times New Roman" w:hAnsi="Times New Roman" w:eastAsia="方正仿宋_GBK" w:cs="Times New Roman"/>
          <w:spacing w:val="-11"/>
          <w:sz w:val="32"/>
          <w:szCs w:val="32"/>
          <w:lang w:val="en-US" w:eastAsia="zh-CN"/>
        </w:rPr>
        <w:t>保整改措施落地见效，对整改不力的单位和个人进行严肃问责。</w:t>
      </w:r>
    </w:p>
    <w:p w14:paraId="3F89BED3">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ascii="Times New Roman" w:hAnsi="Times New Roman" w:eastAsia="黑体" w:cs="Times New Roman"/>
          <w:color w:val="000000"/>
          <w:kern w:val="0"/>
          <w:sz w:val="32"/>
          <w:szCs w:val="32"/>
          <w:highlight w:val="none"/>
          <w:shd w:val="clear" w:color="auto" w:fill="FFFFFF"/>
        </w:rPr>
      </w:pPr>
      <w:r>
        <w:rPr>
          <w:rFonts w:ascii="Times New Roman" w:hAnsi="Times New Roman" w:eastAsia="黑体" w:cs="Times New Roman"/>
          <w:color w:val="000000"/>
          <w:kern w:val="0"/>
          <w:sz w:val="32"/>
          <w:szCs w:val="32"/>
          <w:highlight w:val="none"/>
          <w:shd w:val="clear" w:color="auto" w:fill="FFFFFF"/>
          <w:lang w:eastAsia="zh-CN"/>
        </w:rPr>
        <w:t>四、</w:t>
      </w:r>
      <w:r>
        <w:rPr>
          <w:rFonts w:ascii="Times New Roman" w:hAnsi="Times New Roman" w:eastAsia="黑体" w:cs="Times New Roman"/>
          <w:color w:val="000000"/>
          <w:kern w:val="0"/>
          <w:sz w:val="32"/>
          <w:szCs w:val="32"/>
          <w:highlight w:val="none"/>
          <w:shd w:val="clear" w:color="auto" w:fill="FFFFFF"/>
        </w:rPr>
        <w:t>评价结论及建议</w:t>
      </w:r>
    </w:p>
    <w:p w14:paraId="72895761">
      <w:pPr>
        <w:keepNext w:val="0"/>
        <w:keepLines w:val="0"/>
        <w:pageBreakBefore w:val="0"/>
        <w:widowControl w:val="0"/>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eastAsia" w:ascii="Times New Roman" w:hAnsi="Times New Roman" w:eastAsia="方正仿宋_GBK" w:cs="Times New Roman"/>
          <w:sz w:val="32"/>
          <w:szCs w:val="32"/>
          <w:lang w:val="en-US" w:eastAsia="zh-CN"/>
        </w:rPr>
      </w:pPr>
      <w:r>
        <w:rPr>
          <w:rFonts w:ascii="Times New Roman" w:hAnsi="Times New Roman" w:eastAsia="楷体_GB2312" w:cs="Times New Roman"/>
          <w:b/>
          <w:bCs/>
          <w:color w:val="000000"/>
          <w:kern w:val="0"/>
          <w:sz w:val="32"/>
          <w:szCs w:val="32"/>
          <w:highlight w:val="none"/>
          <w:shd w:val="clear" w:color="auto" w:fill="FFFFFF"/>
          <w:lang w:val="zh-CN"/>
        </w:rPr>
        <w:t>（一）评价结论。</w:t>
      </w:r>
      <w:r>
        <w:rPr>
          <w:rFonts w:hint="eastAsia" w:ascii="Times New Roman" w:hAnsi="Times New Roman" w:eastAsia="方正仿宋_GBK" w:cs="Times New Roman"/>
          <w:sz w:val="32"/>
          <w:szCs w:val="32"/>
          <w:lang w:val="en-US" w:eastAsia="zh-CN"/>
        </w:rPr>
        <w:t>小金县信访局机关本年度预算绩效自评工作已圆满结束，通过全面细致的自我审视与评估，我局在预算执行、资金使用效率及项目管理等方面取得了积极成效，总体绩效自评得分为9</w:t>
      </w:r>
      <w:r>
        <w:rPr>
          <w:rFonts w:hint="eastAsia" w:eastAsia="方正仿宋_GBK" w:cs="Times New Roman"/>
          <w:sz w:val="32"/>
          <w:szCs w:val="32"/>
          <w:lang w:val="en-US" w:eastAsia="zh-CN"/>
        </w:rPr>
        <w:t>7</w:t>
      </w:r>
      <w:r>
        <w:rPr>
          <w:rFonts w:hint="eastAsia" w:ascii="Times New Roman" w:hAnsi="Times New Roman" w:eastAsia="方正仿宋_GBK" w:cs="Times New Roman"/>
          <w:sz w:val="32"/>
          <w:szCs w:val="32"/>
          <w:lang w:val="en-US" w:eastAsia="zh-CN"/>
        </w:rPr>
        <w:t>分（满分100分），显示出较高的预算管理水平和项目实施效果。这一成绩不仅体现了我局对预算绩效管理的重视，也反映了全体工作人员在提升服务质量和群众满意度上的不懈努力。</w:t>
      </w:r>
    </w:p>
    <w:p w14:paraId="59BB0756">
      <w:pPr>
        <w:keepNext w:val="0"/>
        <w:keepLines w:val="0"/>
        <w:pageBreakBefore w:val="0"/>
        <w:widowControl w:val="0"/>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eastAsia" w:ascii="Times New Roman" w:hAnsi="Times New Roman" w:eastAsia="方正仿宋_GBK" w:cs="Times New Roman"/>
          <w:sz w:val="32"/>
          <w:szCs w:val="32"/>
          <w:lang w:val="en-US" w:eastAsia="zh-CN"/>
        </w:rPr>
      </w:pPr>
      <w:r>
        <w:rPr>
          <w:rFonts w:ascii="Times New Roman" w:hAnsi="Times New Roman" w:eastAsia="楷体_GB2312" w:cs="Times New Roman"/>
          <w:b/>
          <w:bCs/>
          <w:color w:val="000000"/>
          <w:kern w:val="0"/>
          <w:sz w:val="32"/>
          <w:szCs w:val="32"/>
          <w:highlight w:val="none"/>
          <w:shd w:val="clear" w:color="auto" w:fill="FFFFFF"/>
          <w:lang w:val="zh-CN"/>
        </w:rPr>
        <w:t>（二）存在问题。</w:t>
      </w:r>
      <w:r>
        <w:rPr>
          <w:rFonts w:hint="eastAsia" w:ascii="Times New Roman" w:hAnsi="Times New Roman" w:eastAsia="方正仿宋_GBK" w:cs="Times New Roman"/>
          <w:sz w:val="32"/>
          <w:szCs w:val="32"/>
          <w:lang w:val="en-US" w:eastAsia="zh-CN"/>
        </w:rPr>
        <w:t>尽管自评结果总体良好，但在深入剖析过程中，我们也发现了几个亟待解决的问题：</w:t>
      </w:r>
    </w:p>
    <w:p w14:paraId="62D554B3">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1. 预算分配细化不足：部分预算项目在初期分配时缺乏足够的细化，导致实际执行过程中调整频繁，影响了资金使用的灵活性和效率。</w:t>
      </w:r>
    </w:p>
    <w:p w14:paraId="56D302E2">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2. 政策执行效果评估滞后：部分政策项目在实施后，未能及时开展有效的效果评估，难以准确掌握政策对解决信访问题、提升群众满意度的具体贡献。</w:t>
      </w:r>
    </w:p>
    <w:p w14:paraId="6BCC747C">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3. 内部控制管理有待加强：在预算管理、财务报销等内部控制环节，存在流程不严谨、监督不到位的情况，增加了财务风险。</w:t>
      </w:r>
    </w:p>
    <w:p w14:paraId="57784C4A">
      <w:pPr>
        <w:keepNext w:val="0"/>
        <w:keepLines w:val="0"/>
        <w:pageBreakBefore w:val="0"/>
        <w:widowControl w:val="0"/>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eastAsia" w:ascii="Times New Roman" w:hAnsi="Times New Roman" w:eastAsia="方正仿宋_GBK" w:cs="Times New Roman"/>
          <w:sz w:val="32"/>
          <w:szCs w:val="32"/>
          <w:lang w:val="en-US" w:eastAsia="zh-CN"/>
        </w:rPr>
      </w:pPr>
      <w:r>
        <w:rPr>
          <w:rFonts w:ascii="Times New Roman" w:hAnsi="Times New Roman" w:eastAsia="楷体_GB2312" w:cs="Times New Roman"/>
          <w:b/>
          <w:bCs/>
          <w:color w:val="000000"/>
          <w:kern w:val="0"/>
          <w:sz w:val="32"/>
          <w:szCs w:val="32"/>
          <w:highlight w:val="none"/>
          <w:shd w:val="clear" w:color="auto" w:fill="FFFFFF"/>
          <w:lang w:val="zh-CN" w:eastAsia="zh-CN"/>
        </w:rPr>
        <w:t>（三）改进建议。</w:t>
      </w:r>
      <w:r>
        <w:rPr>
          <w:rFonts w:hint="eastAsia" w:ascii="Times New Roman" w:hAnsi="Times New Roman" w:eastAsia="方正仿宋_GBK" w:cs="Times New Roman"/>
          <w:sz w:val="32"/>
          <w:szCs w:val="32"/>
          <w:lang w:val="en-US" w:eastAsia="zh-CN"/>
        </w:rPr>
        <w:t>针对上述问题，小金县信访局机关提出以下改进建议，以期进一步提升预算绩效管理水平：</w:t>
      </w:r>
    </w:p>
    <w:p w14:paraId="03EFEE91">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1. 优化预算分配机制：加强对预算项目的前期调研与论证，确保预算分配更加科学合理，细化预算项目，减少执行过程中的不必要调整。同时，建立预算动态调整机制，根据项目实施情况适时调整预算，提高资金使用的灵活性和效率。</w:t>
      </w:r>
    </w:p>
    <w:p w14:paraId="73E62B10">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方正仿宋_GBK" w:cs="Times New Roman"/>
          <w:sz w:val="32"/>
          <w:szCs w:val="32"/>
          <w:lang w:val="en-US" w:eastAsia="zh-CN"/>
        </w:rPr>
      </w:pPr>
      <w:r>
        <w:rPr>
          <w:rFonts w:hint="eastAsia"/>
          <w:sz w:val="32"/>
          <w:szCs w:val="32"/>
        </w:rPr>
        <w:t>2. </w:t>
      </w:r>
      <w:r>
        <w:rPr>
          <w:rFonts w:hint="eastAsia" w:ascii="Times New Roman" w:hAnsi="Times New Roman" w:eastAsia="方正仿宋_GBK" w:cs="Times New Roman"/>
          <w:sz w:val="32"/>
          <w:szCs w:val="32"/>
          <w:lang w:val="en-US" w:eastAsia="zh-CN"/>
        </w:rPr>
        <w:t>强化政策执行效果评估：建立健全政策执行效果评估体系，明确评估指标和周期，定期对政策项目的实施效果进行量化评估，确保政策精准有效，及时调整优化政策方向，提升群众满意度。</w:t>
      </w:r>
    </w:p>
    <w:p w14:paraId="5A37333E">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黑体" w:hAnsi="黑体" w:eastAsia="黑体"/>
          <w:color w:val="auto"/>
          <w:sz w:val="44"/>
          <w:szCs w:val="44"/>
          <w:highlight w:val="none"/>
        </w:rPr>
      </w:pPr>
      <w:r>
        <w:rPr>
          <w:rFonts w:hint="eastAsia" w:ascii="Times New Roman" w:hAnsi="Times New Roman" w:eastAsia="方正仿宋_GBK" w:cs="Times New Roman"/>
          <w:sz w:val="32"/>
          <w:szCs w:val="32"/>
          <w:lang w:val="en-US" w:eastAsia="zh-CN"/>
        </w:rPr>
        <w:t>3. 完善内部控制管理制度：修订完善预算管理、财务报销等内部控制制度，明确职责分工，加强流程控制，确保各项经济活动合法合规。同时，强化内部监督与审计，建立风险预警机制，及时发现并纠正问题，防范财务风险。</w:t>
      </w:r>
    </w:p>
    <w:p w14:paraId="7E58CB42">
      <w:pPr>
        <w:spacing w:line="600" w:lineRule="exact"/>
        <w:jc w:val="center"/>
        <w:outlineLvl w:val="0"/>
        <w:rPr>
          <w:rFonts w:hint="eastAsia" w:ascii="黑体" w:hAnsi="黑体" w:eastAsia="黑体"/>
          <w:color w:val="auto"/>
          <w:sz w:val="44"/>
          <w:szCs w:val="44"/>
          <w:highlight w:val="none"/>
        </w:rPr>
      </w:pPr>
    </w:p>
    <w:p w14:paraId="12822576">
      <w:pPr>
        <w:spacing w:line="600" w:lineRule="exact"/>
        <w:jc w:val="center"/>
        <w:outlineLvl w:val="0"/>
        <w:rPr>
          <w:rFonts w:hint="eastAsia" w:ascii="黑体" w:hAnsi="黑体" w:eastAsia="黑体"/>
          <w:color w:val="auto"/>
          <w:sz w:val="44"/>
          <w:szCs w:val="44"/>
          <w:highlight w:val="none"/>
        </w:rPr>
      </w:pPr>
    </w:p>
    <w:p w14:paraId="107728FB">
      <w:pPr>
        <w:spacing w:line="600" w:lineRule="exact"/>
        <w:jc w:val="center"/>
        <w:outlineLvl w:val="0"/>
        <w:rPr>
          <w:rFonts w:hint="eastAsia" w:ascii="黑体" w:hAnsi="黑体" w:eastAsia="黑体"/>
          <w:color w:val="auto"/>
          <w:sz w:val="44"/>
          <w:szCs w:val="44"/>
          <w:highlight w:val="none"/>
        </w:rPr>
      </w:pPr>
    </w:p>
    <w:p w14:paraId="42630A0A">
      <w:pPr>
        <w:spacing w:line="600" w:lineRule="exact"/>
        <w:jc w:val="center"/>
        <w:outlineLvl w:val="0"/>
        <w:rPr>
          <w:rFonts w:hint="eastAsia" w:ascii="黑体" w:hAnsi="黑体" w:eastAsia="黑体"/>
          <w:color w:val="auto"/>
          <w:sz w:val="44"/>
          <w:szCs w:val="44"/>
          <w:highlight w:val="none"/>
        </w:rPr>
      </w:pPr>
    </w:p>
    <w:p w14:paraId="5F0E10A6">
      <w:pPr>
        <w:spacing w:line="600" w:lineRule="exact"/>
        <w:jc w:val="center"/>
        <w:outlineLvl w:val="0"/>
        <w:rPr>
          <w:rFonts w:hint="eastAsia" w:ascii="黑体" w:hAnsi="黑体" w:eastAsia="黑体"/>
          <w:color w:val="auto"/>
          <w:sz w:val="44"/>
          <w:szCs w:val="44"/>
          <w:highlight w:val="none"/>
        </w:rPr>
      </w:pPr>
    </w:p>
    <w:p w14:paraId="20EBCBD6">
      <w:pPr>
        <w:spacing w:line="600" w:lineRule="exact"/>
        <w:jc w:val="center"/>
        <w:outlineLvl w:val="0"/>
        <w:rPr>
          <w:rFonts w:hint="eastAsia" w:ascii="黑体" w:hAnsi="黑体" w:eastAsia="黑体"/>
          <w:color w:val="auto"/>
          <w:sz w:val="44"/>
          <w:szCs w:val="44"/>
          <w:highlight w:val="none"/>
        </w:rPr>
      </w:pPr>
    </w:p>
    <w:p w14:paraId="37D7F746">
      <w:pPr>
        <w:spacing w:line="600" w:lineRule="exact"/>
        <w:jc w:val="center"/>
        <w:outlineLvl w:val="0"/>
        <w:rPr>
          <w:rFonts w:hint="eastAsia" w:ascii="黑体" w:hAnsi="黑体" w:eastAsia="黑体"/>
          <w:color w:val="auto"/>
          <w:sz w:val="44"/>
          <w:szCs w:val="44"/>
          <w:highlight w:val="none"/>
        </w:rPr>
      </w:pPr>
    </w:p>
    <w:p w14:paraId="7BD1727F">
      <w:pPr>
        <w:spacing w:line="600" w:lineRule="exact"/>
        <w:jc w:val="center"/>
        <w:outlineLvl w:val="0"/>
        <w:rPr>
          <w:rFonts w:hint="eastAsia" w:ascii="黑体" w:hAnsi="黑体" w:eastAsia="黑体"/>
          <w:color w:val="auto"/>
          <w:sz w:val="44"/>
          <w:szCs w:val="44"/>
          <w:highlight w:val="none"/>
        </w:rPr>
      </w:pPr>
    </w:p>
    <w:p w14:paraId="60598E4B">
      <w:pPr>
        <w:spacing w:line="600" w:lineRule="exact"/>
        <w:jc w:val="center"/>
        <w:outlineLvl w:val="0"/>
        <w:rPr>
          <w:rFonts w:hint="eastAsia" w:ascii="仿宋" w:hAnsi="仿宋" w:eastAsia="仿宋"/>
          <w:b w:val="0"/>
          <w:color w:val="auto"/>
          <w:highlight w:val="none"/>
        </w:rPr>
      </w:pPr>
      <w:r>
        <w:rPr>
          <w:rFonts w:hint="eastAsia" w:ascii="黑体" w:hAnsi="黑体" w:eastAsia="黑体"/>
          <w:color w:val="auto"/>
          <w:sz w:val="44"/>
          <w:szCs w:val="44"/>
          <w:highlight w:val="none"/>
        </w:rPr>
        <w:t>第</w:t>
      </w:r>
      <w:r>
        <w:rPr>
          <w:rStyle w:val="31"/>
          <w:rFonts w:hint="eastAsia" w:ascii="黑体" w:hAnsi="黑体" w:eastAsia="黑体"/>
          <w:b w:val="0"/>
          <w:color w:val="auto"/>
          <w:highlight w:val="none"/>
          <w:lang w:val="en-US" w:eastAsia="zh-CN"/>
        </w:rPr>
        <w:t>五</w:t>
      </w:r>
      <w:r>
        <w:rPr>
          <w:rStyle w:val="31"/>
          <w:rFonts w:hint="eastAsia" w:ascii="黑体" w:hAnsi="黑体" w:eastAsia="黑体"/>
          <w:b w:val="0"/>
          <w:color w:val="auto"/>
          <w:highlight w:val="none"/>
        </w:rPr>
        <w:t>部分 附表</w:t>
      </w:r>
      <w:bookmarkEnd w:id="69"/>
      <w:bookmarkEnd w:id="70"/>
      <w:bookmarkEnd w:id="71"/>
      <w:bookmarkStart w:id="73" w:name="_Toc15396619"/>
    </w:p>
    <w:p w14:paraId="1F0F50A2">
      <w:pPr>
        <w:pStyle w:val="4"/>
        <w:rPr>
          <w:rFonts w:ascii="仿宋" w:hAnsi="仿宋" w:eastAsia="仿宋"/>
          <w:color w:val="auto"/>
          <w:highlight w:val="none"/>
        </w:rPr>
      </w:pPr>
      <w:bookmarkStart w:id="74" w:name="_Toc18099_WPSOffice_Level2"/>
      <w:r>
        <w:rPr>
          <w:rFonts w:hint="eastAsia" w:ascii="仿宋" w:hAnsi="仿宋" w:eastAsia="仿宋"/>
          <w:b w:val="0"/>
          <w:color w:val="auto"/>
          <w:highlight w:val="none"/>
        </w:rPr>
        <w:t>一、收</w:t>
      </w:r>
      <w:r>
        <w:rPr>
          <w:rStyle w:val="32"/>
          <w:rFonts w:hint="eastAsia" w:ascii="仿宋" w:hAnsi="仿宋" w:eastAsia="仿宋"/>
          <w:b w:val="0"/>
          <w:bCs w:val="0"/>
          <w:color w:val="auto"/>
          <w:highlight w:val="none"/>
        </w:rPr>
        <w:t>入支出决算总表</w:t>
      </w:r>
      <w:bookmarkEnd w:id="73"/>
      <w:bookmarkEnd w:id="74"/>
    </w:p>
    <w:p w14:paraId="7CF3AE88">
      <w:pPr>
        <w:pStyle w:val="4"/>
        <w:rPr>
          <w:rFonts w:ascii="仿宋" w:hAnsi="仿宋" w:eastAsia="仿宋"/>
          <w:color w:val="auto"/>
          <w:highlight w:val="none"/>
        </w:rPr>
      </w:pPr>
      <w:bookmarkStart w:id="75" w:name="_Toc15396620"/>
      <w:bookmarkStart w:id="76" w:name="_Toc24189_WPSOffice_Level2"/>
      <w:r>
        <w:rPr>
          <w:rFonts w:hint="eastAsia" w:ascii="仿宋" w:hAnsi="仿宋" w:eastAsia="仿宋"/>
          <w:b w:val="0"/>
          <w:color w:val="auto"/>
          <w:highlight w:val="none"/>
        </w:rPr>
        <w:t>二、收</w:t>
      </w:r>
      <w:r>
        <w:rPr>
          <w:rStyle w:val="32"/>
          <w:rFonts w:hint="eastAsia" w:ascii="仿宋" w:hAnsi="仿宋" w:eastAsia="仿宋"/>
          <w:b w:val="0"/>
          <w:bCs w:val="0"/>
          <w:color w:val="auto"/>
          <w:highlight w:val="none"/>
        </w:rPr>
        <w:t>入决算表</w:t>
      </w:r>
      <w:bookmarkEnd w:id="75"/>
      <w:bookmarkEnd w:id="76"/>
    </w:p>
    <w:p w14:paraId="293CC14E">
      <w:pPr>
        <w:pStyle w:val="4"/>
        <w:rPr>
          <w:rFonts w:ascii="仿宋" w:hAnsi="仿宋" w:eastAsia="仿宋"/>
          <w:color w:val="auto"/>
          <w:highlight w:val="none"/>
        </w:rPr>
      </w:pPr>
      <w:bookmarkStart w:id="77" w:name="_Toc4572_WPSOffice_Level2"/>
      <w:bookmarkStart w:id="78" w:name="_Toc15396621"/>
      <w:r>
        <w:rPr>
          <w:rStyle w:val="32"/>
          <w:rFonts w:hint="eastAsia" w:ascii="仿宋" w:hAnsi="仿宋" w:eastAsia="仿宋"/>
          <w:b w:val="0"/>
          <w:bCs w:val="0"/>
          <w:color w:val="auto"/>
          <w:highlight w:val="none"/>
        </w:rPr>
        <w:t>三、</w:t>
      </w:r>
      <w:r>
        <w:rPr>
          <w:rFonts w:hint="eastAsia" w:ascii="仿宋" w:hAnsi="仿宋" w:eastAsia="仿宋"/>
          <w:b w:val="0"/>
          <w:color w:val="auto"/>
          <w:highlight w:val="none"/>
        </w:rPr>
        <w:t>支</w:t>
      </w:r>
      <w:r>
        <w:rPr>
          <w:rStyle w:val="32"/>
          <w:rFonts w:hint="eastAsia" w:ascii="仿宋" w:hAnsi="仿宋" w:eastAsia="仿宋"/>
          <w:b w:val="0"/>
          <w:bCs w:val="0"/>
          <w:color w:val="auto"/>
          <w:highlight w:val="none"/>
        </w:rPr>
        <w:t>出决算表</w:t>
      </w:r>
      <w:bookmarkEnd w:id="77"/>
      <w:bookmarkEnd w:id="78"/>
    </w:p>
    <w:p w14:paraId="25F145E3">
      <w:pPr>
        <w:pStyle w:val="4"/>
        <w:rPr>
          <w:rFonts w:ascii="仿宋" w:hAnsi="仿宋" w:eastAsia="仿宋"/>
          <w:b w:val="0"/>
          <w:color w:val="auto"/>
          <w:highlight w:val="none"/>
        </w:rPr>
      </w:pPr>
      <w:bookmarkStart w:id="79" w:name="_Toc15396622"/>
      <w:bookmarkStart w:id="80" w:name="_Toc6524_WPSOffice_Level2"/>
      <w:r>
        <w:rPr>
          <w:rStyle w:val="32"/>
          <w:rFonts w:hint="eastAsia" w:ascii="仿宋" w:hAnsi="仿宋" w:eastAsia="仿宋"/>
          <w:b w:val="0"/>
          <w:bCs w:val="0"/>
          <w:color w:val="auto"/>
          <w:highlight w:val="none"/>
        </w:rPr>
        <w:t>四、</w:t>
      </w:r>
      <w:r>
        <w:rPr>
          <w:rFonts w:hint="eastAsia" w:ascii="仿宋" w:hAnsi="仿宋" w:eastAsia="仿宋"/>
          <w:b w:val="0"/>
          <w:color w:val="auto"/>
          <w:highlight w:val="none"/>
        </w:rPr>
        <w:t>财</w:t>
      </w:r>
      <w:r>
        <w:rPr>
          <w:rStyle w:val="32"/>
          <w:rFonts w:hint="eastAsia" w:ascii="仿宋" w:hAnsi="仿宋" w:eastAsia="仿宋"/>
          <w:b w:val="0"/>
          <w:bCs w:val="0"/>
          <w:color w:val="auto"/>
          <w:highlight w:val="none"/>
        </w:rPr>
        <w:t>政拨款收入支出决算总表</w:t>
      </w:r>
      <w:bookmarkEnd w:id="79"/>
      <w:bookmarkEnd w:id="80"/>
    </w:p>
    <w:p w14:paraId="2E8C7216">
      <w:pPr>
        <w:pStyle w:val="4"/>
        <w:rPr>
          <w:rStyle w:val="32"/>
          <w:rFonts w:ascii="仿宋" w:hAnsi="仿宋" w:eastAsia="仿宋"/>
          <w:b w:val="0"/>
          <w:bCs w:val="0"/>
          <w:color w:val="auto"/>
          <w:highlight w:val="none"/>
        </w:rPr>
      </w:pPr>
      <w:bookmarkStart w:id="81" w:name="_Toc10133_WPSOffice_Level2"/>
      <w:bookmarkStart w:id="82" w:name="_Toc15396623"/>
      <w:r>
        <w:rPr>
          <w:rStyle w:val="32"/>
          <w:rFonts w:hint="eastAsia" w:ascii="仿宋" w:hAnsi="仿宋" w:eastAsia="仿宋"/>
          <w:b w:val="0"/>
          <w:bCs w:val="0"/>
          <w:color w:val="auto"/>
          <w:highlight w:val="none"/>
        </w:rPr>
        <w:t>五、</w:t>
      </w:r>
      <w:r>
        <w:rPr>
          <w:rFonts w:hint="eastAsia" w:ascii="仿宋" w:hAnsi="仿宋" w:eastAsia="仿宋"/>
          <w:b w:val="0"/>
          <w:color w:val="auto"/>
          <w:highlight w:val="none"/>
        </w:rPr>
        <w:t>财</w:t>
      </w:r>
      <w:r>
        <w:rPr>
          <w:rStyle w:val="32"/>
          <w:rFonts w:hint="eastAsia" w:ascii="仿宋" w:hAnsi="仿宋" w:eastAsia="仿宋"/>
          <w:b w:val="0"/>
          <w:bCs w:val="0"/>
          <w:color w:val="auto"/>
          <w:highlight w:val="none"/>
        </w:rPr>
        <w:t>政拨款支出决算明细表</w:t>
      </w:r>
      <w:bookmarkEnd w:id="81"/>
      <w:bookmarkEnd w:id="82"/>
      <w:bookmarkStart w:id="83" w:name="_Toc15396624"/>
    </w:p>
    <w:p w14:paraId="1C5D0133">
      <w:pPr>
        <w:pStyle w:val="4"/>
        <w:rPr>
          <w:rFonts w:ascii="仿宋" w:hAnsi="仿宋" w:eastAsia="仿宋"/>
          <w:color w:val="auto"/>
          <w:highlight w:val="none"/>
        </w:rPr>
      </w:pPr>
      <w:bookmarkStart w:id="84" w:name="_Toc12238_WPSOffice_Level2"/>
      <w:r>
        <w:rPr>
          <w:rStyle w:val="32"/>
          <w:rFonts w:hint="eastAsia" w:ascii="仿宋" w:hAnsi="仿宋" w:eastAsia="仿宋"/>
          <w:b w:val="0"/>
          <w:bCs w:val="0"/>
          <w:color w:val="auto"/>
          <w:highlight w:val="none"/>
        </w:rPr>
        <w:t>六、</w:t>
      </w:r>
      <w:r>
        <w:rPr>
          <w:rFonts w:hint="eastAsia" w:ascii="仿宋" w:hAnsi="仿宋" w:eastAsia="仿宋"/>
          <w:b w:val="0"/>
          <w:color w:val="auto"/>
          <w:highlight w:val="none"/>
        </w:rPr>
        <w:t>一</w:t>
      </w:r>
      <w:r>
        <w:rPr>
          <w:rStyle w:val="32"/>
          <w:rFonts w:hint="eastAsia" w:ascii="仿宋" w:hAnsi="仿宋" w:eastAsia="仿宋"/>
          <w:b w:val="0"/>
          <w:bCs w:val="0"/>
          <w:color w:val="auto"/>
          <w:highlight w:val="none"/>
        </w:rPr>
        <w:t>般公共预算财政拨款支出决算表</w:t>
      </w:r>
      <w:bookmarkEnd w:id="83"/>
      <w:bookmarkEnd w:id="84"/>
    </w:p>
    <w:p w14:paraId="2124F396">
      <w:pPr>
        <w:pStyle w:val="4"/>
        <w:rPr>
          <w:rFonts w:ascii="仿宋" w:hAnsi="仿宋" w:eastAsia="仿宋"/>
          <w:color w:val="auto"/>
          <w:highlight w:val="none"/>
        </w:rPr>
      </w:pPr>
      <w:bookmarkStart w:id="85" w:name="_Toc15396625"/>
      <w:bookmarkStart w:id="86" w:name="_Toc23368_WPSOffice_Level2"/>
      <w:r>
        <w:rPr>
          <w:rStyle w:val="32"/>
          <w:rFonts w:hint="eastAsia" w:ascii="仿宋" w:hAnsi="仿宋" w:eastAsia="仿宋"/>
          <w:b w:val="0"/>
          <w:bCs w:val="0"/>
          <w:color w:val="auto"/>
          <w:highlight w:val="none"/>
        </w:rPr>
        <w:t>七、</w:t>
      </w:r>
      <w:r>
        <w:rPr>
          <w:rFonts w:hint="eastAsia" w:ascii="仿宋" w:hAnsi="仿宋" w:eastAsia="仿宋"/>
          <w:b w:val="0"/>
          <w:color w:val="auto"/>
          <w:highlight w:val="none"/>
        </w:rPr>
        <w:t>一</w:t>
      </w:r>
      <w:r>
        <w:rPr>
          <w:rStyle w:val="32"/>
          <w:rFonts w:hint="eastAsia" w:ascii="仿宋" w:hAnsi="仿宋" w:eastAsia="仿宋"/>
          <w:b w:val="0"/>
          <w:bCs w:val="0"/>
          <w:color w:val="auto"/>
          <w:highlight w:val="none"/>
        </w:rPr>
        <w:t>般公共预算财政拨款支出决算明细表</w:t>
      </w:r>
      <w:bookmarkEnd w:id="85"/>
      <w:bookmarkEnd w:id="86"/>
    </w:p>
    <w:p w14:paraId="60AA73C3">
      <w:pPr>
        <w:pStyle w:val="4"/>
        <w:rPr>
          <w:rFonts w:ascii="仿宋" w:hAnsi="仿宋" w:eastAsia="仿宋"/>
          <w:color w:val="auto"/>
          <w:highlight w:val="none"/>
        </w:rPr>
      </w:pPr>
      <w:bookmarkStart w:id="87" w:name="_Toc14679_WPSOffice_Level2"/>
      <w:bookmarkStart w:id="88" w:name="_Toc15396626"/>
      <w:r>
        <w:rPr>
          <w:rStyle w:val="32"/>
          <w:rFonts w:hint="eastAsia" w:ascii="仿宋" w:hAnsi="仿宋" w:eastAsia="仿宋"/>
          <w:b w:val="0"/>
          <w:bCs w:val="0"/>
          <w:color w:val="auto"/>
          <w:highlight w:val="none"/>
        </w:rPr>
        <w:t>八、</w:t>
      </w:r>
      <w:r>
        <w:rPr>
          <w:rFonts w:hint="eastAsia" w:ascii="仿宋" w:hAnsi="仿宋" w:eastAsia="仿宋"/>
          <w:b w:val="0"/>
          <w:color w:val="auto"/>
          <w:highlight w:val="none"/>
        </w:rPr>
        <w:t>一</w:t>
      </w:r>
      <w:r>
        <w:rPr>
          <w:rStyle w:val="32"/>
          <w:rFonts w:hint="eastAsia" w:ascii="仿宋" w:hAnsi="仿宋" w:eastAsia="仿宋"/>
          <w:b w:val="0"/>
          <w:bCs w:val="0"/>
          <w:color w:val="auto"/>
          <w:highlight w:val="none"/>
        </w:rPr>
        <w:t>般公共预算财政拨款基本支出决算表</w:t>
      </w:r>
      <w:bookmarkEnd w:id="87"/>
      <w:bookmarkEnd w:id="88"/>
    </w:p>
    <w:p w14:paraId="117FED33">
      <w:pPr>
        <w:pStyle w:val="4"/>
        <w:rPr>
          <w:rFonts w:ascii="仿宋" w:hAnsi="仿宋" w:eastAsia="仿宋"/>
          <w:color w:val="auto"/>
          <w:highlight w:val="none"/>
        </w:rPr>
      </w:pPr>
      <w:bookmarkStart w:id="89" w:name="_Toc15396627"/>
      <w:bookmarkStart w:id="90" w:name="_Toc14053_WPSOffice_Level2"/>
      <w:r>
        <w:rPr>
          <w:rStyle w:val="32"/>
          <w:rFonts w:hint="eastAsia" w:ascii="仿宋" w:hAnsi="仿宋" w:eastAsia="仿宋"/>
          <w:b w:val="0"/>
          <w:bCs w:val="0"/>
          <w:color w:val="auto"/>
          <w:highlight w:val="none"/>
        </w:rPr>
        <w:t>九、</w:t>
      </w:r>
      <w:r>
        <w:rPr>
          <w:rFonts w:hint="eastAsia" w:ascii="仿宋" w:hAnsi="仿宋" w:eastAsia="仿宋"/>
          <w:b w:val="0"/>
          <w:color w:val="auto"/>
          <w:highlight w:val="none"/>
        </w:rPr>
        <w:t>一</w:t>
      </w:r>
      <w:r>
        <w:rPr>
          <w:rStyle w:val="32"/>
          <w:rFonts w:hint="eastAsia" w:ascii="仿宋" w:hAnsi="仿宋" w:eastAsia="仿宋"/>
          <w:b w:val="0"/>
          <w:bCs w:val="0"/>
          <w:color w:val="auto"/>
          <w:highlight w:val="none"/>
        </w:rPr>
        <w:t>般公共预算财政拨款项目支出决算表</w:t>
      </w:r>
      <w:bookmarkEnd w:id="89"/>
      <w:bookmarkEnd w:id="90"/>
    </w:p>
    <w:p w14:paraId="5AE162C3">
      <w:pPr>
        <w:pStyle w:val="4"/>
        <w:rPr>
          <w:rFonts w:ascii="仿宋" w:hAnsi="仿宋" w:eastAsia="仿宋"/>
          <w:color w:val="auto"/>
          <w:highlight w:val="none"/>
        </w:rPr>
      </w:pPr>
      <w:bookmarkStart w:id="91" w:name="_Toc15396628"/>
      <w:bookmarkStart w:id="92" w:name="_Toc2938_WPSOffice_Level2"/>
      <w:r>
        <w:rPr>
          <w:rStyle w:val="32"/>
          <w:rFonts w:hint="eastAsia" w:ascii="仿宋" w:hAnsi="仿宋" w:eastAsia="仿宋"/>
          <w:b w:val="0"/>
          <w:bCs w:val="0"/>
          <w:color w:val="auto"/>
          <w:highlight w:val="none"/>
        </w:rPr>
        <w:t>十、</w:t>
      </w:r>
      <w:bookmarkEnd w:id="91"/>
      <w:r>
        <w:rPr>
          <w:rFonts w:hint="eastAsia" w:ascii="仿宋" w:hAnsi="仿宋" w:eastAsia="仿宋"/>
          <w:b w:val="0"/>
          <w:color w:val="auto"/>
          <w:highlight w:val="none"/>
        </w:rPr>
        <w:t>政</w:t>
      </w:r>
      <w:r>
        <w:rPr>
          <w:rStyle w:val="32"/>
          <w:rFonts w:hint="eastAsia" w:ascii="仿宋" w:hAnsi="仿宋" w:eastAsia="仿宋"/>
          <w:b w:val="0"/>
          <w:bCs w:val="0"/>
          <w:color w:val="auto"/>
          <w:highlight w:val="none"/>
        </w:rPr>
        <w:t>府性基金预算财政拨款收入支出决算表</w:t>
      </w:r>
      <w:bookmarkEnd w:id="92"/>
    </w:p>
    <w:p w14:paraId="4C460EDB">
      <w:pPr>
        <w:pStyle w:val="4"/>
        <w:rPr>
          <w:rFonts w:ascii="仿宋" w:hAnsi="仿宋" w:eastAsia="仿宋"/>
          <w:color w:val="auto"/>
          <w:highlight w:val="none"/>
        </w:rPr>
      </w:pPr>
      <w:bookmarkStart w:id="93" w:name="_Toc15396629"/>
      <w:bookmarkStart w:id="94" w:name="_Toc10409_WPSOffice_Level2"/>
      <w:r>
        <w:rPr>
          <w:rStyle w:val="32"/>
          <w:rFonts w:hint="eastAsia" w:ascii="仿宋" w:hAnsi="仿宋" w:eastAsia="仿宋"/>
          <w:b w:val="0"/>
          <w:bCs w:val="0"/>
          <w:color w:val="auto"/>
          <w:highlight w:val="none"/>
        </w:rPr>
        <w:t>十一、</w:t>
      </w:r>
      <w:bookmarkEnd w:id="93"/>
      <w:r>
        <w:rPr>
          <w:rFonts w:hint="eastAsia" w:ascii="仿宋" w:hAnsi="仿宋" w:eastAsia="仿宋"/>
          <w:b w:val="0"/>
          <w:color w:val="auto"/>
          <w:highlight w:val="none"/>
        </w:rPr>
        <w:t>国</w:t>
      </w:r>
      <w:r>
        <w:rPr>
          <w:rStyle w:val="32"/>
          <w:rFonts w:hint="eastAsia" w:ascii="仿宋" w:hAnsi="仿宋" w:eastAsia="仿宋"/>
          <w:b w:val="0"/>
          <w:bCs w:val="0"/>
          <w:color w:val="auto"/>
          <w:highlight w:val="none"/>
        </w:rPr>
        <w:t>有资本经营预算</w:t>
      </w:r>
      <w:r>
        <w:rPr>
          <w:rStyle w:val="32"/>
          <w:rFonts w:hint="eastAsia" w:ascii="仿宋" w:hAnsi="仿宋" w:eastAsia="仿宋"/>
          <w:b w:val="0"/>
          <w:bCs w:val="0"/>
          <w:color w:val="auto"/>
          <w:highlight w:val="none"/>
          <w:lang w:eastAsia="zh-CN"/>
        </w:rPr>
        <w:t>财政拨款收入</w:t>
      </w:r>
      <w:r>
        <w:rPr>
          <w:rStyle w:val="32"/>
          <w:rFonts w:hint="eastAsia" w:ascii="仿宋" w:hAnsi="仿宋" w:eastAsia="仿宋"/>
          <w:b w:val="0"/>
          <w:bCs w:val="0"/>
          <w:color w:val="auto"/>
          <w:highlight w:val="none"/>
        </w:rPr>
        <w:t>支出决算表</w:t>
      </w:r>
      <w:bookmarkEnd w:id="94"/>
    </w:p>
    <w:p w14:paraId="770FD9D3">
      <w:pPr>
        <w:pStyle w:val="4"/>
        <w:rPr>
          <w:rFonts w:ascii="仿宋" w:hAnsi="仿宋" w:eastAsia="仿宋"/>
          <w:color w:val="auto"/>
          <w:highlight w:val="none"/>
        </w:rPr>
      </w:pPr>
      <w:bookmarkStart w:id="95" w:name="_Toc15396630"/>
      <w:bookmarkStart w:id="96" w:name="_Toc14406_WPSOffice_Level2"/>
      <w:r>
        <w:rPr>
          <w:rStyle w:val="32"/>
          <w:rFonts w:hint="eastAsia" w:ascii="仿宋" w:hAnsi="仿宋" w:eastAsia="仿宋"/>
          <w:b w:val="0"/>
          <w:bCs w:val="0"/>
          <w:color w:val="auto"/>
          <w:highlight w:val="none"/>
        </w:rPr>
        <w:t>十二、</w:t>
      </w:r>
      <w:bookmarkEnd w:id="95"/>
      <w:r>
        <w:rPr>
          <w:rStyle w:val="32"/>
          <w:rFonts w:hint="eastAsia" w:ascii="仿宋" w:hAnsi="仿宋" w:eastAsia="仿宋"/>
          <w:b w:val="0"/>
          <w:bCs w:val="0"/>
          <w:color w:val="auto"/>
          <w:highlight w:val="none"/>
          <w:lang w:eastAsia="zh-CN"/>
        </w:rPr>
        <w:t>国有资本经营预算财政拨款支出决算表</w:t>
      </w:r>
      <w:bookmarkEnd w:id="96"/>
    </w:p>
    <w:p w14:paraId="2953DE54">
      <w:pPr>
        <w:pStyle w:val="4"/>
        <w:rPr>
          <w:rFonts w:hint="eastAsia" w:eastAsia="仿宋"/>
          <w:color w:val="auto"/>
          <w:highlight w:val="none"/>
          <w:lang w:eastAsia="zh-CN"/>
        </w:rPr>
      </w:pPr>
      <w:bookmarkStart w:id="97" w:name="_Toc15396631"/>
      <w:bookmarkStart w:id="98" w:name="_Toc27684_WPSOffice_Level2"/>
      <w:r>
        <w:rPr>
          <w:rStyle w:val="32"/>
          <w:rFonts w:hint="eastAsia" w:ascii="仿宋" w:hAnsi="仿宋" w:eastAsia="仿宋"/>
          <w:b w:val="0"/>
          <w:bCs w:val="0"/>
          <w:color w:val="auto"/>
          <w:highlight w:val="none"/>
        </w:rPr>
        <w:t>十三、</w:t>
      </w:r>
      <w:bookmarkEnd w:id="97"/>
      <w:r>
        <w:rPr>
          <w:rStyle w:val="32"/>
          <w:rFonts w:hint="eastAsia" w:ascii="仿宋" w:hAnsi="仿宋" w:eastAsia="仿宋"/>
          <w:b w:val="0"/>
          <w:bCs w:val="0"/>
          <w:color w:val="auto"/>
          <w:highlight w:val="none"/>
          <w:lang w:eastAsia="zh-CN"/>
        </w:rPr>
        <w:t>财政拨款“三公”经费支出决算表</w:t>
      </w:r>
      <w:bookmarkEnd w:id="98"/>
    </w:p>
    <w:sectPr>
      <w:headerReference r:id="rId3" w:type="default"/>
      <w:footerReference r:id="rId4" w:type="default"/>
      <w:pgSz w:w="11906" w:h="16838"/>
      <w:pgMar w:top="2098" w:right="1474" w:bottom="1984" w:left="1587"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Times New Roman"/>
    <w:panose1 w:val="00000000000000000000"/>
    <w:charset w:val="00"/>
    <w:family w:val="roman"/>
    <w:pitch w:val="default"/>
    <w:sig w:usb0="00000000" w:usb1="00000000" w:usb2="00000000" w:usb3="00000000" w:csb0="00000000" w:csb1="00000000"/>
  </w:font>
  <w:font w:name="方正小标宋简体">
    <w:altName w:val="黑体"/>
    <w:panose1 w:val="02010601030101010101"/>
    <w:charset w:val="86"/>
    <w:family w:val="script"/>
    <w:pitch w:val="default"/>
    <w:sig w:usb0="00000000" w:usb1="0000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439EEF50">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16C01C77">
        <w:pPr>
          <w:pStyle w:val="12"/>
          <w:jc w:val="center"/>
        </w:pPr>
        <w:r>
          <w:fldChar w:fldCharType="begin"/>
        </w:r>
        <w:r>
          <w:instrText xml:space="preserve">PAGE   \* MERGEFORMAT</w:instrText>
        </w:r>
        <w:r>
          <w:fldChar w:fldCharType="separate"/>
        </w:r>
        <w:r>
          <w:rPr>
            <w:lang w:val="zh-CN"/>
          </w:rPr>
          <w:t>8</w:t>
        </w:r>
        <w:r>
          <w:fldChar w:fldCharType="end"/>
        </w:r>
      </w:p>
    </w:sdtContent>
  </w:sdt>
  <w:p w14:paraId="7FE68F54">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A5444E">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rPr>
    </w:lvl>
  </w:abstractNum>
  <w:abstractNum w:abstractNumId="1">
    <w:nsid w:val="E2FA047D"/>
    <w:multiLevelType w:val="singleLevel"/>
    <w:tmpl w:val="E2FA047D"/>
    <w:lvl w:ilvl="0" w:tentative="0">
      <w:start w:val="3"/>
      <w:numFmt w:val="chineseCounting"/>
      <w:suff w:val="space"/>
      <w:lvlText w:val="第%1部分"/>
      <w:lvlJc w:val="left"/>
      <w:rPr>
        <w:rFonts w:hint="eastAsia"/>
      </w:rPr>
    </w:lvl>
  </w:abstractNum>
  <w:abstractNum w:abstractNumId="2">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143E91"/>
    <w:rsid w:val="024C31B9"/>
    <w:rsid w:val="066E0107"/>
    <w:rsid w:val="07996F6E"/>
    <w:rsid w:val="0A2032A3"/>
    <w:rsid w:val="0C435BE8"/>
    <w:rsid w:val="0EB36585"/>
    <w:rsid w:val="0F98263C"/>
    <w:rsid w:val="101860EC"/>
    <w:rsid w:val="10C055FF"/>
    <w:rsid w:val="118107EC"/>
    <w:rsid w:val="123D6E58"/>
    <w:rsid w:val="129C61FA"/>
    <w:rsid w:val="13D50BC4"/>
    <w:rsid w:val="1412032C"/>
    <w:rsid w:val="15A67643"/>
    <w:rsid w:val="16BB723D"/>
    <w:rsid w:val="180812C8"/>
    <w:rsid w:val="191D3412"/>
    <w:rsid w:val="1A735131"/>
    <w:rsid w:val="1BE8440E"/>
    <w:rsid w:val="1D155CEE"/>
    <w:rsid w:val="1FF35744"/>
    <w:rsid w:val="23860B96"/>
    <w:rsid w:val="240371BF"/>
    <w:rsid w:val="29FD04D3"/>
    <w:rsid w:val="2C4E70D8"/>
    <w:rsid w:val="2C8A61B5"/>
    <w:rsid w:val="2DF04E50"/>
    <w:rsid w:val="2E7711DD"/>
    <w:rsid w:val="2F040D46"/>
    <w:rsid w:val="2F6E3D56"/>
    <w:rsid w:val="319F7F4E"/>
    <w:rsid w:val="3304709D"/>
    <w:rsid w:val="36AA5135"/>
    <w:rsid w:val="376D39B2"/>
    <w:rsid w:val="37E16F03"/>
    <w:rsid w:val="38D469F0"/>
    <w:rsid w:val="3CB26DAC"/>
    <w:rsid w:val="3D98207C"/>
    <w:rsid w:val="3E78745D"/>
    <w:rsid w:val="3FF70E93"/>
    <w:rsid w:val="44E268DA"/>
    <w:rsid w:val="47D127E5"/>
    <w:rsid w:val="4A627F82"/>
    <w:rsid w:val="4B0E749A"/>
    <w:rsid w:val="4B4F25DA"/>
    <w:rsid w:val="4BE068DB"/>
    <w:rsid w:val="4D577224"/>
    <w:rsid w:val="4EAB630A"/>
    <w:rsid w:val="4ECE2238"/>
    <w:rsid w:val="50A867A1"/>
    <w:rsid w:val="537E6D0A"/>
    <w:rsid w:val="53B8765E"/>
    <w:rsid w:val="54C561D3"/>
    <w:rsid w:val="5AF92295"/>
    <w:rsid w:val="5CD71FC4"/>
    <w:rsid w:val="63276EDE"/>
    <w:rsid w:val="63AC06F5"/>
    <w:rsid w:val="6C4A05C8"/>
    <w:rsid w:val="6E7E3605"/>
    <w:rsid w:val="6FF5CC65"/>
    <w:rsid w:val="715C0E4B"/>
    <w:rsid w:val="72734D90"/>
    <w:rsid w:val="73AD73D5"/>
    <w:rsid w:val="73B6EB34"/>
    <w:rsid w:val="744731E5"/>
    <w:rsid w:val="76E3355F"/>
    <w:rsid w:val="778769C8"/>
    <w:rsid w:val="79466BA3"/>
    <w:rsid w:val="79C207E7"/>
    <w:rsid w:val="79EE5BA4"/>
    <w:rsid w:val="7A894339"/>
    <w:rsid w:val="7C704C8B"/>
    <w:rsid w:val="7EEF11D3"/>
    <w:rsid w:val="7FA30C79"/>
    <w:rsid w:val="7FB7269E"/>
    <w:rsid w:val="7FC96657"/>
    <w:rsid w:val="D8D6DB89"/>
    <w:rsid w:val="DB6F4CAB"/>
    <w:rsid w:val="DF6F9789"/>
    <w:rsid w:val="E9F9EDD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1"/>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2"/>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5"/>
    <w:unhideWhenUsed/>
    <w:qFormat/>
    <w:uiPriority w:val="9"/>
    <w:pPr>
      <w:keepNext/>
      <w:keepLines/>
      <w:spacing w:before="260" w:after="260" w:line="416" w:lineRule="auto"/>
      <w:outlineLvl w:val="2"/>
    </w:pPr>
    <w:rPr>
      <w:b/>
      <w:bCs/>
      <w:sz w:val="32"/>
      <w:szCs w:val="32"/>
    </w:rPr>
  </w:style>
  <w:style w:type="character" w:default="1" w:styleId="19">
    <w:name w:val="Default Paragraph Font"/>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customStyle="1" w:styleId="2">
    <w:name w:val="ToCaption"/>
    <w:basedOn w:val="1"/>
    <w:next w:val="1"/>
    <w:qFormat/>
    <w:uiPriority w:val="0"/>
    <w:pPr>
      <w:ind w:left="400" w:leftChars="200" w:hanging="200" w:hangingChars="200"/>
      <w:textAlignment w:val="baseline"/>
    </w:pPr>
  </w:style>
  <w:style w:type="paragraph" w:styleId="6">
    <w:name w:val="Salutation"/>
    <w:basedOn w:val="1"/>
    <w:next w:val="1"/>
    <w:qFormat/>
    <w:uiPriority w:val="0"/>
    <w:pPr>
      <w:spacing w:line="240" w:lineRule="auto"/>
      <w:ind w:firstLine="0"/>
    </w:pPr>
    <w:rPr>
      <w:rFonts w:ascii="Calibri" w:hAnsi="Calibri" w:eastAsia="宋体"/>
      <w:sz w:val="21"/>
    </w:rPr>
  </w:style>
  <w:style w:type="paragraph" w:styleId="7">
    <w:name w:val="Body Text"/>
    <w:basedOn w:val="1"/>
    <w:link w:val="28"/>
    <w:qFormat/>
    <w:uiPriority w:val="99"/>
    <w:pPr>
      <w:spacing w:beforeLines="30"/>
    </w:pPr>
    <w:rPr>
      <w:rFonts w:ascii="仿宋_GB2312" w:eastAsia="仿宋_GB2312"/>
      <w:kern w:val="0"/>
      <w:sz w:val="30"/>
    </w:rPr>
  </w:style>
  <w:style w:type="paragraph" w:styleId="8">
    <w:name w:val="Body Text Indent"/>
    <w:basedOn w:val="1"/>
    <w:next w:val="9"/>
    <w:qFormat/>
    <w:uiPriority w:val="0"/>
    <w:pPr>
      <w:spacing w:after="120"/>
      <w:ind w:leftChars="200"/>
    </w:pPr>
    <w:rPr>
      <w:rFonts w:ascii="仿宋_GB2312"/>
      <w:szCs w:val="32"/>
    </w:rPr>
  </w:style>
  <w:style w:type="paragraph" w:styleId="9">
    <w:name w:val="Body Text First Indent 2"/>
    <w:basedOn w:val="8"/>
    <w:next w:val="1"/>
    <w:unhideWhenUsed/>
    <w:qFormat/>
    <w:uiPriority w:val="99"/>
    <w:pPr>
      <w:ind w:firstLine="420" w:firstLineChars="200"/>
    </w:pPr>
  </w:style>
  <w:style w:type="paragraph" w:styleId="10">
    <w:name w:val="toc 3"/>
    <w:basedOn w:val="1"/>
    <w:next w:val="1"/>
    <w:unhideWhenUsed/>
    <w:qFormat/>
    <w:uiPriority w:val="39"/>
    <w:pPr>
      <w:tabs>
        <w:tab w:val="right" w:leader="dot" w:pos="8296"/>
      </w:tabs>
      <w:ind w:left="840" w:leftChars="400"/>
    </w:pPr>
  </w:style>
  <w:style w:type="paragraph" w:styleId="11">
    <w:name w:val="Balloon Text"/>
    <w:basedOn w:val="1"/>
    <w:link w:val="34"/>
    <w:semiHidden/>
    <w:unhideWhenUsed/>
    <w:qFormat/>
    <w:uiPriority w:val="99"/>
    <w:rPr>
      <w:sz w:val="18"/>
      <w:szCs w:val="18"/>
    </w:rPr>
  </w:style>
  <w:style w:type="paragraph" w:styleId="12">
    <w:name w:val="footer"/>
    <w:basedOn w:val="1"/>
    <w:link w:val="26"/>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4"/>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footnote text"/>
    <w:basedOn w:val="1"/>
    <w:next w:val="9"/>
    <w:semiHidden/>
    <w:qFormat/>
    <w:uiPriority w:val="0"/>
    <w:pPr>
      <w:snapToGrid w:val="0"/>
      <w:jc w:val="left"/>
    </w:pPr>
    <w:rPr>
      <w:sz w:val="18"/>
      <w:szCs w:val="18"/>
    </w:rPr>
  </w:style>
  <w:style w:type="paragraph" w:styleId="16">
    <w:name w:val="toc 2"/>
    <w:basedOn w:val="1"/>
    <w:next w:val="1"/>
    <w:unhideWhenUsed/>
    <w:qFormat/>
    <w:uiPriority w:val="39"/>
    <w:pPr>
      <w:tabs>
        <w:tab w:val="right" w:leader="dot" w:pos="8296"/>
      </w:tabs>
      <w:ind w:left="420" w:leftChars="200"/>
    </w:pPr>
  </w:style>
  <w:style w:type="paragraph" w:styleId="1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20">
    <w:name w:val="Strong"/>
    <w:basedOn w:val="19"/>
    <w:qFormat/>
    <w:uiPriority w:val="99"/>
    <w:rPr>
      <w:b/>
    </w:rPr>
  </w:style>
  <w:style w:type="character" w:styleId="21">
    <w:name w:val="Hyperlink"/>
    <w:basedOn w:val="19"/>
    <w:unhideWhenUsed/>
    <w:qFormat/>
    <w:uiPriority w:val="99"/>
    <w:rPr>
      <w:color w:val="0000FF" w:themeColor="hyperlink"/>
      <w:u w:val="single"/>
      <w14:textFill>
        <w14:solidFill>
          <w14:schemeClr w14:val="hlink"/>
        </w14:solidFill>
      </w14:textFill>
    </w:rPr>
  </w:style>
  <w:style w:type="paragraph" w:customStyle="1" w:styleId="2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3">
    <w:name w:val="Header Char"/>
    <w:basedOn w:val="19"/>
    <w:semiHidden/>
    <w:qFormat/>
    <w:uiPriority w:val="99"/>
    <w:rPr>
      <w:rFonts w:ascii="Times New Roman" w:hAnsi="Times New Roman"/>
      <w:sz w:val="18"/>
      <w:szCs w:val="18"/>
    </w:rPr>
  </w:style>
  <w:style w:type="character" w:customStyle="1" w:styleId="24">
    <w:name w:val="页眉 Char"/>
    <w:link w:val="13"/>
    <w:semiHidden/>
    <w:qFormat/>
    <w:locked/>
    <w:uiPriority w:val="99"/>
    <w:rPr>
      <w:sz w:val="18"/>
    </w:rPr>
  </w:style>
  <w:style w:type="character" w:customStyle="1" w:styleId="25">
    <w:name w:val="Footer Char"/>
    <w:basedOn w:val="19"/>
    <w:semiHidden/>
    <w:qFormat/>
    <w:uiPriority w:val="99"/>
    <w:rPr>
      <w:rFonts w:ascii="Times New Roman" w:hAnsi="Times New Roman"/>
      <w:sz w:val="18"/>
      <w:szCs w:val="18"/>
    </w:rPr>
  </w:style>
  <w:style w:type="character" w:customStyle="1" w:styleId="26">
    <w:name w:val="页脚 Char"/>
    <w:link w:val="12"/>
    <w:qFormat/>
    <w:locked/>
    <w:uiPriority w:val="99"/>
    <w:rPr>
      <w:sz w:val="18"/>
    </w:rPr>
  </w:style>
  <w:style w:type="character" w:customStyle="1" w:styleId="27">
    <w:name w:val="Body Text Char"/>
    <w:basedOn w:val="19"/>
    <w:semiHidden/>
    <w:qFormat/>
    <w:uiPriority w:val="99"/>
    <w:rPr>
      <w:rFonts w:ascii="Times New Roman" w:hAnsi="Times New Roman"/>
      <w:szCs w:val="24"/>
    </w:rPr>
  </w:style>
  <w:style w:type="character" w:customStyle="1" w:styleId="28">
    <w:name w:val="正文文本 Char"/>
    <w:link w:val="7"/>
    <w:qFormat/>
    <w:locked/>
    <w:uiPriority w:val="99"/>
    <w:rPr>
      <w:rFonts w:ascii="仿宋_GB2312" w:hAnsi="Times New Roman" w:eastAsia="仿宋_GB2312"/>
      <w:sz w:val="24"/>
    </w:rPr>
  </w:style>
  <w:style w:type="paragraph" w:customStyle="1" w:styleId="29">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0">
    <w:name w:val="List Paragraph"/>
    <w:basedOn w:val="1"/>
    <w:qFormat/>
    <w:uiPriority w:val="34"/>
    <w:pPr>
      <w:ind w:firstLine="420" w:firstLineChars="200"/>
    </w:pPr>
  </w:style>
  <w:style w:type="character" w:customStyle="1" w:styleId="31">
    <w:name w:val="标题 1 Char"/>
    <w:basedOn w:val="19"/>
    <w:link w:val="3"/>
    <w:qFormat/>
    <w:uiPriority w:val="9"/>
    <w:rPr>
      <w:rFonts w:ascii="Times New Roman" w:hAnsi="Times New Roman"/>
      <w:b/>
      <w:bCs/>
      <w:kern w:val="44"/>
      <w:sz w:val="44"/>
      <w:szCs w:val="44"/>
    </w:rPr>
  </w:style>
  <w:style w:type="character" w:customStyle="1" w:styleId="32">
    <w:name w:val="标题 2 Char"/>
    <w:basedOn w:val="19"/>
    <w:link w:val="4"/>
    <w:qFormat/>
    <w:uiPriority w:val="9"/>
    <w:rPr>
      <w:rFonts w:asciiTheme="majorHAnsi" w:hAnsiTheme="majorHAnsi" w:eastAsiaTheme="majorEastAsia" w:cstheme="majorBidi"/>
      <w:b/>
      <w:bCs/>
      <w:kern w:val="2"/>
      <w:sz w:val="32"/>
      <w:szCs w:val="32"/>
    </w:rPr>
  </w:style>
  <w:style w:type="paragraph" w:customStyle="1" w:styleId="33">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4">
    <w:name w:val="批注框文本 Char"/>
    <w:basedOn w:val="19"/>
    <w:link w:val="11"/>
    <w:semiHidden/>
    <w:qFormat/>
    <w:uiPriority w:val="99"/>
    <w:rPr>
      <w:rFonts w:ascii="Times New Roman" w:hAnsi="Times New Roman"/>
      <w:kern w:val="2"/>
      <w:sz w:val="18"/>
      <w:szCs w:val="18"/>
    </w:rPr>
  </w:style>
  <w:style w:type="character" w:customStyle="1" w:styleId="35">
    <w:name w:val="标题 3 Char"/>
    <w:basedOn w:val="19"/>
    <w:link w:val="5"/>
    <w:qFormat/>
    <w:uiPriority w:val="9"/>
    <w:rPr>
      <w:rFonts w:ascii="Times New Roman" w:hAnsi="Times New Roman"/>
      <w:b/>
      <w:bCs/>
      <w:kern w:val="2"/>
      <w:sz w:val="32"/>
      <w:szCs w:val="32"/>
    </w:rPr>
  </w:style>
  <w:style w:type="paragraph" w:customStyle="1" w:styleId="36">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7">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8">
    <w:name w:val="WPSOffice手动目录 1"/>
    <w:qFormat/>
    <w:uiPriority w:val="0"/>
    <w:pPr>
      <w:ind w:leftChars="0"/>
    </w:pPr>
    <w:rPr>
      <w:rFonts w:ascii="Times New Roman" w:hAnsi="Times New Roman" w:eastAsia="宋体" w:cs="Times New Roman"/>
      <w:sz w:val="20"/>
      <w:szCs w:val="20"/>
    </w:rPr>
  </w:style>
  <w:style w:type="paragraph" w:customStyle="1" w:styleId="39">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glossaryDocument" Target="glossary/document.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media/kylin/0888034e-1a56-4724-8e18-41ade9cbcbc22/&#31185;&#21327;&#36130;&#21153;&#36164;&#26009;/&#31185;&#21327;&#36130;&#21153;&#36164;&#26009;/AAA&#36130;&#21153;&#36164;&#26009;/A&#20844;&#25991;&#21253;/2025&#24180;&#20844;&#25991;&#21253;/2025&#24180;&#36130;&#21153;&#25253;&#34920;/2025&#24180;&#24230;&#20915;&#31639;&#20844;&#24320;/&#20915;&#31639;&#20844;&#24320;&#30011;&#22270;2025.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5.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6.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2024年度</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收入</c:v>
                </c:pt>
                <c:pt idx="1">
                  <c:v>支出</c:v>
                </c:pt>
              </c:strCache>
            </c:strRef>
          </c:cat>
          <c:val>
            <c:numRef>
              <c:f>Sheet1!$B$2:$B$3</c:f>
              <c:numCache>
                <c:formatCode>General</c:formatCode>
                <c:ptCount val="2"/>
                <c:pt idx="0">
                  <c:v>219.6</c:v>
                </c:pt>
                <c:pt idx="1">
                  <c:v>219.6</c:v>
                </c:pt>
              </c:numCache>
            </c:numRef>
          </c:val>
        </c:ser>
        <c:ser>
          <c:idx val="1"/>
          <c:order val="1"/>
          <c:tx>
            <c:strRef>
              <c:f>Sheet1!$C$1</c:f>
              <c:strCache>
                <c:ptCount val="1"/>
                <c:pt idx="0">
                  <c:v>2025年度</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收入</c:v>
                </c:pt>
                <c:pt idx="1">
                  <c:v>支出</c:v>
                </c:pt>
              </c:strCache>
            </c:strRef>
          </c:cat>
          <c:val>
            <c:numRef>
              <c:f>Sheet1!$C$2:$C$3</c:f>
              <c:numCache>
                <c:formatCode>General</c:formatCode>
                <c:ptCount val="2"/>
                <c:pt idx="0">
                  <c:v>197.76</c:v>
                </c:pt>
                <c:pt idx="1">
                  <c:v>197.76</c:v>
                </c:pt>
              </c:numCache>
            </c:numRef>
          </c:val>
        </c:ser>
        <c:dLbls>
          <c:showLegendKey val="0"/>
          <c:showVal val="0"/>
          <c:showCatName val="0"/>
          <c:showSerName val="0"/>
          <c:showPercent val="0"/>
          <c:showBubbleSize val="0"/>
        </c:dLbls>
        <c:gapWidth val="246"/>
        <c:overlap val="-28"/>
        <c:axId val="368193348"/>
        <c:axId val="28662419"/>
      </c:barChart>
      <c:catAx>
        <c:axId val="368193348"/>
        <c:scaling>
          <c:orientation val="minMax"/>
        </c:scaling>
        <c:delete val="0"/>
        <c:axPos val="b"/>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8662419"/>
        <c:crosses val="autoZero"/>
        <c:auto val="1"/>
        <c:lblAlgn val="ctr"/>
        <c:lblOffset val="100"/>
        <c:noMultiLvlLbl val="0"/>
      </c:catAx>
      <c:valAx>
        <c:axId val="28662419"/>
        <c:scaling>
          <c:orientation val="minMax"/>
        </c:scaling>
        <c:delete val="0"/>
        <c:axPos val="l"/>
        <c:majorGridlines>
          <c:spPr>
            <a:ln w="9525" cap="flat" cmpd="sng" algn="ctr">
              <a:solidFill>
                <a:schemeClr val="lt1">
                  <a:lumMod val="90200"/>
                </a:schemeClr>
              </a:solidFill>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t>金额：万元</a:t>
                </a:r>
              </a:p>
            </c:rich>
          </c:tx>
          <c:layout/>
          <c:overlay val="0"/>
          <c:spPr>
            <a:noFill/>
            <a:ln>
              <a:noFill/>
            </a:ln>
            <a:effectLst/>
          </c:spPr>
        </c:title>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819334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95bd7fa-e8ff-4532-81ef-d7f522f53a9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a:t>2025</a:t>
            </a:r>
            <a:r>
              <a:rPr altLang="en-US"/>
              <a:t>年收入决算结构图</a:t>
            </a:r>
            <a:endParaRPr altLang="en-US"/>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accent1">
                  <a:lumMod val="60000"/>
                </a:schemeClr>
              </a:solidFill>
              <a:ln w="19050">
                <a:solidFill>
                  <a:schemeClr val="lt1"/>
                </a:solidFill>
              </a:ln>
              <a:effectLst/>
            </c:spPr>
          </c:dPt>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197.76</a:t>
                    </a:r>
                    <a:endParaRPr lang="en-US" altLang="zh-CN"/>
                  </a:p>
                </c:rich>
              </c:tx>
              <c:dLblPos val="ctr"/>
              <c:showLegendKey val="0"/>
              <c:showVal val="0"/>
              <c:showCatName val="0"/>
              <c:showSerName val="0"/>
              <c:showPercent val="1"/>
              <c:showBubbleSize val="0"/>
              <c:extLst>
                <c:ext xmlns:c15="http://schemas.microsoft.com/office/drawing/2012/chart" uri="{CE6537A1-D6FC-4f65-9D91-7224C49458BB}"/>
              </c:extLst>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[决算公开画图2025.xlsx]Sheet1!$F$3:$F$9</c:f>
              <c:strCache>
                <c:ptCount val="7"/>
                <c:pt idx="0">
                  <c:v>一般公共预算财政拨款收入</c:v>
                </c:pt>
                <c:pt idx="1">
                  <c:v>政府性基金预算财政拨款收入</c:v>
                </c:pt>
                <c:pt idx="2">
                  <c:v>上级补助收入</c:v>
                </c:pt>
                <c:pt idx="3">
                  <c:v>事业收入</c:v>
                </c:pt>
                <c:pt idx="4">
                  <c:v>经营收入</c:v>
                </c:pt>
                <c:pt idx="5">
                  <c:v>附属单位上缴收入</c:v>
                </c:pt>
                <c:pt idx="6">
                  <c:v>其他收入</c:v>
                </c:pt>
              </c:strCache>
            </c:strRef>
          </c:cat>
          <c:val>
            <c:numRef>
              <c:f>[决算公开画图2025.xlsx]Sheet1!$G$3:$G$9</c:f>
              <c:numCache>
                <c:formatCode>General</c:formatCode>
                <c:ptCount val="7"/>
                <c:pt idx="0">
                  <c:v>164.39</c:v>
                </c:pt>
                <c:pt idx="1">
                  <c:v>0</c:v>
                </c:pt>
                <c:pt idx="2">
                  <c:v>0</c:v>
                </c:pt>
                <c:pt idx="3">
                  <c:v>0</c:v>
                </c:pt>
                <c:pt idx="4">
                  <c:v>0</c:v>
                </c:pt>
                <c:pt idx="5">
                  <c:v>0</c:v>
                </c:pt>
                <c:pt idx="6">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4e01deb-5cf2-40c0-b1eb-f84fd37a7ca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金额（万元）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Lbl>
              <c:idx val="0"/>
              <c:layout>
                <c:manualLayout>
                  <c:x val="0.147265625"/>
                  <c:y val="-0.00835561497326203"/>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spPr>
              <a:noFill/>
              <a:ln w="12700" cmpd="sng">
                <a:noFill/>
                <a:prstDash val="solid"/>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186.61</c:v>
                </c:pt>
                <c:pt idx="1">
                  <c:v>11.14</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6eb9834-1dff-4b47-b181-26db371d28c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
        <c:rich>
          <a:bodyPr/>
          <a:lstStyle/>
          <a:p>
            <a:pPr>
              <a:defRPr/>
            </a:pPr>
          </a:p>
        </c:rich>
      </c:tx>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Sheet1!$A$2:$A$3</c:f>
              <c:strCache>
                <c:ptCount val="2"/>
                <c:pt idx="0">
                  <c:v>财政拨款收入</c:v>
                </c:pt>
                <c:pt idx="1">
                  <c:v>财政拨款支出</c:v>
                </c:pt>
              </c:strCache>
            </c:strRef>
          </c:cat>
          <c:val>
            <c:numRef>
              <c:f>Sheet1!$B$2:$B$3</c:f>
              <c:numCache>
                <c:formatCode>General</c:formatCode>
                <c:ptCount val="2"/>
                <c:pt idx="0">
                  <c:v>219.6</c:v>
                </c:pt>
                <c:pt idx="1">
                  <c:v>219.6</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Sheet1!$A$2:$A$3</c:f>
              <c:strCache>
                <c:ptCount val="2"/>
                <c:pt idx="0">
                  <c:v>财政拨款收入</c:v>
                </c:pt>
                <c:pt idx="1">
                  <c:v>财政拨款支出</c:v>
                </c:pt>
              </c:strCache>
            </c:strRef>
          </c:cat>
          <c:val>
            <c:numRef>
              <c:f>Sheet1!$C$2:$C$3</c:f>
              <c:numCache>
                <c:formatCode>General</c:formatCode>
                <c:ptCount val="2"/>
                <c:pt idx="0">
                  <c:v>197.76</c:v>
                </c:pt>
                <c:pt idx="1">
                  <c:v>197.76</c:v>
                </c:pt>
              </c:numCache>
            </c:numRef>
          </c:val>
        </c:ser>
        <c:dLbls>
          <c:showLegendKey val="0"/>
          <c:showVal val="1"/>
          <c:showCatName val="0"/>
          <c:showSerName val="0"/>
          <c:showPercent val="0"/>
          <c:showBubbleSize val="0"/>
        </c:dLbls>
        <c:gapWidth val="246"/>
        <c:overlap val="-28"/>
        <c:axId val="173341794"/>
        <c:axId val="928037412"/>
      </c:barChart>
      <c:catAx>
        <c:axId val="173341794"/>
        <c:scaling>
          <c:orientation val="minMax"/>
        </c:scaling>
        <c:delete val="0"/>
        <c:axPos val="b"/>
        <c:majorTickMark val="out"/>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8037412"/>
        <c:crosses val="autoZero"/>
        <c:auto val="1"/>
        <c:lblAlgn val="ctr"/>
        <c:lblOffset val="100"/>
        <c:noMultiLvlLbl val="0"/>
      </c:catAx>
      <c:valAx>
        <c:axId val="928037412"/>
        <c:scaling>
          <c:orientation val="minMax"/>
        </c:scaling>
        <c:delete val="0"/>
        <c:axPos val="l"/>
        <c:majorGridlines>
          <c:spPr>
            <a:ln w="9525" cap="flat" cmpd="sng" algn="ctr">
              <a:solidFill>
                <a:schemeClr val="lt1">
                  <a:lumMod val="90200"/>
                </a:schemeClr>
              </a:solidFill>
              <a:prstDash val="solid"/>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t>金额：万元</a:t>
                </a:r>
              </a:p>
            </c:rich>
          </c:tx>
          <c:layout/>
          <c:overlay val="0"/>
          <c:spPr>
            <a:noFill/>
            <a:ln>
              <a:noFill/>
            </a:ln>
            <a:effectLst/>
          </c:spPr>
        </c:title>
        <c:numFmt formatCode="General" sourceLinked="1"/>
        <c:majorTickMark val="out"/>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334179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00c2ee9-505f-487a-b1f3-fa44a21f2918}"/>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b="0">
                <a:latin typeface="方正仿宋_GBK" panose="03000509000000000000" charset="-122"/>
                <a:ea typeface="方正仿宋_GBK" panose="03000509000000000000" charset="-122"/>
              </a:rPr>
              <a:t>一般公共预算财政拨款支出（万元）</a:t>
            </a:r>
            <a:endParaRPr b="0">
              <a:latin typeface="方正仿宋_GBK" panose="03000509000000000000" charset="-122"/>
              <a:ea typeface="方正仿宋_GBK" panose="03000509000000000000" charset="-122"/>
            </a:endParaRPr>
          </a:p>
        </c:rich>
      </c:tx>
      <c:layout>
        <c:manualLayout>
          <c:xMode val="edge"/>
          <c:yMode val="edge"/>
          <c:x val="0.220815961882073"/>
          <c:y val="0.03996003996004"/>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一般公共预算财政拨款支出（万元）</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219.6</c:v>
                </c:pt>
                <c:pt idx="1">
                  <c:v>197.76</c:v>
                </c:pt>
              </c:numCache>
            </c:numRef>
          </c:val>
        </c:ser>
        <c:dLbls>
          <c:showLegendKey val="0"/>
          <c:showVal val="1"/>
          <c:showCatName val="0"/>
          <c:showSerName val="0"/>
          <c:showPercent val="0"/>
          <c:showBubbleSize val="0"/>
        </c:dLbls>
        <c:gapWidth val="246"/>
        <c:overlap val="-28"/>
        <c:axId val="846726967"/>
        <c:axId val="493808295"/>
      </c:barChart>
      <c:catAx>
        <c:axId val="846726967"/>
        <c:scaling>
          <c:orientation val="minMax"/>
        </c:scaling>
        <c:delete val="0"/>
        <c:axPos val="b"/>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3808295"/>
        <c:crosses val="autoZero"/>
        <c:auto val="1"/>
        <c:lblAlgn val="ctr"/>
        <c:lblOffset val="100"/>
        <c:noMultiLvlLbl val="0"/>
      </c:catAx>
      <c:valAx>
        <c:axId val="493808295"/>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46726967"/>
        <c:crosses val="autoZero"/>
        <c:crossBetween val="between"/>
      </c:valAx>
      <c:spPr>
        <a:noFill/>
        <a:ln>
          <a:noFill/>
        </a:ln>
        <a:effectLst/>
      </c:spPr>
    </c:plotArea>
    <c:plotVisOnly val="1"/>
    <c:dispBlanksAs val="gap"/>
    <c:showDLblsOverMax val="0"/>
    <c:extLst>
      <c:ext uri="{0b15fc19-7d7d-44ad-8c2d-2c3a37ce22c3}">
        <chartProps xmlns="https://web.wps.cn/et/2018/main" chartId="{856c97eb-6aa7-4218-b966-73919b70efa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金额（万元）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一般公共服务支出</c:v>
                </c:pt>
                <c:pt idx="1">
                  <c:v>社会保障和就业支出</c:v>
                </c:pt>
                <c:pt idx="2">
                  <c:v>卫生健康支出</c:v>
                </c:pt>
                <c:pt idx="3">
                  <c:v>住房保障支出</c:v>
                </c:pt>
              </c:strCache>
            </c:strRef>
          </c:cat>
          <c:val>
            <c:numRef>
              <c:f>Sheet1!$B$2:$B$5</c:f>
              <c:numCache>
                <c:formatCode>General</c:formatCode>
                <c:ptCount val="4"/>
                <c:pt idx="0">
                  <c:v>144.62</c:v>
                </c:pt>
                <c:pt idx="1">
                  <c:v>30.53</c:v>
                </c:pt>
                <c:pt idx="2">
                  <c:v>9.73</c:v>
                </c:pt>
                <c:pt idx="3">
                  <c:v>12.87</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2d20d35-8800-4268-a5be-3ba6e477f66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38ecef94-5902-4523-ae8d-f3dcdc281b52}"/>
        <w:style w:val=""/>
        <w:category>
          <w:name w:val="常规"/>
          <w:gallery w:val="placeholder"/>
        </w:category>
        <w:types>
          <w:type w:val="bbPlcHdr"/>
        </w:types>
        <w:behaviors>
          <w:behavior w:val="content"/>
        </w:behaviors>
        <w:description w:val=""/>
        <w:guid w:val="{38ecef94-5902-4523-ae8d-f3dcdc281b52}"/>
      </w:docPartPr>
      <w:docPartBody>
        <w:p w14:paraId="39606E6B">
          <w:r>
            <w:rPr>
              <w:color w:val="808080"/>
            </w:rPr>
            <w:t>单击此处输入文字。</w:t>
          </w:r>
        </w:p>
      </w:docPartBody>
    </w:docPart>
    <w:docPart>
      <w:docPartPr>
        <w:name w:val="{38e32eca-91db-48bb-a838-1acefd3d438c}"/>
        <w:style w:val=""/>
        <w:category>
          <w:name w:val="常规"/>
          <w:gallery w:val="placeholder"/>
        </w:category>
        <w:types>
          <w:type w:val="bbPlcHdr"/>
        </w:types>
        <w:behaviors>
          <w:behavior w:val="content"/>
        </w:behaviors>
        <w:description w:val=""/>
        <w:guid w:val="{38e32eca-91db-48bb-a838-1acefd3d438c}"/>
      </w:docPartPr>
      <w:docPartBody>
        <w:p w14:paraId="6C2C236A">
          <w:r>
            <w:rPr>
              <w:color w:val="808080"/>
            </w:rPr>
            <w:t>单击此处输入文字。</w:t>
          </w:r>
        </w:p>
      </w:docPartBody>
    </w:docPart>
    <w:docPart>
      <w:docPartPr>
        <w:name w:val="{0d276873-cbb3-43e0-9b1e-96ff4242519b}"/>
        <w:style w:val=""/>
        <w:category>
          <w:name w:val="常规"/>
          <w:gallery w:val="placeholder"/>
        </w:category>
        <w:types>
          <w:type w:val="bbPlcHdr"/>
        </w:types>
        <w:behaviors>
          <w:behavior w:val="content"/>
        </w:behaviors>
        <w:description w:val=""/>
        <w:guid w:val="{0d276873-cbb3-43e0-9b1e-96ff4242519b}"/>
      </w:docPartPr>
      <w:docPartBody>
        <w:p w14:paraId="5A353374">
          <w:r>
            <w:rPr>
              <w:color w:val="808080"/>
            </w:rPr>
            <w:t>单击此处输入文字。</w:t>
          </w:r>
        </w:p>
      </w:docPartBody>
    </w:docPart>
    <w:docPart>
      <w:docPartPr>
        <w:name w:val="{c635b9b5-8dd0-403f-98db-945bc351bcdf}"/>
        <w:style w:val=""/>
        <w:category>
          <w:name w:val="常规"/>
          <w:gallery w:val="placeholder"/>
        </w:category>
        <w:types>
          <w:type w:val="bbPlcHdr"/>
        </w:types>
        <w:behaviors>
          <w:behavior w:val="content"/>
        </w:behaviors>
        <w:description w:val=""/>
        <w:guid w:val="{c635b9b5-8dd0-403f-98db-945bc351bcdf}"/>
      </w:docPartPr>
      <w:docPartBody>
        <w:p w14:paraId="79D3E8EB">
          <w:r>
            <w:rPr>
              <w:color w:val="808080"/>
            </w:rPr>
            <w:t>单击此处输入文字。</w:t>
          </w:r>
        </w:p>
      </w:docPartBody>
    </w:docPart>
    <w:docPart>
      <w:docPartPr>
        <w:name w:val="{752c8316-53dd-4c39-bb90-2668de07c0ac}"/>
        <w:style w:val=""/>
        <w:category>
          <w:name w:val="常规"/>
          <w:gallery w:val="placeholder"/>
        </w:category>
        <w:types>
          <w:type w:val="bbPlcHdr"/>
        </w:types>
        <w:behaviors>
          <w:behavior w:val="content"/>
        </w:behaviors>
        <w:description w:val=""/>
        <w:guid w:val="{752c8316-53dd-4c39-bb90-2668de07c0ac}"/>
      </w:docPartPr>
      <w:docPartBody>
        <w:p w14:paraId="0FAF5B9A">
          <w:r>
            <w:rPr>
              <w:color w:val="808080"/>
            </w:rPr>
            <w:t>单击此处输入文字。</w:t>
          </w:r>
        </w:p>
      </w:docPartBody>
    </w:docPart>
    <w:docPart>
      <w:docPartPr>
        <w:name w:val="{faeecf69-7122-467a-9ef9-ce31c8566b8c}"/>
        <w:style w:val=""/>
        <w:category>
          <w:name w:val="常规"/>
          <w:gallery w:val="placeholder"/>
        </w:category>
        <w:types>
          <w:type w:val="bbPlcHdr"/>
        </w:types>
        <w:behaviors>
          <w:behavior w:val="content"/>
        </w:behaviors>
        <w:description w:val=""/>
        <w:guid w:val="{faeecf69-7122-467a-9ef9-ce31c8566b8c}"/>
      </w:docPartPr>
      <w:docPartBody>
        <w:p w14:paraId="33B84C2B">
          <w:r>
            <w:rPr>
              <w:color w:val="808080"/>
            </w:rPr>
            <w:t>单击此处输入文字。</w:t>
          </w:r>
        </w:p>
      </w:docPartBody>
    </w:docPart>
    <w:docPart>
      <w:docPartPr>
        <w:name w:val="{d4da7243-0be9-4322-bb4e-14408e3c21cb}"/>
        <w:style w:val=""/>
        <w:category>
          <w:name w:val="常规"/>
          <w:gallery w:val="placeholder"/>
        </w:category>
        <w:types>
          <w:type w:val="bbPlcHdr"/>
        </w:types>
        <w:behaviors>
          <w:behavior w:val="content"/>
        </w:behaviors>
        <w:description w:val=""/>
        <w:guid w:val="{d4da7243-0be9-4322-bb4e-14408e3c21cb}"/>
      </w:docPartPr>
      <w:docPartBody>
        <w:p w14:paraId="7BEA690A">
          <w:r>
            <w:rPr>
              <w:color w:val="808080"/>
            </w:rPr>
            <w:t>单击此处输入文字。</w:t>
          </w:r>
        </w:p>
      </w:docPartBody>
    </w:docPart>
    <w:docPart>
      <w:docPartPr>
        <w:name w:val="{45c74954-a477-443e-8719-5583d091caed}"/>
        <w:style w:val=""/>
        <w:category>
          <w:name w:val="常规"/>
          <w:gallery w:val="placeholder"/>
        </w:category>
        <w:types>
          <w:type w:val="bbPlcHdr"/>
        </w:types>
        <w:behaviors>
          <w:behavior w:val="content"/>
        </w:behaviors>
        <w:description w:val=""/>
        <w:guid w:val="{45c74954-a477-443e-8719-5583d091caed}"/>
      </w:docPartPr>
      <w:docPartBody>
        <w:p w14:paraId="2F90AEEF">
          <w:r>
            <w:rPr>
              <w:color w:val="808080"/>
            </w:rPr>
            <w:t>单击此处输入文字。</w:t>
          </w:r>
        </w:p>
      </w:docPartBody>
    </w:docPart>
    <w:docPart>
      <w:docPartPr>
        <w:name w:val="{a9e5c1c2-89ec-4c7b-827a-f97a0463f76b}"/>
        <w:style w:val=""/>
        <w:category>
          <w:name w:val="常规"/>
          <w:gallery w:val="placeholder"/>
        </w:category>
        <w:types>
          <w:type w:val="bbPlcHdr"/>
        </w:types>
        <w:behaviors>
          <w:behavior w:val="content"/>
        </w:behaviors>
        <w:description w:val=""/>
        <w:guid w:val="{a9e5c1c2-89ec-4c7b-827a-f97a0463f76b}"/>
      </w:docPartPr>
      <w:docPartBody>
        <w:p w14:paraId="1AF52403">
          <w:r>
            <w:rPr>
              <w:color w:val="808080"/>
            </w:rPr>
            <w:t>单击此处输入文字。</w:t>
          </w:r>
        </w:p>
      </w:docPartBody>
    </w:docPart>
    <w:docPart>
      <w:docPartPr>
        <w:name w:val="{a93befac-47f5-473e-8443-49bda7671bd3}"/>
        <w:style w:val=""/>
        <w:category>
          <w:name w:val="常规"/>
          <w:gallery w:val="placeholder"/>
        </w:category>
        <w:types>
          <w:type w:val="bbPlcHdr"/>
        </w:types>
        <w:behaviors>
          <w:behavior w:val="content"/>
        </w:behaviors>
        <w:description w:val=""/>
        <w:guid w:val="{a93befac-47f5-473e-8443-49bda7671bd3}"/>
      </w:docPartPr>
      <w:docPartBody>
        <w:p w14:paraId="6880AAFC">
          <w:r>
            <w:rPr>
              <w:color w:val="808080"/>
            </w:rPr>
            <w:t>单击此处输入文字。</w:t>
          </w:r>
        </w:p>
      </w:docPartBody>
    </w:docPart>
    <w:docPart>
      <w:docPartPr>
        <w:name w:val="{337801bc-72e2-409e-9b2a-b3135f0dba1f}"/>
        <w:style w:val=""/>
        <w:category>
          <w:name w:val="常规"/>
          <w:gallery w:val="placeholder"/>
        </w:category>
        <w:types>
          <w:type w:val="bbPlcHdr"/>
        </w:types>
        <w:behaviors>
          <w:behavior w:val="content"/>
        </w:behaviors>
        <w:description w:val=""/>
        <w:guid w:val="{337801bc-72e2-409e-9b2a-b3135f0dba1f}"/>
      </w:docPartPr>
      <w:docPartBody>
        <w:p w14:paraId="2824CEBE">
          <w:r>
            <w:rPr>
              <w:color w:val="808080"/>
            </w:rPr>
            <w:t>单击此处输入文字。</w:t>
          </w:r>
        </w:p>
      </w:docPartBody>
    </w:docPart>
    <w:docPart>
      <w:docPartPr>
        <w:name w:val="{6f341652-f6fc-403c-bd63-fda70a847a09}"/>
        <w:style w:val=""/>
        <w:category>
          <w:name w:val="常规"/>
          <w:gallery w:val="placeholder"/>
        </w:category>
        <w:types>
          <w:type w:val="bbPlcHdr"/>
        </w:types>
        <w:behaviors>
          <w:behavior w:val="content"/>
        </w:behaviors>
        <w:description w:val=""/>
        <w:guid w:val="{6f341652-f6fc-403c-bd63-fda70a847a09}"/>
      </w:docPartPr>
      <w:docPartBody>
        <w:p w14:paraId="1BA257EF">
          <w:r>
            <w:rPr>
              <w:color w:val="808080"/>
            </w:rPr>
            <w:t>单击此处输入文字。</w:t>
          </w:r>
        </w:p>
      </w:docPartBody>
    </w:docPart>
    <w:docPart>
      <w:docPartPr>
        <w:name w:val="{0e4bfcc7-53b1-48f4-846c-abc92f584d68}"/>
        <w:style w:val=""/>
        <w:category>
          <w:name w:val="常规"/>
          <w:gallery w:val="placeholder"/>
        </w:category>
        <w:types>
          <w:type w:val="bbPlcHdr"/>
        </w:types>
        <w:behaviors>
          <w:behavior w:val="content"/>
        </w:behaviors>
        <w:description w:val=""/>
        <w:guid w:val="{0e4bfcc7-53b1-48f4-846c-abc92f584d68}"/>
      </w:docPartPr>
      <w:docPartBody>
        <w:p w14:paraId="597807DD">
          <w:r>
            <w:rPr>
              <w:color w:val="808080"/>
            </w:rPr>
            <w:t>单击此处输入文字。</w:t>
          </w:r>
        </w:p>
      </w:docPartBody>
    </w:docPart>
    <w:docPart>
      <w:docPartPr>
        <w:name w:val="{02beafa0-5e31-454f-8a6a-6e419e83594c}"/>
        <w:style w:val=""/>
        <w:category>
          <w:name w:val="常规"/>
          <w:gallery w:val="placeholder"/>
        </w:category>
        <w:types>
          <w:type w:val="bbPlcHdr"/>
        </w:types>
        <w:behaviors>
          <w:behavior w:val="content"/>
        </w:behaviors>
        <w:description w:val=""/>
        <w:guid w:val="{02beafa0-5e31-454f-8a6a-6e419e83594c}"/>
      </w:docPartPr>
      <w:docPartBody>
        <w:p w14:paraId="2B7619C1">
          <w:r>
            <w:rPr>
              <w:color w:val="808080"/>
            </w:rPr>
            <w:t>单击此处输入文字。</w:t>
          </w:r>
        </w:p>
      </w:docPartBody>
    </w:docPart>
    <w:docPart>
      <w:docPartPr>
        <w:name w:val="{eb3b63fe-080e-41ba-bdc0-f1f8e37fa45b}"/>
        <w:style w:val=""/>
        <w:category>
          <w:name w:val="常规"/>
          <w:gallery w:val="placeholder"/>
        </w:category>
        <w:types>
          <w:type w:val="bbPlcHdr"/>
        </w:types>
        <w:behaviors>
          <w:behavior w:val="content"/>
        </w:behaviors>
        <w:description w:val=""/>
        <w:guid w:val="{eb3b63fe-080e-41ba-bdc0-f1f8e37fa45b}"/>
      </w:docPartPr>
      <w:docPartBody>
        <w:p w14:paraId="30E00C4F">
          <w:r>
            <w:rPr>
              <w:color w:val="808080"/>
            </w:rPr>
            <w:t>单击此处输入文字。</w:t>
          </w:r>
        </w:p>
      </w:docPartBody>
    </w:docPart>
    <w:docPart>
      <w:docPartPr>
        <w:name w:val="{5f716dfd-c44e-42d9-bb8d-a05d194c4004}"/>
        <w:style w:val=""/>
        <w:category>
          <w:name w:val="常规"/>
          <w:gallery w:val="placeholder"/>
        </w:category>
        <w:types>
          <w:type w:val="bbPlcHdr"/>
        </w:types>
        <w:behaviors>
          <w:behavior w:val="content"/>
        </w:behaviors>
        <w:description w:val=""/>
        <w:guid w:val="{5f716dfd-c44e-42d9-bb8d-a05d194c4004}"/>
      </w:docPartPr>
      <w:docPartBody>
        <w:p w14:paraId="2836B1FB">
          <w:r>
            <w:rPr>
              <w:color w:val="808080"/>
            </w:rPr>
            <w:t>单击此处输入文字。</w:t>
          </w:r>
        </w:p>
      </w:docPartBody>
    </w:docPart>
    <w:docPart>
      <w:docPartPr>
        <w:name w:val="{ec1cab99-81e7-4f80-b919-7999a162743f}"/>
        <w:style w:val=""/>
        <w:category>
          <w:name w:val="常规"/>
          <w:gallery w:val="placeholder"/>
        </w:category>
        <w:types>
          <w:type w:val="bbPlcHdr"/>
        </w:types>
        <w:behaviors>
          <w:behavior w:val="content"/>
        </w:behaviors>
        <w:description w:val=""/>
        <w:guid w:val="{ec1cab99-81e7-4f80-b919-7999a162743f}"/>
      </w:docPartPr>
      <w:docPartBody>
        <w:p w14:paraId="0F9E9B92">
          <w:r>
            <w:rPr>
              <w:color w:val="808080"/>
            </w:rPr>
            <w:t>单击此处输入文字。</w:t>
          </w:r>
        </w:p>
      </w:docPartBody>
    </w:docPart>
    <w:docPart>
      <w:docPartPr>
        <w:name w:val="{03c61c13-7ed7-450b-bd41-538d1a4befca}"/>
        <w:style w:val=""/>
        <w:category>
          <w:name w:val="常规"/>
          <w:gallery w:val="placeholder"/>
        </w:category>
        <w:types>
          <w:type w:val="bbPlcHdr"/>
        </w:types>
        <w:behaviors>
          <w:behavior w:val="content"/>
        </w:behaviors>
        <w:description w:val=""/>
        <w:guid w:val="{03c61c13-7ed7-450b-bd41-538d1a4befca}"/>
      </w:docPartPr>
      <w:docPartBody>
        <w:p w14:paraId="39CBC291">
          <w:r>
            <w:rPr>
              <w:color w:val="808080"/>
            </w:rPr>
            <w:t>单击此处输入文字。</w:t>
          </w:r>
        </w:p>
      </w:docPartBody>
    </w:docPart>
    <w:docPart>
      <w:docPartPr>
        <w:name w:val="{63a26222-1a33-4770-9b41-4c7b64a34372}"/>
        <w:style w:val=""/>
        <w:category>
          <w:name w:val="常规"/>
          <w:gallery w:val="placeholder"/>
        </w:category>
        <w:types>
          <w:type w:val="bbPlcHdr"/>
        </w:types>
        <w:behaviors>
          <w:behavior w:val="content"/>
        </w:behaviors>
        <w:description w:val=""/>
        <w:guid w:val="{63a26222-1a33-4770-9b41-4c7b64a34372}"/>
      </w:docPartPr>
      <w:docPartBody>
        <w:p w14:paraId="1C235F4F">
          <w:r>
            <w:rPr>
              <w:color w:val="808080"/>
            </w:rPr>
            <w:t>单击此处输入文字。</w:t>
          </w:r>
        </w:p>
      </w:docPartBody>
    </w:docPart>
    <w:docPart>
      <w:docPartPr>
        <w:name w:val="{55593fbd-7cd2-419a-929a-31ef07a7e071}"/>
        <w:style w:val=""/>
        <w:category>
          <w:name w:val="常规"/>
          <w:gallery w:val="placeholder"/>
        </w:category>
        <w:types>
          <w:type w:val="bbPlcHdr"/>
        </w:types>
        <w:behaviors>
          <w:behavior w:val="content"/>
        </w:behaviors>
        <w:description w:val=""/>
        <w:guid w:val="{55593fbd-7cd2-419a-929a-31ef07a7e071}"/>
      </w:docPartPr>
      <w:docPartBody>
        <w:p w14:paraId="5F642438">
          <w:r>
            <w:rPr>
              <w:color w:val="808080"/>
            </w:rPr>
            <w:t>单击此处输入文字。</w:t>
          </w:r>
        </w:p>
      </w:docPartBody>
    </w:docPart>
    <w:docPart>
      <w:docPartPr>
        <w:name w:val="{b79498a1-7b4d-4c63-9ba6-265dbbdc1d73}"/>
        <w:style w:val=""/>
        <w:category>
          <w:name w:val="常规"/>
          <w:gallery w:val="placeholder"/>
        </w:category>
        <w:types>
          <w:type w:val="bbPlcHdr"/>
        </w:types>
        <w:behaviors>
          <w:behavior w:val="content"/>
        </w:behaviors>
        <w:description w:val=""/>
        <w:guid w:val="{b79498a1-7b4d-4c63-9ba6-265dbbdc1d73}"/>
      </w:docPartPr>
      <w:docPartBody>
        <w:p w14:paraId="4333CA39">
          <w:r>
            <w:rPr>
              <w:color w:val="808080"/>
            </w:rPr>
            <w:t>单击此处输入文字。</w:t>
          </w:r>
        </w:p>
      </w:docPartBody>
    </w:docPart>
    <w:docPart>
      <w:docPartPr>
        <w:name w:val="{9bfa4cc0-aded-47df-bdf0-3d0d28fe4673}"/>
        <w:style w:val=""/>
        <w:category>
          <w:name w:val="常规"/>
          <w:gallery w:val="placeholder"/>
        </w:category>
        <w:types>
          <w:type w:val="bbPlcHdr"/>
        </w:types>
        <w:behaviors>
          <w:behavior w:val="content"/>
        </w:behaviors>
        <w:description w:val=""/>
        <w:guid w:val="{9bfa4cc0-aded-47df-bdf0-3d0d28fe4673}"/>
      </w:docPartPr>
      <w:docPartBody>
        <w:p w14:paraId="2961726D">
          <w:r>
            <w:rPr>
              <w:color w:val="808080"/>
            </w:rPr>
            <w:t>单击此处输入文字。</w:t>
          </w:r>
        </w:p>
      </w:docPartBody>
    </w:docPart>
    <w:docPart>
      <w:docPartPr>
        <w:name w:val="{e7fccdb1-95f6-434d-bb4b-72eb4d384d01}"/>
        <w:style w:val=""/>
        <w:category>
          <w:name w:val="常规"/>
          <w:gallery w:val="placeholder"/>
        </w:category>
        <w:types>
          <w:type w:val="bbPlcHdr"/>
        </w:types>
        <w:behaviors>
          <w:behavior w:val="content"/>
        </w:behaviors>
        <w:description w:val=""/>
        <w:guid w:val="{e7fccdb1-95f6-434d-bb4b-72eb4d384d01}"/>
      </w:docPartPr>
      <w:docPartBody>
        <w:p w14:paraId="1BAB49DA">
          <w:r>
            <w:rPr>
              <w:color w:val="808080"/>
            </w:rPr>
            <w:t>单击此处输入文字。</w:t>
          </w:r>
        </w:p>
      </w:docPartBody>
    </w:docPart>
    <w:docPart>
      <w:docPartPr>
        <w:name w:val="{ef853360-369b-4e6f-8f79-b8851c0452ec}"/>
        <w:style w:val=""/>
        <w:category>
          <w:name w:val="常规"/>
          <w:gallery w:val="placeholder"/>
        </w:category>
        <w:types>
          <w:type w:val="bbPlcHdr"/>
        </w:types>
        <w:behaviors>
          <w:behavior w:val="content"/>
        </w:behaviors>
        <w:description w:val=""/>
        <w:guid w:val="{ef853360-369b-4e6f-8f79-b8851c0452ec}"/>
      </w:docPartPr>
      <w:docPartBody>
        <w:p w14:paraId="661451BF">
          <w:r>
            <w:rPr>
              <w:color w:val="808080"/>
            </w:rPr>
            <w:t>单击此处输入文字。</w:t>
          </w:r>
        </w:p>
      </w:docPartBody>
    </w:docPart>
    <w:docPart>
      <w:docPartPr>
        <w:name w:val="{4c43cac6-ba4a-4647-a664-945256cacd50}"/>
        <w:style w:val=""/>
        <w:category>
          <w:name w:val="常规"/>
          <w:gallery w:val="placeholder"/>
        </w:category>
        <w:types>
          <w:type w:val="bbPlcHdr"/>
        </w:types>
        <w:behaviors>
          <w:behavior w:val="content"/>
        </w:behaviors>
        <w:description w:val=""/>
        <w:guid w:val="{4c43cac6-ba4a-4647-a664-945256cacd50}"/>
      </w:docPartPr>
      <w:docPartBody>
        <w:p w14:paraId="5208EDC7">
          <w:r>
            <w:rPr>
              <w:color w:val="808080"/>
            </w:rPr>
            <w:t>单击此处输入文字。</w:t>
          </w:r>
        </w:p>
      </w:docPartBody>
    </w:docPart>
    <w:docPart>
      <w:docPartPr>
        <w:name w:val="{20b7699f-ffdd-451f-9765-dd9260b91153}"/>
        <w:style w:val=""/>
        <w:category>
          <w:name w:val="常规"/>
          <w:gallery w:val="placeholder"/>
        </w:category>
        <w:types>
          <w:type w:val="bbPlcHdr"/>
        </w:types>
        <w:behaviors>
          <w:behavior w:val="content"/>
        </w:behaviors>
        <w:description w:val=""/>
        <w:guid w:val="{20b7699f-ffdd-451f-9765-dd9260b91153}"/>
      </w:docPartPr>
      <w:docPartBody>
        <w:p w14:paraId="566C412A">
          <w:r>
            <w:rPr>
              <w:color w:val="808080"/>
            </w:rPr>
            <w:t>单击此处输入文字。</w:t>
          </w:r>
        </w:p>
      </w:docPartBody>
    </w:docPart>
    <w:docPart>
      <w:docPartPr>
        <w:name w:val="{cb09fc81-1ca8-4857-9caf-1b68f236639a}"/>
        <w:style w:val=""/>
        <w:category>
          <w:name w:val="常规"/>
          <w:gallery w:val="placeholder"/>
        </w:category>
        <w:types>
          <w:type w:val="bbPlcHdr"/>
        </w:types>
        <w:behaviors>
          <w:behavior w:val="content"/>
        </w:behaviors>
        <w:description w:val=""/>
        <w:guid w:val="{cb09fc81-1ca8-4857-9caf-1b68f236639a}"/>
      </w:docPartPr>
      <w:docPartBody>
        <w:p w14:paraId="4D6A5F80">
          <w:r>
            <w:rPr>
              <w:color w:val="808080"/>
            </w:rPr>
            <w:t>单击此处输入文字。</w:t>
          </w:r>
        </w:p>
      </w:docPartBody>
    </w:docPart>
    <w:docPart>
      <w:docPartPr>
        <w:name w:val="{dc4588fd-e456-4dda-ad16-ef898c94a3d9}"/>
        <w:style w:val=""/>
        <w:category>
          <w:name w:val="常规"/>
          <w:gallery w:val="placeholder"/>
        </w:category>
        <w:types>
          <w:type w:val="bbPlcHdr"/>
        </w:types>
        <w:behaviors>
          <w:behavior w:val="content"/>
        </w:behaviors>
        <w:description w:val=""/>
        <w:guid w:val="{dc4588fd-e456-4dda-ad16-ef898c94a3d9}"/>
      </w:docPartPr>
      <w:docPartBody>
        <w:p w14:paraId="6C3E40B9">
          <w:r>
            <w:rPr>
              <w:color w:val="808080"/>
            </w:rPr>
            <w:t>单击此处输入文字。</w:t>
          </w:r>
        </w:p>
      </w:docPartBody>
    </w:docPart>
    <w:docPart>
      <w:docPartPr>
        <w:name w:val="{29a7f29e-8064-423c-b7bb-203449848f0e}"/>
        <w:style w:val=""/>
        <w:category>
          <w:name w:val="常规"/>
          <w:gallery w:val="placeholder"/>
        </w:category>
        <w:types>
          <w:type w:val="bbPlcHdr"/>
        </w:types>
        <w:behaviors>
          <w:behavior w:val="content"/>
        </w:behaviors>
        <w:description w:val=""/>
        <w:guid w:val="{29a7f29e-8064-423c-b7bb-203449848f0e}"/>
      </w:docPartPr>
      <w:docPartBody>
        <w:p w14:paraId="628A36A4">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四川省财政厅</Company>
  <Pages>23</Pages>
  <Words>3145</Words>
  <Characters>3523</Characters>
  <Lines>61</Lines>
  <Paragraphs>17</Paragraphs>
  <TotalTime>2</TotalTime>
  <ScaleCrop>false</ScaleCrop>
  <LinksUpToDate>false</LinksUpToDate>
  <CharactersWithSpaces>3628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2020-08-05T09:49:00Z</dcterms:created>
  <dc:creator>曹颖</dc:creator>
  <cp:lastModifiedBy>不能说的秘密</cp:lastModifiedBy>
  <cp:lastPrinted>2024-10-28T07:27:00Z</cp:lastPrinted>
  <dcterms:modified xsi:type="dcterms:W3CDTF">2026-10-14T07:48:19Z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6653958B338C498E8137A4E3BE604B25</vt:lpwstr>
  </property>
  <property fmtid="{D5CDD505-2E9C-101B-9397-08002B2CF9AE}" pid="4" name="KSOTemplateDocerSaveRecord">
    <vt:lpwstr>eyJoZGlkIjoiN2I3YTI1ODZjYmFiY2Y4MDlhODc1ZjY1ZmRhMTgzM2EiLCJ1c2VySWQiOiIyNjcyNDkyNzQifQ==</vt:lpwstr>
  </property>
</Properties>
</file>