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9"/>
        <w:rPr>
          <w:rFonts w:ascii="方正小标宋简体" w:hAnsi="宋体" w:eastAsia="方正小标宋简体"/>
          <w:color w:val="auto"/>
          <w:sz w:val="72"/>
          <w:szCs w:val="72"/>
          <w:highlight w:val="none"/>
        </w:rPr>
      </w:pPr>
      <w:bookmarkStart w:id="0" w:name="_Toc15377425"/>
      <w:bookmarkStart w:id="1" w:name="_Toc15396597"/>
      <w:bookmarkStart w:id="2" w:name="_Toc15377193"/>
      <w:bookmarkStart w:id="3" w:name="_Toc15396475"/>
      <w:bookmarkStart w:id="4" w:name="_Toc15378441"/>
      <w:bookmarkStart w:id="5" w:name="_Toc15306267"/>
    </w:p>
    <w:p>
      <w:pPr>
        <w:spacing w:line="600" w:lineRule="exact"/>
        <w:jc w:val="center"/>
        <w:outlineLvl w:val="9"/>
        <w:rPr>
          <w:rFonts w:ascii="方正小标宋简体" w:hAnsi="宋体" w:eastAsia="方正小标宋简体"/>
          <w:color w:val="auto"/>
          <w:sz w:val="72"/>
          <w:szCs w:val="72"/>
          <w:highlight w:val="none"/>
        </w:rPr>
      </w:pPr>
    </w:p>
    <w:p>
      <w:pPr>
        <w:spacing w:line="600" w:lineRule="exact"/>
        <w:jc w:val="center"/>
        <w:outlineLvl w:val="9"/>
        <w:rPr>
          <w:rFonts w:ascii="方正小标宋简体" w:hAnsi="宋体" w:eastAsia="方正小标宋简体"/>
          <w:color w:val="auto"/>
          <w:sz w:val="72"/>
          <w:szCs w:val="72"/>
          <w:highlight w:val="none"/>
        </w:rPr>
      </w:pPr>
    </w:p>
    <w:p>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bookmarkStart w:id="6" w:name="_Toc32665"/>
      <w:bookmarkStart w:id="7" w:name="_Toc6010"/>
      <w:r>
        <w:rPr>
          <w:rFonts w:hint="eastAsia" w:ascii="方正小标宋简体" w:hAnsi="方正小标宋简体" w:eastAsia="方正小标宋简体" w:cs="方正小标宋简体"/>
          <w:color w:val="auto"/>
          <w:sz w:val="72"/>
          <w:szCs w:val="72"/>
          <w:highlight w:val="none"/>
          <w:lang w:eastAsia="zh-CN"/>
        </w:rPr>
        <w:t>2025年</w:t>
      </w:r>
      <w:r>
        <w:rPr>
          <w:rFonts w:hint="eastAsia" w:ascii="方正小标宋简体" w:hAnsi="方正小标宋简体" w:eastAsia="方正小标宋简体" w:cs="方正小标宋简体"/>
          <w:color w:val="auto"/>
          <w:sz w:val="72"/>
          <w:szCs w:val="72"/>
          <w:highlight w:val="none"/>
        </w:rPr>
        <w:t>度</w:t>
      </w:r>
      <w:bookmarkEnd w:id="0"/>
      <w:bookmarkEnd w:id="1"/>
      <w:bookmarkEnd w:id="2"/>
      <w:bookmarkEnd w:id="3"/>
      <w:bookmarkEnd w:id="4"/>
      <w:bookmarkEnd w:id="6"/>
      <w:bookmarkEnd w:id="7"/>
    </w:p>
    <w:bookmarkEnd w:id="5"/>
    <w:p>
      <w:pPr>
        <w:jc w:val="center"/>
        <w:rPr>
          <w:rFonts w:hint="eastAsia" w:ascii="方正小标宋简体" w:eastAsia="方正小标宋简体"/>
          <w:sz w:val="72"/>
          <w:szCs w:val="72"/>
        </w:rPr>
      </w:pPr>
      <w:bookmarkStart w:id="8" w:name="_Toc15396598"/>
      <w:bookmarkStart w:id="9" w:name="_Toc15377194"/>
      <w:bookmarkStart w:id="10" w:name="_Toc15396476"/>
      <w:bookmarkStart w:id="11" w:name="_Toc15378442"/>
      <w:bookmarkStart w:id="12" w:name="_Toc15377426"/>
      <w:r>
        <w:rPr>
          <w:rFonts w:hint="eastAsia" w:ascii="方正小标宋简体" w:eastAsia="方正小标宋简体"/>
          <w:sz w:val="72"/>
          <w:szCs w:val="72"/>
        </w:rPr>
        <w:t>四川省阿坝州</w:t>
      </w:r>
      <w:bookmarkStart w:id="13" w:name="_Toc15306268"/>
      <w:r>
        <w:rPr>
          <w:rFonts w:hint="eastAsia" w:ascii="方正小标宋简体" w:eastAsia="方正小标宋简体"/>
          <w:sz w:val="72"/>
          <w:szCs w:val="72"/>
        </w:rPr>
        <w:t>小金县</w:t>
      </w:r>
    </w:p>
    <w:p>
      <w:pPr>
        <w:jc w:val="center"/>
        <w:rPr>
          <w:rFonts w:ascii="方正小标宋简体" w:eastAsia="方正小标宋简体"/>
          <w:sz w:val="72"/>
          <w:szCs w:val="72"/>
        </w:rPr>
      </w:pPr>
      <w:r>
        <w:rPr>
          <w:rFonts w:hint="eastAsia" w:ascii="方正小标宋简体" w:eastAsia="方正小标宋简体"/>
          <w:sz w:val="72"/>
          <w:szCs w:val="72"/>
        </w:rPr>
        <w:t>文化馆</w:t>
      </w:r>
      <w:r>
        <w:rPr>
          <w:rFonts w:hint="eastAsia" w:ascii="方正小标宋简体" w:eastAsia="方正小标宋简体"/>
          <w:sz w:val="72"/>
          <w:szCs w:val="72"/>
          <w:lang w:eastAsia="zh-CN"/>
        </w:rPr>
        <w:t>单位</w:t>
      </w:r>
      <w:r>
        <w:rPr>
          <w:rFonts w:hint="eastAsia" w:ascii="方正小标宋简体" w:eastAsia="方正小标宋简体"/>
          <w:sz w:val="72"/>
          <w:szCs w:val="72"/>
        </w:rPr>
        <w:t>决算</w:t>
      </w:r>
      <w:bookmarkEnd w:id="8"/>
      <w:bookmarkEnd w:id="9"/>
      <w:bookmarkEnd w:id="10"/>
      <w:bookmarkEnd w:id="11"/>
      <w:bookmarkEnd w:id="12"/>
      <w:bookmarkEnd w:id="13"/>
    </w:p>
    <w:p>
      <w:pPr>
        <w:adjustRightInd w:val="0"/>
        <w:snapToGrid w:val="0"/>
        <w:spacing w:line="360" w:lineRule="auto"/>
        <w:jc w:val="center"/>
        <w:outlineLvl w:val="0"/>
        <w:rPr>
          <w:rFonts w:ascii="方正小标宋简体" w:hAnsi="宋体" w:eastAsia="方正小标宋简体"/>
          <w:color w:val="auto"/>
          <w:sz w:val="52"/>
          <w:szCs w:val="52"/>
          <w:highlight w:val="none"/>
        </w:rPr>
      </w:pPr>
      <w:bookmarkStart w:id="14" w:name="_Toc16413"/>
      <w:bookmarkStart w:id="15" w:name="_Toc25189"/>
      <w:r>
        <w:rPr>
          <w:rFonts w:hint="eastAsia" w:ascii="方正小标宋简体" w:hAnsi="宋体" w:eastAsia="方正小标宋简体"/>
          <w:color w:val="auto"/>
          <w:sz w:val="52"/>
          <w:szCs w:val="52"/>
          <w:highlight w:val="none"/>
        </w:rPr>
        <w:t>(</w:t>
      </w:r>
      <w:r>
        <w:rPr>
          <w:rFonts w:hint="eastAsia" w:ascii="方正小标宋简体" w:hAnsi="宋体" w:eastAsia="方正小标宋简体" w:cs="Times New Roman"/>
          <w:color w:val="auto"/>
          <w:kern w:val="2"/>
          <w:sz w:val="44"/>
          <w:szCs w:val="44"/>
          <w:highlight w:val="none"/>
          <w:lang w:val="en-US" w:eastAsia="zh-CN" w:bidi="ar-SA"/>
        </w:rPr>
        <w:t>单位公开</w:t>
      </w:r>
      <w:r>
        <w:rPr>
          <w:rFonts w:hint="eastAsia" w:ascii="方正小标宋简体" w:hAnsi="宋体" w:eastAsia="方正小标宋简体"/>
          <w:color w:val="auto"/>
          <w:sz w:val="52"/>
          <w:szCs w:val="52"/>
          <w:highlight w:val="none"/>
        </w:rPr>
        <w:t>)</w:t>
      </w:r>
      <w:bookmarkEnd w:id="14"/>
      <w:bookmarkEnd w:id="15"/>
    </w:p>
    <w:p>
      <w:pPr>
        <w:widowControl/>
        <w:jc w:val="center"/>
        <w:rPr>
          <w:rFonts w:hint="eastAsia" w:ascii="黑体" w:hAnsi="黑体" w:eastAsia="黑体"/>
          <w:color w:val="auto"/>
          <w:sz w:val="48"/>
          <w:szCs w:val="48"/>
          <w:highlight w:val="none"/>
        </w:rPr>
        <w:sectPr>
          <w:footerReference r:id="rId5" w:type="first"/>
          <w:headerReference r:id="rId3" w:type="default"/>
          <w:footerReference r:id="rId4" w:type="default"/>
          <w:pgSz w:w="11906" w:h="16838"/>
          <w:pgMar w:top="1440" w:right="1803" w:bottom="1440" w:left="1803" w:header="851" w:footer="992" w:gutter="0"/>
          <w:pgNumType w:start="1"/>
          <w:cols w:space="0" w:num="1"/>
          <w:titlePg/>
          <w:rtlGutter w:val="0"/>
          <w:docGrid w:type="lines" w:linePitch="325" w:charSpace="0"/>
        </w:sectPr>
      </w:pPr>
    </w:p>
    <w:p>
      <w:pPr>
        <w:widowControl/>
        <w:jc w:val="center"/>
        <w:rPr>
          <w:rFonts w:ascii="黑体" w:hAnsi="黑体" w:eastAsia="黑体"/>
          <w:color w:val="auto"/>
          <w:sz w:val="48"/>
          <w:szCs w:val="48"/>
          <w:highlight w:val="none"/>
        </w:rPr>
      </w:pPr>
      <w:r>
        <w:rPr>
          <w:rFonts w:hint="eastAsia" w:ascii="黑体" w:hAnsi="黑体" w:eastAsia="黑体"/>
          <w:color w:val="auto"/>
          <w:sz w:val="48"/>
          <w:szCs w:val="48"/>
          <w:highlight w:val="none"/>
        </w:rPr>
        <w:t>目录</w:t>
      </w:r>
    </w:p>
    <w:p>
      <w:pPr>
        <w:widowControl/>
        <w:jc w:val="center"/>
        <w:rPr>
          <w:rFonts w:ascii="黑体" w:hAnsi="黑体" w:eastAsia="黑体" w:cstheme="minorBidi"/>
          <w:color w:val="auto"/>
          <w:sz w:val="28"/>
          <w:szCs w:val="28"/>
          <w:highlight w:val="none"/>
        </w:rPr>
      </w:pPr>
    </w:p>
    <w:p>
      <w:pPr>
        <w:pStyle w:val="12"/>
        <w:rPr>
          <w:color w:val="auto"/>
          <w:highlight w:val="none"/>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16</w:t>
      </w:r>
      <w:r>
        <w:rPr>
          <w:rFonts w:hint="eastAsia"/>
          <w:color w:val="auto"/>
          <w:highlight w:val="none"/>
        </w:rPr>
        <w:t>日</w:t>
      </w:r>
    </w:p>
    <w:p>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color w:val="auto"/>
          <w:highlight w:val="none"/>
        </w:rPr>
      </w:pPr>
    </w:p>
    <w:sdt>
      <w:sdtPr>
        <w:rPr>
          <w:rFonts w:ascii="宋体" w:hAnsi="宋体" w:eastAsia="宋体" w:cs="Times New Roman"/>
          <w:kern w:val="2"/>
          <w:sz w:val="21"/>
          <w:szCs w:val="24"/>
          <w:lang w:val="en-US" w:eastAsia="zh-CN" w:bidi="ar-SA"/>
        </w:rPr>
        <w:id w:val="147463840"/>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rPr>
              <w:rFonts w:ascii="Times New Roman" w:hAnsi="Times New Roman" w:eastAsia="宋体" w:cs="Times New Roman"/>
              <w:b/>
              <w:kern w:val="2"/>
              <w:sz w:val="21"/>
              <w:szCs w:val="24"/>
              <w:lang w:val="en-US" w:eastAsia="zh-CN" w:bidi="ar-SA"/>
            </w:rPr>
          </w:pPr>
          <w:r>
            <w:rPr>
              <w:rFonts w:ascii="宋体" w:hAnsi="宋体" w:eastAsia="宋体"/>
              <w:sz w:val="21"/>
            </w:rPr>
            <w:t>目录</w:t>
          </w:r>
          <w:r>
            <w:fldChar w:fldCharType="begin"/>
          </w:r>
          <w:r>
            <w:instrText xml:space="preserve">TOC \o "1-2" \h \u </w:instrText>
          </w:r>
          <w:r>
            <w:fldChar w:fldCharType="separate"/>
          </w:r>
        </w:p>
        <w:p>
          <w:pPr>
            <w:pStyle w:val="12"/>
            <w:keepNext w:val="0"/>
            <w:keepLines w:val="0"/>
            <w:pageBreakBefore w:val="0"/>
            <w:widowControl w:val="0"/>
            <w:tabs>
              <w:tab w:val="right" w:leader="dot" w:pos="8300"/>
              <w:tab w:val="clear" w:pos="8296"/>
            </w:tabs>
            <w:kinsoku/>
            <w:wordWrap/>
            <w:overflowPunct/>
            <w:topLinePunct w:val="0"/>
            <w:autoSpaceDE/>
            <w:autoSpaceDN/>
            <w:bidi w:val="0"/>
            <w:adjustRightInd/>
            <w:snapToGrid/>
            <w:spacing w:before="0" w:line="400" w:lineRule="exact"/>
            <w:ind w:left="0" w:leftChars="0"/>
            <w:textAlignment w:val="auto"/>
          </w:pPr>
          <w:r>
            <w:fldChar w:fldCharType="begin"/>
          </w:r>
          <w:r>
            <w:instrText xml:space="preserve"> HYPERLINK \l _Toc6010 </w:instrText>
          </w:r>
          <w:r>
            <w:fldChar w:fldCharType="separate"/>
          </w:r>
          <w:r>
            <w:rPr>
              <w:rFonts w:hint="eastAsia" w:ascii="方正小标宋简体" w:hAnsi="方正小标宋简体" w:eastAsia="方正小标宋简体" w:cs="方正小标宋简体"/>
              <w:szCs w:val="72"/>
              <w:highlight w:val="none"/>
              <w:lang w:eastAsia="zh-CN"/>
            </w:rPr>
            <w:t>2025年</w:t>
          </w:r>
          <w:r>
            <w:rPr>
              <w:rFonts w:hint="eastAsia" w:ascii="方正小标宋简体" w:hAnsi="方正小标宋简体" w:eastAsia="方正小标宋简体" w:cs="方正小标宋简体"/>
              <w:szCs w:val="72"/>
              <w:highlight w:val="none"/>
            </w:rPr>
            <w:t>度</w:t>
          </w:r>
          <w:r>
            <w:tab/>
          </w:r>
          <w:r>
            <w:fldChar w:fldCharType="begin"/>
          </w:r>
          <w:r>
            <w:instrText xml:space="preserve"> PAGEREF _Toc6010 \h </w:instrText>
          </w:r>
          <w:r>
            <w:fldChar w:fldCharType="separate"/>
          </w:r>
          <w:r>
            <w:t>1</w:t>
          </w:r>
          <w:r>
            <w:fldChar w:fldCharType="end"/>
          </w:r>
          <w:r>
            <w:fldChar w:fldCharType="end"/>
          </w:r>
        </w:p>
        <w:p>
          <w:pPr>
            <w:pStyle w:val="12"/>
            <w:keepNext w:val="0"/>
            <w:keepLines w:val="0"/>
            <w:pageBreakBefore w:val="0"/>
            <w:widowControl w:val="0"/>
            <w:tabs>
              <w:tab w:val="right" w:leader="dot" w:pos="8300"/>
              <w:tab w:val="clear" w:pos="8296"/>
            </w:tabs>
            <w:kinsoku/>
            <w:wordWrap/>
            <w:overflowPunct/>
            <w:topLinePunct w:val="0"/>
            <w:autoSpaceDE/>
            <w:autoSpaceDN/>
            <w:bidi w:val="0"/>
            <w:adjustRightInd/>
            <w:snapToGrid/>
            <w:spacing w:before="0" w:line="400" w:lineRule="exact"/>
            <w:ind w:left="0" w:leftChars="0"/>
            <w:textAlignment w:val="auto"/>
          </w:pPr>
          <w:r>
            <w:fldChar w:fldCharType="begin"/>
          </w:r>
          <w:r>
            <w:instrText xml:space="preserve"> HYPERLINK \l _Toc25189 </w:instrText>
          </w:r>
          <w:r>
            <w:fldChar w:fldCharType="separate"/>
          </w:r>
          <w:r>
            <w:rPr>
              <w:rFonts w:hint="eastAsia" w:ascii="方正小标宋简体" w:hAnsi="宋体" w:eastAsia="方正小标宋简体"/>
              <w:szCs w:val="52"/>
              <w:highlight w:val="none"/>
            </w:rPr>
            <w:t>(</w:t>
          </w:r>
          <w:r>
            <w:rPr>
              <w:rFonts w:hint="eastAsia" w:ascii="方正小标宋简体" w:hAnsi="宋体" w:eastAsia="方正小标宋简体"/>
              <w:szCs w:val="52"/>
              <w:highlight w:val="none"/>
              <w:lang w:eastAsia="zh-CN"/>
            </w:rPr>
            <w:t>部门公开</w:t>
          </w:r>
          <w:r>
            <w:rPr>
              <w:rFonts w:hint="eastAsia" w:ascii="方正小标宋简体" w:hAnsi="宋体" w:eastAsia="方正小标宋简体"/>
              <w:szCs w:val="52"/>
              <w:highlight w:val="none"/>
            </w:rPr>
            <w:t>)</w:t>
          </w:r>
          <w:r>
            <w:tab/>
          </w:r>
          <w:r>
            <w:fldChar w:fldCharType="begin"/>
          </w:r>
          <w:r>
            <w:instrText xml:space="preserve"> PAGEREF _Toc25189 \h </w:instrText>
          </w:r>
          <w:r>
            <w:fldChar w:fldCharType="separate"/>
          </w:r>
          <w:r>
            <w:t>1</w:t>
          </w:r>
          <w:r>
            <w:fldChar w:fldCharType="end"/>
          </w:r>
          <w:r>
            <w:fldChar w:fldCharType="end"/>
          </w:r>
        </w:p>
        <w:p>
          <w:pPr>
            <w:pStyle w:val="12"/>
            <w:keepNext w:val="0"/>
            <w:keepLines w:val="0"/>
            <w:pageBreakBefore w:val="0"/>
            <w:widowControl w:val="0"/>
            <w:tabs>
              <w:tab w:val="right" w:leader="dot" w:pos="8300"/>
              <w:tab w:val="clear" w:pos="8296"/>
            </w:tabs>
            <w:kinsoku/>
            <w:wordWrap/>
            <w:overflowPunct/>
            <w:topLinePunct w:val="0"/>
            <w:autoSpaceDE/>
            <w:autoSpaceDN/>
            <w:bidi w:val="0"/>
            <w:adjustRightInd/>
            <w:snapToGrid/>
            <w:spacing w:before="0" w:line="400" w:lineRule="exact"/>
            <w:ind w:left="0" w:leftChars="0"/>
            <w:jc w:val="both"/>
            <w:textAlignment w:val="auto"/>
          </w:pPr>
          <w:r>
            <w:fldChar w:fldCharType="begin"/>
          </w:r>
          <w:r>
            <w:instrText xml:space="preserve"> HYPERLINK \l _Toc1605 </w:instrText>
          </w:r>
          <w:r>
            <w:fldChar w:fldCharType="separate"/>
          </w:r>
          <w:r>
            <w:rPr>
              <w:rFonts w:hint="eastAsia" w:ascii="黑体" w:hAnsi="黑体" w:eastAsia="黑体"/>
              <w:highlight w:val="none"/>
            </w:rPr>
            <w:t xml:space="preserve">第一部分 </w:t>
          </w:r>
          <w:r>
            <w:rPr>
              <w:rFonts w:hint="eastAsia" w:ascii="黑体" w:hAnsi="黑体" w:eastAsia="黑体"/>
              <w:bCs w:val="0"/>
              <w:highlight w:val="none"/>
            </w:rPr>
            <w:t>部门概况</w:t>
          </w:r>
          <w:r>
            <w:tab/>
          </w:r>
          <w:r>
            <w:fldChar w:fldCharType="begin"/>
          </w:r>
          <w:r>
            <w:instrText xml:space="preserve"> PAGEREF _Toc1605 \h </w:instrText>
          </w:r>
          <w:r>
            <w:fldChar w:fldCharType="separate"/>
          </w:r>
          <w:r>
            <w:t>1</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_Toc21357 </w:instrText>
          </w:r>
          <w:r>
            <w:fldChar w:fldCharType="separate"/>
          </w:r>
          <w:r>
            <w:rPr>
              <w:rFonts w:hint="eastAsia" w:ascii="黑体" w:hAnsi="黑体" w:eastAsia="黑体"/>
            </w:rPr>
            <w:t>一、基</w:t>
          </w:r>
          <w:r>
            <w:rPr>
              <w:rFonts w:hint="eastAsia" w:ascii="黑体" w:hAnsi="黑体" w:eastAsia="黑体"/>
              <w:bCs w:val="0"/>
            </w:rPr>
            <w:t>本职能及主要工作</w:t>
          </w:r>
          <w:r>
            <w:tab/>
          </w:r>
          <w:r>
            <w:fldChar w:fldCharType="begin"/>
          </w:r>
          <w:r>
            <w:instrText xml:space="preserve"> PAGEREF _Toc21357 \h </w:instrText>
          </w:r>
          <w:r>
            <w:fldChar w:fldCharType="separate"/>
          </w:r>
          <w:r>
            <w:t>1</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_Toc11655 </w:instrText>
          </w:r>
          <w:r>
            <w:fldChar w:fldCharType="separate"/>
          </w:r>
          <w:r>
            <w:rPr>
              <w:rFonts w:hint="eastAsia" w:ascii="黑体" w:eastAsia="黑体"/>
            </w:rPr>
            <w:t>二、</w:t>
          </w:r>
          <w:r>
            <w:rPr>
              <w:rFonts w:hint="eastAsia" w:ascii="黑体" w:hAnsi="黑体" w:eastAsia="黑体"/>
            </w:rPr>
            <w:t>机</w:t>
          </w:r>
          <w:r>
            <w:rPr>
              <w:rFonts w:hint="eastAsia" w:ascii="黑体" w:hAnsi="黑体" w:eastAsia="黑体"/>
              <w:bCs w:val="0"/>
            </w:rPr>
            <w:t>构设置</w:t>
          </w:r>
          <w:r>
            <w:tab/>
          </w:r>
          <w:r>
            <w:rPr>
              <w:rFonts w:hint="eastAsia"/>
              <w:lang w:val="en-US" w:eastAsia="zh-CN"/>
            </w:rPr>
            <w:t>3</w:t>
          </w:r>
          <w:r>
            <w:fldChar w:fldCharType="end"/>
          </w:r>
        </w:p>
        <w:p>
          <w:pPr>
            <w:pStyle w:val="12"/>
            <w:keepNext w:val="0"/>
            <w:keepLines w:val="0"/>
            <w:pageBreakBefore w:val="0"/>
            <w:widowControl w:val="0"/>
            <w:tabs>
              <w:tab w:val="right" w:leader="dot" w:pos="8300"/>
              <w:tab w:val="clear" w:pos="8296"/>
            </w:tabs>
            <w:kinsoku/>
            <w:wordWrap/>
            <w:overflowPunct/>
            <w:topLinePunct w:val="0"/>
            <w:autoSpaceDE/>
            <w:autoSpaceDN/>
            <w:bidi w:val="0"/>
            <w:adjustRightInd/>
            <w:snapToGrid/>
            <w:spacing w:before="0" w:line="400" w:lineRule="exact"/>
            <w:ind w:left="0" w:leftChars="0"/>
            <w:textAlignment w:val="auto"/>
          </w:pPr>
          <w:r>
            <w:fldChar w:fldCharType="begin"/>
          </w:r>
          <w:r>
            <w:instrText xml:space="preserve"> HYPERLINK \l _Toc22197 </w:instrText>
          </w:r>
          <w: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rPr>
            <w:t>部门决算情况说明</w:t>
          </w:r>
          <w:r>
            <w:tab/>
          </w:r>
          <w:r>
            <w:fldChar w:fldCharType="begin"/>
          </w:r>
          <w:r>
            <w:instrText xml:space="preserve"> PAGEREF _Toc22197 \h </w:instrText>
          </w:r>
          <w:r>
            <w:fldChar w:fldCharType="separate"/>
          </w:r>
          <w:r>
            <w:t>4</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_Toc39 </w:instrText>
          </w:r>
          <w:r>
            <w:fldChar w:fldCharType="separate"/>
          </w:r>
          <w:r>
            <w:rPr>
              <w:rFonts w:hint="default" w:ascii="黑体" w:hAnsi="黑体" w:eastAsia="黑体"/>
            </w:rPr>
            <w:t xml:space="preserve">一、 </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fldChar w:fldCharType="begin"/>
          </w:r>
          <w:r>
            <w:instrText xml:space="preserve"> PAGEREF _Toc39 \h </w:instrText>
          </w:r>
          <w:r>
            <w:fldChar w:fldCharType="separate"/>
          </w:r>
          <w:r>
            <w:t>4</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_Toc9863 </w:instrText>
          </w:r>
          <w:r>
            <w:fldChar w:fldCharType="separate"/>
          </w:r>
          <w:r>
            <w:rPr>
              <w:rFonts w:hint="default" w:ascii="黑体" w:hAnsi="黑体" w:eastAsia="黑体"/>
            </w:rPr>
            <w:t xml:space="preserve">二、 </w:t>
          </w:r>
          <w:r>
            <w:rPr>
              <w:rFonts w:hint="eastAsia" w:ascii="黑体" w:hAnsi="黑体" w:eastAsia="黑体"/>
              <w:szCs w:val="32"/>
              <w:highlight w:val="none"/>
            </w:rPr>
            <w:t>收</w:t>
          </w:r>
          <w:r>
            <w:rPr>
              <w:rFonts w:hint="eastAsia" w:ascii="黑体" w:hAnsi="黑体" w:eastAsia="黑体"/>
              <w:highlight w:val="none"/>
            </w:rPr>
            <w:t>入决算情况说明</w:t>
          </w:r>
          <w:r>
            <w:tab/>
          </w:r>
          <w:r>
            <w:fldChar w:fldCharType="begin"/>
          </w:r>
          <w:r>
            <w:instrText xml:space="preserve"> PAGEREF _Toc9863 \h </w:instrText>
          </w:r>
          <w:r>
            <w:fldChar w:fldCharType="separate"/>
          </w:r>
          <w:r>
            <w:t>4</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_Toc2819 </w:instrText>
          </w:r>
          <w:r>
            <w:fldChar w:fldCharType="separate"/>
          </w:r>
          <w:r>
            <w:rPr>
              <w:rFonts w:hint="default" w:ascii="黑体" w:hAnsi="黑体" w:eastAsia="黑体"/>
            </w:rPr>
            <w:t xml:space="preserve">三、 </w:t>
          </w:r>
          <w:r>
            <w:rPr>
              <w:rFonts w:hint="eastAsia" w:ascii="黑体" w:hAnsi="黑体" w:eastAsia="黑体"/>
              <w:szCs w:val="32"/>
              <w:highlight w:val="none"/>
            </w:rPr>
            <w:t>支</w:t>
          </w:r>
          <w:r>
            <w:rPr>
              <w:rFonts w:hint="eastAsia" w:ascii="黑体" w:hAnsi="黑体" w:eastAsia="黑体"/>
              <w:highlight w:val="none"/>
            </w:rPr>
            <w:t>出决算情况说明</w:t>
          </w:r>
          <w:r>
            <w:tab/>
          </w:r>
          <w:r>
            <w:fldChar w:fldCharType="begin"/>
          </w:r>
          <w:r>
            <w:instrText xml:space="preserve"> PAGEREF _Toc2819 \h </w:instrText>
          </w:r>
          <w:r>
            <w:fldChar w:fldCharType="separate"/>
          </w:r>
          <w:r>
            <w:t>5</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_Toc6764 </w:instrText>
          </w:r>
          <w:r>
            <w:fldChar w:fldCharType="separate"/>
          </w:r>
          <w:r>
            <w:rPr>
              <w:rFonts w:hint="default" w:ascii="黑体" w:hAnsi="黑体" w:eastAsia="黑体"/>
            </w:rPr>
            <w:t xml:space="preserve">四、 </w:t>
          </w:r>
          <w:r>
            <w:rPr>
              <w:rFonts w:hint="eastAsia" w:ascii="黑体" w:hAnsi="黑体" w:eastAsia="黑体"/>
              <w:szCs w:val="32"/>
              <w:highlight w:val="none"/>
            </w:rPr>
            <w:t>财</w:t>
          </w:r>
          <w:r>
            <w:rPr>
              <w:rFonts w:hint="eastAsia" w:ascii="黑体" w:hAnsi="黑体" w:eastAsia="黑体"/>
              <w:highlight w:val="none"/>
            </w:rPr>
            <w:t>政拨款收入支出决算总体情况说明</w:t>
          </w:r>
          <w:r>
            <w:tab/>
          </w:r>
          <w:r>
            <w:fldChar w:fldCharType="begin"/>
          </w:r>
          <w:r>
            <w:instrText xml:space="preserve"> PAGEREF _Toc6764 \h </w:instrText>
          </w:r>
          <w:r>
            <w:fldChar w:fldCharType="separate"/>
          </w:r>
          <w:r>
            <w:t>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_Toc31139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fldChar w:fldCharType="begin"/>
          </w:r>
          <w:r>
            <w:instrText xml:space="preserve"> PAGEREF _Toc31139 \h </w:instrText>
          </w:r>
          <w:r>
            <w:fldChar w:fldCharType="separate"/>
          </w:r>
          <w:r>
            <w:t>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_Toc16682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fldChar w:fldCharType="begin"/>
          </w:r>
          <w:r>
            <w:instrText xml:space="preserve"> PAGEREF _Toc16682 \h </w:instrText>
          </w:r>
          <w:r>
            <w:fldChar w:fldCharType="separate"/>
          </w:r>
          <w:r>
            <w:t>9</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_Toc28208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fldChar w:fldCharType="begin"/>
          </w:r>
          <w:r>
            <w:instrText xml:space="preserve"> PAGEREF _Toc28208 \h </w:instrText>
          </w:r>
          <w:r>
            <w:fldChar w:fldCharType="separate"/>
          </w:r>
          <w:r>
            <w:t>9</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_Toc31781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fldChar w:fldCharType="begin"/>
          </w:r>
          <w:r>
            <w:instrText xml:space="preserve"> PAGEREF _Toc31781 \h </w:instrText>
          </w:r>
          <w:r>
            <w:fldChar w:fldCharType="separate"/>
          </w:r>
          <w:r>
            <w:t>11</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_Toc19104 </w:instrText>
          </w:r>
          <w:r>
            <w:fldChar w:fldCharType="separate"/>
          </w:r>
          <w:r>
            <w:rPr>
              <w:rFonts w:hint="eastAsia" w:ascii="黑体" w:hAnsi="黑体" w:eastAsia="黑体"/>
            </w:rPr>
            <w:t xml:space="preserve">九、 </w:t>
          </w:r>
          <w:r>
            <w:rPr>
              <w:rFonts w:hint="eastAsia" w:ascii="黑体" w:hAnsi="黑体" w:eastAsia="黑体"/>
              <w:highlight w:val="none"/>
            </w:rPr>
            <w:t>国有资本经营预算支出决算情况说明</w:t>
          </w:r>
          <w:r>
            <w:tab/>
          </w:r>
          <w:r>
            <w:fldChar w:fldCharType="begin"/>
          </w:r>
          <w:r>
            <w:instrText xml:space="preserve"> PAGEREF _Toc19104 \h </w:instrText>
          </w:r>
          <w:r>
            <w:fldChar w:fldCharType="separate"/>
          </w:r>
          <w:r>
            <w:t>11</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_Toc4046 </w:instrText>
          </w:r>
          <w:r>
            <w:fldChar w:fldCharType="separate"/>
          </w:r>
          <w:r>
            <w:rPr>
              <w:rFonts w:hint="eastAsia" w:ascii="黑体" w:hAnsi="黑体" w:eastAsia="黑体"/>
            </w:rPr>
            <w:t xml:space="preserve">十、 </w:t>
          </w:r>
          <w:r>
            <w:rPr>
              <w:rFonts w:hint="eastAsia" w:ascii="黑体" w:hAnsi="黑体" w:eastAsia="黑体"/>
              <w:highlight w:val="none"/>
            </w:rPr>
            <w:t>其他重要事项的情况说明</w:t>
          </w:r>
          <w:r>
            <w:tab/>
          </w:r>
          <w:r>
            <w:fldChar w:fldCharType="begin"/>
          </w:r>
          <w:r>
            <w:instrText xml:space="preserve"> PAGEREF _Toc4046 \h </w:instrText>
          </w:r>
          <w:r>
            <w:fldChar w:fldCharType="separate"/>
          </w:r>
          <w:r>
            <w:t>12</w:t>
          </w:r>
          <w:r>
            <w:fldChar w:fldCharType="end"/>
          </w:r>
          <w:r>
            <w:fldChar w:fldCharType="end"/>
          </w:r>
        </w:p>
        <w:p>
          <w:pPr>
            <w:pStyle w:val="12"/>
            <w:keepNext w:val="0"/>
            <w:keepLines w:val="0"/>
            <w:pageBreakBefore w:val="0"/>
            <w:widowControl w:val="0"/>
            <w:tabs>
              <w:tab w:val="right" w:leader="dot" w:pos="8300"/>
              <w:tab w:val="clear" w:pos="8296"/>
            </w:tabs>
            <w:kinsoku/>
            <w:wordWrap/>
            <w:overflowPunct/>
            <w:topLinePunct w:val="0"/>
            <w:autoSpaceDE/>
            <w:autoSpaceDN/>
            <w:bidi w:val="0"/>
            <w:adjustRightInd/>
            <w:snapToGrid/>
            <w:spacing w:before="0" w:line="400" w:lineRule="exact"/>
            <w:ind w:left="0" w:leftChars="0"/>
            <w:textAlignment w:val="auto"/>
          </w:pPr>
          <w:r>
            <w:fldChar w:fldCharType="begin"/>
          </w:r>
          <w:r>
            <w:instrText xml:space="preserve"> HYPERLINK \l _Toc8532 </w:instrText>
          </w:r>
          <w:r>
            <w:fldChar w:fldCharType="separate"/>
          </w:r>
          <w:r>
            <w:rPr>
              <w:rFonts w:hint="eastAsia" w:ascii="黑体" w:hAnsi="黑体" w:eastAsia="黑体"/>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_Toc8532 \h </w:instrText>
          </w:r>
          <w:r>
            <w:fldChar w:fldCharType="separate"/>
          </w:r>
          <w:r>
            <w:t>13</w:t>
          </w:r>
          <w:r>
            <w:fldChar w:fldCharType="end"/>
          </w:r>
          <w:r>
            <w:fldChar w:fldCharType="end"/>
          </w:r>
        </w:p>
        <w:p>
          <w:pPr>
            <w:pStyle w:val="12"/>
            <w:keepNext w:val="0"/>
            <w:keepLines w:val="0"/>
            <w:pageBreakBefore w:val="0"/>
            <w:widowControl w:val="0"/>
            <w:tabs>
              <w:tab w:val="right" w:leader="dot" w:pos="8300"/>
              <w:tab w:val="clear" w:pos="8296"/>
            </w:tabs>
            <w:kinsoku/>
            <w:wordWrap/>
            <w:overflowPunct/>
            <w:topLinePunct w:val="0"/>
            <w:autoSpaceDE/>
            <w:autoSpaceDN/>
            <w:bidi w:val="0"/>
            <w:adjustRightInd/>
            <w:snapToGrid/>
            <w:spacing w:before="0" w:line="400" w:lineRule="exact"/>
            <w:ind w:left="0" w:leftChars="0"/>
            <w:textAlignment w:val="auto"/>
          </w:pPr>
          <w:r>
            <w:fldChar w:fldCharType="begin"/>
          </w:r>
          <w:r>
            <w:instrText xml:space="preserve"> HYPERLINK \l _Toc12482 </w:instrText>
          </w:r>
          <w: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fldChar w:fldCharType="begin"/>
          </w:r>
          <w:r>
            <w:instrText xml:space="preserve"> PAGEREF _Toc12482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_Toc16616 </w:instrText>
          </w:r>
          <w: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fldChar w:fldCharType="begin"/>
          </w:r>
          <w:r>
            <w:instrText xml:space="preserve"> PAGEREF _Toc16616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_Toc30165 </w:instrText>
          </w:r>
          <w: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fldChar w:fldCharType="begin"/>
          </w:r>
          <w:r>
            <w:instrText xml:space="preserve"> PAGEREF _Toc30165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_Toc1250 </w:instrText>
          </w:r>
          <w: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fldChar w:fldCharType="begin"/>
          </w:r>
          <w:r>
            <w:instrText xml:space="preserve"> PAGEREF _Toc1250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_Toc29807 </w:instrText>
          </w:r>
          <w: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fldChar w:fldCharType="begin"/>
          </w:r>
          <w:r>
            <w:instrText xml:space="preserve"> PAGEREF _Toc29807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_Toc7449 </w:instrText>
          </w:r>
          <w: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fldChar w:fldCharType="begin"/>
          </w:r>
          <w:r>
            <w:instrText xml:space="preserve"> PAGEREF _Toc7449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_Toc5333 </w:instrText>
          </w:r>
          <w: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fldChar w:fldCharType="begin"/>
          </w:r>
          <w:r>
            <w:instrText xml:space="preserve"> PAGEREF _Toc5333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_Toc4452 </w:instrText>
          </w:r>
          <w: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fldChar w:fldCharType="begin"/>
          </w:r>
          <w:r>
            <w:instrText xml:space="preserve"> PAGEREF _Toc4452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_Toc1436 </w:instrText>
          </w:r>
          <w: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fldChar w:fldCharType="begin"/>
          </w:r>
          <w:r>
            <w:instrText xml:space="preserve"> PAGEREF _Toc1436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_Toc27572 </w:instrText>
          </w:r>
          <w: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fldChar w:fldCharType="begin"/>
          </w:r>
          <w:r>
            <w:instrText xml:space="preserve"> PAGEREF _Toc27572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_Toc12253 </w:instrText>
          </w:r>
          <w: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fldChar w:fldCharType="begin"/>
          </w:r>
          <w:r>
            <w:instrText xml:space="preserve"> PAGEREF _Toc12253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_Toc1027 </w:instrText>
          </w:r>
          <w: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fldChar w:fldCharType="begin"/>
          </w:r>
          <w:r>
            <w:instrText xml:space="preserve"> PAGEREF _Toc1027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_Toc23009 </w:instrText>
          </w:r>
          <w: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fldChar w:fldCharType="begin"/>
          </w:r>
          <w:r>
            <w:instrText xml:space="preserve"> PAGEREF _Toc23009 \h </w:instrText>
          </w:r>
          <w:r>
            <w:fldChar w:fldCharType="separate"/>
          </w:r>
          <w:r>
            <w:t>16</w:t>
          </w:r>
          <w:r>
            <w:fldChar w:fldCharType="end"/>
          </w:r>
          <w:r>
            <w:fldChar w:fldCharType="end"/>
          </w:r>
        </w:p>
        <w:p>
          <w:pPr>
            <w:pStyle w:val="14"/>
            <w:keepNext w:val="0"/>
            <w:keepLines w:val="0"/>
            <w:pageBreakBefore w:val="0"/>
            <w:widowControl w:val="0"/>
            <w:tabs>
              <w:tab w:val="right" w:leader="dot" w:pos="8300"/>
              <w:tab w:val="clear" w:pos="8296"/>
            </w:tabs>
            <w:kinsoku/>
            <w:wordWrap/>
            <w:overflowPunct/>
            <w:topLinePunct w:val="0"/>
            <w:autoSpaceDE/>
            <w:autoSpaceDN/>
            <w:bidi w:val="0"/>
            <w:adjustRightInd/>
            <w:snapToGrid/>
            <w:spacing w:line="400" w:lineRule="exact"/>
            <w:ind w:left="0" w:leftChars="0"/>
            <w:textAlignment w:val="auto"/>
          </w:pPr>
          <w:r>
            <w:fldChar w:fldCharType="begin"/>
          </w:r>
          <w:r>
            <w:instrText xml:space="preserve"> HYPERLINK \l _Toc1218 </w:instrText>
          </w:r>
          <w: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fldChar w:fldCharType="begin"/>
          </w:r>
          <w:r>
            <w:instrText xml:space="preserve"> PAGEREF _Toc1218 \h </w:instrText>
          </w:r>
          <w:r>
            <w:fldChar w:fldCharType="separate"/>
          </w:r>
          <w:r>
            <w:t>16</w:t>
          </w:r>
          <w:r>
            <w:fldChar w:fldCharType="end"/>
          </w:r>
          <w:r>
            <w:fldChar w:fldCharType="end"/>
          </w:r>
        </w:p>
        <w:p>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pPr>
          <w:r>
            <w:rPr>
              <w:b/>
            </w:rPr>
            <w:fldChar w:fldCharType="end"/>
          </w:r>
        </w:p>
      </w:sdtContent>
    </w:sdt>
    <w:p>
      <w:pPr>
        <w:widowControl/>
        <w:adjustRightInd w:val="0"/>
        <w:snapToGrid w:val="0"/>
        <w:spacing w:line="440" w:lineRule="exact"/>
        <w:ind w:firstLine="1320" w:firstLineChars="550"/>
        <w:jc w:val="left"/>
        <w:rPr>
          <w:rFonts w:ascii="仿宋" w:hAnsi="仿宋" w:eastAsia="仿宋"/>
          <w:color w:val="auto"/>
          <w:sz w:val="24"/>
          <w:highlight w:val="none"/>
        </w:rPr>
      </w:pPr>
      <w:r>
        <w:rPr>
          <w:rFonts w:ascii="仿宋" w:hAnsi="仿宋" w:eastAsia="仿宋"/>
          <w:color w:val="auto"/>
          <w:sz w:val="24"/>
          <w:highlight w:val="none"/>
        </w:rPr>
        <w:t>(注：</w:t>
      </w:r>
      <w:r>
        <w:rPr>
          <w:rFonts w:hint="eastAsia" w:ascii="仿宋" w:hAnsi="仿宋" w:eastAsia="仿宋"/>
          <w:color w:val="auto"/>
          <w:sz w:val="24"/>
          <w:highlight w:val="none"/>
        </w:rPr>
        <w:t>请部门根据实际注明页码</w:t>
      </w:r>
      <w:r>
        <w:rPr>
          <w:rFonts w:ascii="仿宋" w:hAnsi="仿宋" w:eastAsia="仿宋"/>
          <w:color w:val="auto"/>
          <w:sz w:val="24"/>
          <w:highlight w:val="none"/>
        </w:rPr>
        <w:t>)</w:t>
      </w:r>
    </w:p>
    <w:p>
      <w:pPr>
        <w:pStyle w:val="3"/>
        <w:jc w:val="center"/>
        <w:outlineLvl w:val="9"/>
        <w:rPr>
          <w:rFonts w:hint="eastAsia" w:ascii="黑体" w:hAnsi="黑体" w:eastAsia="黑体"/>
          <w:b w:val="0"/>
          <w:color w:val="auto"/>
          <w:highlight w:val="none"/>
        </w:rPr>
        <w:sectPr>
          <w:footerReference r:id="rId6" w:type="default"/>
          <w:pgSz w:w="11906" w:h="16838"/>
          <w:pgMar w:top="1440" w:right="1803" w:bottom="1440" w:left="1803" w:header="851" w:footer="992" w:gutter="0"/>
          <w:pgNumType w:start="1"/>
          <w:cols w:space="0" w:num="1"/>
          <w:rtlGutter w:val="0"/>
          <w:docGrid w:type="lines" w:linePitch="325" w:charSpace="0"/>
        </w:sectPr>
      </w:pPr>
      <w:bookmarkStart w:id="16" w:name="_Toc15377196"/>
      <w:bookmarkStart w:id="17" w:name="_Toc15396599"/>
    </w:p>
    <w:p>
      <w:pPr>
        <w:pStyle w:val="3"/>
        <w:spacing w:before="0" w:after="0" w:line="240" w:lineRule="auto"/>
        <w:jc w:val="center"/>
        <w:rPr>
          <w:rStyle w:val="30"/>
          <w:rFonts w:ascii="黑体" w:hAnsi="黑体" w:eastAsia="黑体"/>
          <w:b/>
          <w:bCs w:val="0"/>
          <w:color w:val="auto"/>
          <w:highlight w:val="none"/>
        </w:rPr>
      </w:pPr>
      <w:bookmarkStart w:id="18" w:name="_Toc1605"/>
      <w:r>
        <w:rPr>
          <w:rFonts w:hint="eastAsia" w:ascii="黑体" w:hAnsi="黑体" w:eastAsia="黑体"/>
          <w:b w:val="0"/>
          <w:color w:val="auto"/>
          <w:highlight w:val="none"/>
        </w:rPr>
        <w:t xml:space="preserve">第一部分 </w:t>
      </w:r>
      <w:r>
        <w:rPr>
          <w:rStyle w:val="30"/>
          <w:rFonts w:hint="eastAsia" w:ascii="黑体" w:hAnsi="黑体" w:eastAsia="黑体"/>
          <w:b w:val="0"/>
          <w:bCs w:val="0"/>
          <w:color w:val="auto"/>
          <w:highlight w:val="none"/>
        </w:rPr>
        <w:t>部门概况</w:t>
      </w:r>
      <w:bookmarkEnd w:id="16"/>
      <w:bookmarkEnd w:id="17"/>
      <w:bookmarkEnd w:id="18"/>
    </w:p>
    <w:p>
      <w:pPr>
        <w:widowControl/>
        <w:jc w:val="left"/>
        <w:rPr>
          <w:rFonts w:ascii="黑体" w:eastAsia="黑体"/>
          <w:color w:val="auto"/>
          <w:sz w:val="32"/>
          <w:szCs w:val="32"/>
          <w:highlight w:val="none"/>
        </w:rPr>
      </w:pPr>
    </w:p>
    <w:p>
      <w:pPr>
        <w:pStyle w:val="4"/>
        <w:pageBreakBefore w:val="0"/>
        <w:kinsoku/>
        <w:wordWrap/>
        <w:overflowPunct/>
        <w:topLinePunct w:val="0"/>
        <w:autoSpaceDE/>
        <w:autoSpaceDN/>
        <w:bidi w:val="0"/>
        <w:spacing w:before="0" w:after="0" w:line="560" w:lineRule="exact"/>
        <w:ind w:firstLine="640" w:firstLineChars="200"/>
        <w:textAlignment w:val="auto"/>
        <w:rPr>
          <w:rStyle w:val="39"/>
          <w:rFonts w:ascii="仿宋" w:hAnsi="仿宋" w:eastAsia="仿宋"/>
          <w:b w:val="0"/>
          <w:bCs w:val="0"/>
        </w:rPr>
      </w:pPr>
      <w:bookmarkStart w:id="19" w:name="_Toc15377197"/>
      <w:bookmarkStart w:id="20" w:name="_Toc21357"/>
      <w:bookmarkStart w:id="21" w:name="_Toc79163602"/>
      <w:bookmarkStart w:id="22" w:name="_Toc79163852"/>
      <w:bookmarkStart w:id="23" w:name="_Toc15396600"/>
      <w:bookmarkStart w:id="24" w:name="_Toc15396601"/>
      <w:bookmarkStart w:id="25" w:name="_Toc15377200"/>
      <w:r>
        <w:rPr>
          <w:rFonts w:hint="eastAsia" w:ascii="黑体" w:hAnsi="黑体" w:eastAsia="黑体"/>
          <w:b w:val="0"/>
          <w:color w:val="000000"/>
        </w:rPr>
        <w:t>一、基</w:t>
      </w:r>
      <w:r>
        <w:rPr>
          <w:rStyle w:val="39"/>
          <w:rFonts w:hint="eastAsia" w:ascii="黑体" w:hAnsi="黑体" w:eastAsia="黑体"/>
          <w:b w:val="0"/>
          <w:bCs w:val="0"/>
        </w:rPr>
        <w:t>本职能及主要工作</w:t>
      </w:r>
      <w:bookmarkEnd w:id="19"/>
      <w:bookmarkEnd w:id="20"/>
      <w:bookmarkEnd w:id="21"/>
      <w:bookmarkEnd w:id="22"/>
      <w:bookmarkEnd w:id="23"/>
    </w:p>
    <w:p>
      <w:pPr>
        <w:pStyle w:val="2"/>
        <w:pageBreakBefore w:val="0"/>
        <w:kinsoku/>
        <w:wordWrap/>
        <w:overflowPunct/>
        <w:topLinePunct w:val="0"/>
        <w:autoSpaceDE/>
        <w:autoSpaceDN/>
        <w:bidi w:val="0"/>
        <w:adjustRightInd w:val="0"/>
        <w:snapToGrid w:val="0"/>
        <w:spacing w:beforeLines="0" w:line="560" w:lineRule="exact"/>
        <w:ind w:firstLine="672" w:firstLineChars="210"/>
        <w:textAlignment w:val="auto"/>
        <w:outlineLvl w:val="2"/>
        <w:rPr>
          <w:rFonts w:hint="eastAsia" w:ascii="方正楷体_GBK" w:hAnsi="方正楷体_GBK" w:eastAsia="方正楷体_GBK" w:cs="方正楷体_GBK"/>
          <w:b/>
          <w:bCs w:val="0"/>
          <w:color w:val="000000"/>
          <w:sz w:val="32"/>
          <w:szCs w:val="32"/>
        </w:rPr>
      </w:pPr>
      <w:bookmarkStart w:id="26" w:name="_Toc79163603"/>
      <w:bookmarkStart w:id="27" w:name="_Toc79163853"/>
      <w:bookmarkStart w:id="28" w:name="_Toc15378445"/>
      <w:bookmarkStart w:id="29" w:name="_Toc15377198"/>
      <w:r>
        <w:rPr>
          <w:rFonts w:hint="eastAsia" w:ascii="方正楷体_GBK" w:hAnsi="方正楷体_GBK" w:eastAsia="方正楷体_GBK" w:cs="方正楷体_GBK"/>
          <w:b/>
          <w:bCs w:val="0"/>
          <w:color w:val="000000"/>
          <w:sz w:val="32"/>
          <w:szCs w:val="32"/>
        </w:rPr>
        <w:t>（一）主要职能。</w:t>
      </w:r>
      <w:bookmarkEnd w:id="26"/>
      <w:bookmarkEnd w:id="27"/>
    </w:p>
    <w:bookmarkEnd w:id="24"/>
    <w:bookmarkEnd w:id="25"/>
    <w:bookmarkEnd w:id="28"/>
    <w:bookmarkEnd w:id="29"/>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560" w:lineRule="exact"/>
        <w:ind w:right="0" w:firstLine="640" w:firstLineChars="200"/>
        <w:jc w:val="left"/>
        <w:textAlignment w:val="auto"/>
        <w:rPr>
          <w:rFonts w:hint="eastAsia" w:ascii="仿宋_GB2312" w:hAnsi="仿宋" w:eastAsia="仿宋_GB2312" w:cs="Times New Roman"/>
          <w:sz w:val="32"/>
          <w:szCs w:val="32"/>
          <w:lang w:val="en-US" w:eastAsia="zh-CN"/>
        </w:rPr>
      </w:pPr>
      <w:bookmarkStart w:id="30" w:name="_Toc79163855"/>
      <w:bookmarkStart w:id="31" w:name="_Toc79163605"/>
      <w:bookmarkStart w:id="32" w:name="_Toc11655"/>
      <w:r>
        <w:rPr>
          <w:rFonts w:hint="eastAsia" w:ascii="仿宋_GB2312" w:hAnsi="仿宋" w:eastAsia="仿宋_GB2312" w:cs="Times New Roman"/>
          <w:sz w:val="32"/>
          <w:szCs w:val="32"/>
          <w:lang w:val="en-US" w:eastAsia="zh-CN"/>
        </w:rPr>
        <w:t>小金文化馆是县级公益性文化事业单位，</w:t>
      </w:r>
      <w:r>
        <w:rPr>
          <w:rFonts w:hint="eastAsia" w:ascii="仿宋_GB2312" w:hAnsi="仿宋_GB2312" w:eastAsia="仿宋_GB2312" w:cs="仿宋_GB2312"/>
          <w:color w:val="auto"/>
          <w:kern w:val="0"/>
          <w:sz w:val="32"/>
          <w:szCs w:val="32"/>
          <w:shd w:val="clear" w:fill="FFFFFF"/>
          <w:lang w:val="en-US" w:eastAsia="zh-CN" w:bidi="ar"/>
        </w:rPr>
        <w:t>作用是开展群众文化活动，并给群众文娱活动提供场所。</w:t>
      </w:r>
      <w:r>
        <w:rPr>
          <w:rFonts w:hint="eastAsia" w:ascii="仿宋_GB2312" w:hAnsi="仿宋" w:eastAsia="仿宋_GB2312" w:cs="Times New Roman"/>
          <w:sz w:val="32"/>
          <w:szCs w:val="32"/>
          <w:lang w:val="en-US" w:eastAsia="zh-CN"/>
        </w:rPr>
        <w:t>核心职能包括：组织群众文化活动、开展文艺创作与培训、普及科学文化知识、保护与传承非物质文化遗产、提供数字文化服务、指导基层文化工作、开展对外文化交流。其职能将随社会发展动态调整。</w:t>
      </w:r>
    </w:p>
    <w:p>
      <w:pPr>
        <w:keepNext w:val="0"/>
        <w:keepLines w:val="0"/>
        <w:pageBreakBefore w:val="0"/>
        <w:kinsoku/>
        <w:wordWrap/>
        <w:overflowPunct/>
        <w:topLinePunct w:val="0"/>
        <w:autoSpaceDE/>
        <w:autoSpaceDN/>
        <w:bidi w:val="0"/>
        <w:adjustRightInd/>
        <w:snapToGrid w:val="0"/>
        <w:spacing w:line="520" w:lineRule="exact"/>
        <w:ind w:firstLine="643"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（二）当年取得的主要事业成效</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b w:val="0"/>
          <w:bCs/>
          <w:sz w:val="32"/>
          <w:szCs w:val="32"/>
          <w:lang w:eastAsia="zh-CN"/>
        </w:rPr>
      </w:pPr>
      <w:r>
        <w:rPr>
          <w:rFonts w:hint="eastAsia" w:ascii="方正仿宋_GBK" w:hAnsi="方正仿宋_GBK" w:eastAsia="方正仿宋_GBK" w:cs="方正仿宋_GBK"/>
          <w:b/>
          <w:bCs w:val="0"/>
          <w:sz w:val="32"/>
          <w:szCs w:val="32"/>
          <w:lang w:val="en-US" w:eastAsia="zh-CN"/>
        </w:rPr>
        <w:t>1.</w:t>
      </w:r>
      <w:r>
        <w:rPr>
          <w:rFonts w:hint="eastAsia" w:ascii="楷体_GB2312" w:hAnsi="楷体_GB2312" w:eastAsia="楷体_GB2312" w:cs="楷体_GB2312"/>
          <w:b/>
          <w:bCs/>
          <w:sz w:val="32"/>
          <w:szCs w:val="32"/>
          <w:lang w:val="en-US" w:eastAsia="zh-CN"/>
        </w:rPr>
        <w:t>文化事业亮点凸显，公共服务效能全面提升。</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群众文化活动丰富惠民。全年举办各类文化惠民活动30余场次，完成戏曲下乡108场次、濒危剧种布扎戏演出30场次，覆盖18个乡镇111个行政村，惠及群众3万余人次；编辑出版《夹金山季刊》2025年第一期，助力本土文化传播。</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非遗保护传承成效显著。马尔锅庄传习所获评州级非遗保护传承激励单位，2家非遗工坊获评州级优秀工坊；2项非遗项目入选第七批省级非遗公示名单；开展非遗进景区活动吸引游客超1.2万人次，推动非遗活态传承。</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sz w:val="32"/>
          <w:szCs w:val="32"/>
          <w:lang w:val="en-US" w:eastAsia="zh-CN"/>
        </w:rPr>
        <w:t>深化文化交流协作。</w:t>
      </w:r>
      <w:r>
        <w:rPr>
          <w:rFonts w:hint="eastAsia" w:ascii="仿宋_GB2312" w:hAnsi="仿宋_GB2312" w:eastAsia="仿宋_GB2312" w:cs="仿宋_GB2312"/>
          <w:sz w:val="32"/>
          <w:szCs w:val="32"/>
          <w:lang w:val="en-US" w:eastAsia="zh-CN"/>
        </w:rPr>
        <w:t>承办“两山缘·两地情 德清小金一家亲”等文化走亲活动3场，其中2025年9月会师广场专场演出吸引3000余人参与，“羽冠珍珠妆”等江南文化元素成为网红打卡点，实现两地从产业协作到人文共融的升级。</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优化公共文化场馆服务。文化馆、图书馆、体育馆持续免费错时开放，图书馆全年开展线下阅读活动19场次、线上阅读活动87期，精准满足群众文化需求。</w:t>
      </w:r>
      <w:r>
        <w:rPr>
          <w:rFonts w:hint="eastAsia" w:ascii="仿宋_GB2312" w:hAnsi="仿宋_GB2312" w:eastAsia="仿宋_GB2312" w:cs="仿宋_GB2312"/>
          <w:b/>
          <w:bCs/>
          <w:sz w:val="32"/>
          <w:szCs w:val="32"/>
          <w:lang w:val="en-US" w:eastAsia="zh-CN"/>
        </w:rPr>
        <w:t>五是</w:t>
      </w:r>
      <w:r>
        <w:rPr>
          <w:rFonts w:hint="eastAsia" w:ascii="仿宋_GB2312" w:hAnsi="仿宋_GB2312" w:eastAsia="仿宋_GB2312" w:cs="仿宋_GB2312"/>
          <w:sz w:val="32"/>
          <w:szCs w:val="32"/>
          <w:lang w:val="en-US" w:eastAsia="zh-CN"/>
        </w:rPr>
        <w:t>高效履行行政审批职责。坚持“服务经济、方便群众”宗旨，完成农村宅基地审批254处；审批KTV、演艺场所、互联网上网服务营业场所许可7件。</w:t>
      </w:r>
    </w:p>
    <w:p>
      <w:pPr>
        <w:pStyle w:val="6"/>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both"/>
        <w:textAlignment w:val="auto"/>
        <w:rPr>
          <w:rFonts w:hint="eastAsia" w:ascii="方正仿宋_GBK" w:hAnsi="方正仿宋_GBK" w:eastAsia="方正仿宋_GBK" w:cs="方正仿宋_GBK"/>
          <w:b w:val="0"/>
          <w:bCs/>
          <w:sz w:val="32"/>
          <w:szCs w:val="32"/>
          <w:lang w:eastAsia="zh-CN"/>
        </w:rPr>
      </w:pPr>
      <w:r>
        <w:rPr>
          <w:rFonts w:hint="eastAsia" w:ascii="方正仿宋_GBK" w:hAnsi="方正仿宋_GBK" w:eastAsia="方正仿宋_GBK" w:cs="方正仿宋_GBK"/>
          <w:b/>
          <w:bCs w:val="0"/>
          <w:sz w:val="32"/>
          <w:szCs w:val="32"/>
          <w:lang w:val="en-US" w:eastAsia="zh-CN"/>
        </w:rPr>
        <w:t>2.</w:t>
      </w:r>
      <w:r>
        <w:rPr>
          <w:rFonts w:hint="eastAsia" w:ascii="楷体_GB2312" w:hAnsi="楷体_GB2312" w:eastAsia="楷体_GB2312" w:cs="楷体_GB2312"/>
          <w:b/>
          <w:bCs/>
          <w:sz w:val="32"/>
          <w:szCs w:val="32"/>
          <w:lang w:val="en-US" w:eastAsia="zh-CN"/>
        </w:rPr>
        <w:t>文物保护扎实推进，传承利用水平稳步提升。</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落实文物安全责任制。联合多部门对44处文物点开展消防与安全检查，完善管理制度，普及文物保护法律法规，提升全民保护意识。</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普查修缮有序实施。完成第四次全国文物普查第二阶段工作，复核107处不可移动文物，新发现登记11处；编制国保文物修缮立项报告，妥善处置文物坍塌后续事宜，完成2处红色场馆展陈提升方案编制上报。</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深化数字化保护。完成50余幅壁画数据化处理，推进红色旧址及古建筑三维建模，配合开展长征历史线路考古调查，推动线路升格为国家级文保线路。</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申报与标识建设见效。成功申报2处省级文保单位、1处省级革命文物，争取资金完成文物点标识牌安装，上报嘉绒文化遗产保护利用双试点资料，推进标识牌采购询价及验收筹备工作。</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3.市场监管持续强化，文旅发展环境不断优化。</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安全监管严格到位。联合多部门对文旅企业开展定期巡查与不定期抽查，检查各类经营主体263家次排查整改安全隐患90处，下达整改通知书6份。</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专项整治成效显著。针对导游乱象、强制消费、不合理低价游等问题开展专项整治，严厉打击违法违规行为，规范旅游市场秩序。</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投诉处置高效规范。健全旅游投诉处理机制，畅通投诉渠道，妥善处理12345平台投诉</w:t>
      </w:r>
      <w:r>
        <w:rPr>
          <w:rFonts w:hint="eastAsia" w:ascii="仿宋_GB2312" w:hAnsi="仿宋" w:eastAsia="仿宋_GB2312" w:cs="宋体"/>
          <w:b w:val="0"/>
          <w:bCs/>
          <w:color w:val="auto"/>
          <w:kern w:val="2"/>
          <w:sz w:val="32"/>
          <w:szCs w:val="32"/>
          <w:highlight w:val="none"/>
          <w:lang w:val="en-US" w:eastAsia="zh-CN" w:bidi="ar-SA"/>
        </w:rPr>
        <w:t>387</w:t>
      </w:r>
      <w:r>
        <w:rPr>
          <w:rFonts w:hint="eastAsia" w:ascii="仿宋_GB2312" w:hAnsi="仿宋_GB2312" w:eastAsia="仿宋_GB2312" w:cs="仿宋_GB2312"/>
          <w:sz w:val="32"/>
          <w:szCs w:val="32"/>
          <w:lang w:val="en-US" w:eastAsia="zh-CN"/>
        </w:rPr>
        <w:t>件、电话咨询投诉120余次，</w:t>
      </w:r>
      <w:r>
        <w:rPr>
          <w:rFonts w:hint="eastAsia" w:ascii="仿宋_GB2312" w:hAnsi="仿宋" w:eastAsia="仿宋_GB2312" w:cs="宋体"/>
          <w:b w:val="0"/>
          <w:bCs/>
          <w:kern w:val="2"/>
          <w:sz w:val="32"/>
          <w:szCs w:val="32"/>
          <w:lang w:val="en-US" w:eastAsia="zh-CN" w:bidi="ar-SA"/>
        </w:rPr>
        <w:t>涉及旅游管理、酒店服务、户外俱乐部运营、价格标准等问题，均已办结。</w:t>
      </w:r>
    </w:p>
    <w:p>
      <w:pPr>
        <w:keepNext w:val="0"/>
        <w:keepLines w:val="0"/>
        <w:pageBreakBefore w:val="0"/>
        <w:numPr>
          <w:ilvl w:val="0"/>
          <w:numId w:val="0"/>
        </w:numPr>
        <w:kinsoku/>
        <w:wordWrap/>
        <w:overflowPunct/>
        <w:topLinePunct w:val="0"/>
        <w:autoSpaceDE/>
        <w:autoSpaceDN/>
        <w:bidi w:val="0"/>
        <w:adjustRightInd/>
        <w:spacing w:line="520" w:lineRule="exact"/>
        <w:ind w:firstLine="640" w:firstLineChars="200"/>
        <w:rPr>
          <w:rFonts w:hint="eastAsia" w:ascii="楷体_GB2312" w:hAnsi="楷体_GB2312" w:eastAsia="楷体_GB2312" w:cs="楷体_GB2312"/>
          <w:b/>
          <w:bCs/>
          <w:sz w:val="32"/>
          <w:szCs w:val="32"/>
          <w:lang w:val="en-US" w:eastAsia="zh-CN"/>
        </w:rPr>
      </w:pPr>
      <w:r>
        <w:rPr>
          <w:rFonts w:hint="eastAsia" w:ascii="方正仿宋_GBK" w:hAnsi="方正仿宋_GBK" w:eastAsia="方正仿宋_GBK" w:cs="方正仿宋_GBK"/>
          <w:b/>
          <w:bCs w:val="0"/>
          <w:sz w:val="32"/>
          <w:szCs w:val="32"/>
          <w:lang w:val="en-US" w:eastAsia="zh-CN"/>
        </w:rPr>
        <w:t>4.</w:t>
      </w:r>
      <w:r>
        <w:rPr>
          <w:rFonts w:hint="eastAsia" w:ascii="楷体_GB2312" w:hAnsi="楷体_GB2312" w:eastAsia="楷体_GB2312" w:cs="楷体_GB2312"/>
          <w:b/>
          <w:bCs/>
          <w:sz w:val="32"/>
          <w:szCs w:val="32"/>
          <w:lang w:val="en-US" w:eastAsia="zh-CN"/>
        </w:rPr>
        <w:t>维护“户户通”“村村响”，筑牢广电服务保障线。</w:t>
      </w:r>
    </w:p>
    <w:p>
      <w:pPr>
        <w:keepNext w:val="0"/>
        <w:keepLines w:val="0"/>
        <w:pageBreakBefore w:val="0"/>
        <w:numPr>
          <w:ilvl w:val="0"/>
          <w:numId w:val="0"/>
        </w:numPr>
        <w:kinsoku/>
        <w:wordWrap/>
        <w:overflowPunct/>
        <w:topLinePunct w:val="0"/>
        <w:autoSpaceDE/>
        <w:autoSpaceDN/>
        <w:bidi w:val="0"/>
        <w:adjustRightInd/>
        <w:spacing w:line="520" w:lineRule="exact"/>
        <w:rPr>
          <w:rFonts w:hint="default"/>
          <w:lang w:val="en-US" w:eastAsia="zh-CN"/>
        </w:rPr>
      </w:pPr>
      <w:r>
        <w:rPr>
          <w:rFonts w:hint="eastAsia" w:ascii="仿宋_GB2312" w:hAnsi="仿宋_GB2312" w:eastAsia="仿宋_GB2312" w:cs="仿宋_GB2312"/>
          <w:sz w:val="32"/>
          <w:szCs w:val="32"/>
          <w:lang w:val="en-US" w:eastAsia="zh-CN"/>
        </w:rPr>
        <w:t>加强广播电视“户户通”维护维修工作，保障全县设备正常运转。截至目前，已对全县18个乡镇、109个行政村及2个社区开展广播电视直播卫星接收设施排查，重点针对非法直播卫星接收设施“小耳朵”排查3次，未发现私自安装使用、售卖非法“小耳朵”及接收非法境外电视节目的情况；维修维护“户户通”168余次，置换设备30台；根据群众需求，为排查出的条件困难人员采购“户户通”设备500台；对全县109个行政村应急广播“村村响”设备进行深度摸排，发现43个行政村设备存在不同程度故障、老化或损坏问题，现已完成这些行政村“村村响”设备的配置与维修维护工作。</w:t>
      </w:r>
    </w:p>
    <w:p>
      <w:pPr>
        <w:pStyle w:val="4"/>
        <w:spacing w:before="0" w:after="0" w:line="240" w:lineRule="auto"/>
        <w:ind w:firstLine="640" w:firstLineChars="200"/>
        <w:rPr>
          <w:rStyle w:val="39"/>
          <w:b w:val="0"/>
          <w:bCs w:val="0"/>
        </w:rPr>
      </w:pPr>
      <w:r>
        <w:rPr>
          <w:rFonts w:hint="eastAsia" w:ascii="黑体" w:eastAsia="黑体"/>
          <w:b w:val="0"/>
          <w:color w:val="000000"/>
        </w:rPr>
        <w:t>二、</w:t>
      </w:r>
      <w:r>
        <w:rPr>
          <w:rFonts w:hint="eastAsia" w:ascii="黑体" w:hAnsi="黑体" w:eastAsia="黑体"/>
          <w:b w:val="0"/>
          <w:color w:val="000000"/>
        </w:rPr>
        <w:t>机</w:t>
      </w:r>
      <w:r>
        <w:rPr>
          <w:rStyle w:val="39"/>
          <w:rFonts w:hint="eastAsia" w:ascii="黑体" w:hAnsi="黑体" w:eastAsia="黑体"/>
          <w:b w:val="0"/>
          <w:bCs w:val="0"/>
        </w:rPr>
        <w:t>构设置</w:t>
      </w:r>
      <w:bookmarkEnd w:id="30"/>
      <w:bookmarkEnd w:id="31"/>
      <w:bookmarkEnd w:id="32"/>
    </w:p>
    <w:p>
      <w:pPr>
        <w:keepNext w:val="0"/>
        <w:keepLines w:val="0"/>
        <w:pageBreakBefore w:val="0"/>
        <w:widowControl/>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小金县文化馆为小金县文化体育和旅游局下设事业单位，</w:t>
      </w:r>
      <w:r>
        <w:rPr>
          <w:rFonts w:hint="eastAsia" w:ascii="仿宋_GB2312" w:hAnsi="仿宋_GB2312" w:eastAsia="仿宋_GB2312" w:cs="仿宋_GB2312"/>
          <w:color w:val="auto"/>
          <w:sz w:val="32"/>
          <w:szCs w:val="32"/>
        </w:rPr>
        <w:t>有小金县文物管理所、小金县红军长征两河口会议纪念馆、小金县图书馆、小金县文化馆、小金县业余体校</w:t>
      </w:r>
      <w:r>
        <w:rPr>
          <w:rFonts w:hint="eastAsia" w:ascii="仿宋_GB2312" w:hAnsi="仿宋_GB2312" w:eastAsia="仿宋_GB2312" w:cs="仿宋_GB2312"/>
          <w:color w:val="auto"/>
          <w:sz w:val="32"/>
          <w:szCs w:val="32"/>
          <w:lang w:eastAsia="zh-CN"/>
        </w:rPr>
        <w:t>、小金县文化体育和旅游事务服务中心</w:t>
      </w:r>
      <w:r>
        <w:rPr>
          <w:rFonts w:hint="eastAsia" w:ascii="仿宋_GB2312" w:hAnsi="仿宋_GB2312" w:eastAsia="仿宋_GB2312" w:cs="仿宋_GB2312"/>
          <w:color w:val="auto"/>
          <w:sz w:val="32"/>
          <w:szCs w:val="32"/>
        </w:rPr>
        <w:t>，均属股级事业机构。</w:t>
      </w:r>
    </w:p>
    <w:p>
      <w:pPr>
        <w:keepNext w:val="0"/>
        <w:keepLines w:val="0"/>
        <w:pageBreakBefore w:val="0"/>
        <w:widowControl/>
        <w:numPr>
          <w:ilvl w:val="0"/>
          <w:numId w:val="0"/>
        </w:numPr>
        <w:kinsoku/>
        <w:wordWrap/>
        <w:overflowPunct/>
        <w:topLinePunct w:val="0"/>
        <w:autoSpaceDE/>
        <w:autoSpaceDN/>
        <w:bidi w:val="0"/>
        <w:adjustRightInd/>
        <w:snapToGrid w:val="0"/>
        <w:spacing w:line="520" w:lineRule="exact"/>
        <w:ind w:firstLine="640" w:firstLineChars="200"/>
        <w:textAlignment w:val="auto"/>
        <w:rPr>
          <w:rFonts w:ascii="仿宋" w:hAnsi="仿宋" w:eastAsia="仿宋"/>
          <w:color w:val="auto"/>
          <w:kern w:val="0"/>
          <w:sz w:val="32"/>
          <w:szCs w:val="32"/>
          <w:highlight w:val="none"/>
        </w:rPr>
      </w:pPr>
      <w:r>
        <w:rPr>
          <w:rFonts w:hint="eastAsia" w:ascii="仿宋_GB2312" w:hAnsi="仿宋_GB2312" w:eastAsia="仿宋_GB2312" w:cs="仿宋_GB2312"/>
          <w:color w:val="auto"/>
          <w:sz w:val="32"/>
          <w:szCs w:val="32"/>
        </w:rPr>
        <w:t>事业编制</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小金县文物管理所</w:t>
      </w:r>
      <w:r>
        <w:rPr>
          <w:rFonts w:hint="eastAsia" w:ascii="仿宋_GB2312" w:hAnsi="仿宋_GB2312" w:eastAsia="仿宋_GB2312" w:cs="仿宋_GB2312"/>
          <w:color w:val="auto"/>
          <w:sz w:val="32"/>
          <w:szCs w:val="32"/>
          <w:lang w:val="en-US" w:eastAsia="zh-CN"/>
        </w:rPr>
        <w:t>2人</w:t>
      </w:r>
      <w:r>
        <w:rPr>
          <w:rFonts w:hint="eastAsia" w:ascii="仿宋_GB2312" w:hAnsi="仿宋_GB2312" w:eastAsia="仿宋_GB2312" w:cs="仿宋_GB2312"/>
          <w:color w:val="auto"/>
          <w:sz w:val="32"/>
          <w:szCs w:val="32"/>
        </w:rPr>
        <w:t>、小金县红军长征两河口会议纪念馆</w:t>
      </w:r>
      <w:r>
        <w:rPr>
          <w:rFonts w:hint="eastAsia" w:ascii="仿宋_GB2312" w:hAnsi="仿宋_GB2312" w:eastAsia="仿宋_GB2312" w:cs="仿宋_GB2312"/>
          <w:color w:val="auto"/>
          <w:sz w:val="32"/>
          <w:szCs w:val="32"/>
          <w:lang w:val="en-US" w:eastAsia="zh-CN"/>
        </w:rPr>
        <w:t>3人</w:t>
      </w:r>
      <w:r>
        <w:rPr>
          <w:rFonts w:hint="eastAsia" w:ascii="仿宋_GB2312" w:hAnsi="仿宋_GB2312" w:eastAsia="仿宋_GB2312" w:cs="仿宋_GB2312"/>
          <w:color w:val="auto"/>
          <w:sz w:val="32"/>
          <w:szCs w:val="32"/>
        </w:rPr>
        <w:t>、小金县图书馆</w:t>
      </w:r>
      <w:r>
        <w:rPr>
          <w:rFonts w:hint="eastAsia" w:ascii="仿宋_GB2312" w:hAnsi="仿宋_GB2312" w:eastAsia="仿宋_GB2312" w:cs="仿宋_GB2312"/>
          <w:color w:val="auto"/>
          <w:sz w:val="32"/>
          <w:szCs w:val="32"/>
          <w:lang w:val="en-US" w:eastAsia="zh-CN"/>
        </w:rPr>
        <w:t>2人</w:t>
      </w:r>
      <w:r>
        <w:rPr>
          <w:rFonts w:hint="eastAsia" w:ascii="仿宋_GB2312" w:hAnsi="仿宋_GB2312" w:eastAsia="仿宋_GB2312" w:cs="仿宋_GB2312"/>
          <w:color w:val="auto"/>
          <w:sz w:val="32"/>
          <w:szCs w:val="32"/>
        </w:rPr>
        <w:t>、小金县文化馆</w:t>
      </w:r>
      <w:r>
        <w:rPr>
          <w:rFonts w:hint="eastAsia" w:ascii="仿宋_GB2312" w:hAnsi="仿宋_GB2312" w:eastAsia="仿宋_GB2312" w:cs="仿宋_GB2312"/>
          <w:color w:val="auto"/>
          <w:sz w:val="32"/>
          <w:szCs w:val="32"/>
          <w:lang w:val="en-US" w:eastAsia="zh-CN"/>
        </w:rPr>
        <w:t>3人</w:t>
      </w:r>
      <w:r>
        <w:rPr>
          <w:rFonts w:hint="eastAsia" w:ascii="仿宋_GB2312" w:hAnsi="仿宋_GB2312" w:eastAsia="仿宋_GB2312" w:cs="仿宋_GB2312"/>
          <w:color w:val="auto"/>
          <w:sz w:val="32"/>
          <w:szCs w:val="32"/>
        </w:rPr>
        <w:t>、小金县业余体校</w:t>
      </w:r>
      <w:r>
        <w:rPr>
          <w:rFonts w:hint="eastAsia" w:ascii="仿宋_GB2312" w:hAnsi="仿宋_GB2312" w:eastAsia="仿宋_GB2312" w:cs="仿宋_GB2312"/>
          <w:color w:val="auto"/>
          <w:sz w:val="32"/>
          <w:szCs w:val="32"/>
          <w:lang w:val="en-US" w:eastAsia="zh-CN"/>
        </w:rPr>
        <w:t>1人、</w:t>
      </w:r>
      <w:r>
        <w:rPr>
          <w:rFonts w:hint="eastAsia" w:ascii="仿宋_GB2312" w:hAnsi="仿宋_GB2312" w:eastAsia="仿宋_GB2312" w:cs="仿宋_GB2312"/>
          <w:color w:val="auto"/>
          <w:sz w:val="32"/>
          <w:szCs w:val="32"/>
          <w:lang w:eastAsia="zh-CN"/>
        </w:rPr>
        <w:t>小金县文化体育和旅游事务服务中心</w:t>
      </w:r>
      <w:r>
        <w:rPr>
          <w:rFonts w:hint="eastAsia" w:ascii="仿宋_GB2312" w:hAnsi="仿宋_GB2312" w:eastAsia="仿宋_GB2312" w:cs="仿宋_GB2312"/>
          <w:color w:val="auto"/>
          <w:sz w:val="32"/>
          <w:szCs w:val="32"/>
          <w:lang w:val="en-US" w:eastAsia="zh-CN"/>
        </w:rPr>
        <w:t>10人;</w:t>
      </w:r>
      <w:r>
        <w:rPr>
          <w:rFonts w:hint="eastAsia" w:ascii="仿宋_GB2312" w:hAnsi="仿宋_GB2312" w:eastAsia="仿宋_GB2312" w:cs="仿宋_GB2312"/>
          <w:color w:val="auto"/>
          <w:sz w:val="32"/>
          <w:szCs w:val="32"/>
          <w:shd w:val="clear" w:fill="FFFFFF"/>
          <w:lang w:eastAsia="zh-CN"/>
        </w:rPr>
        <w:t>我馆</w:t>
      </w:r>
      <w:r>
        <w:rPr>
          <w:rFonts w:hint="eastAsia" w:ascii="仿宋_GB2312" w:hAnsi="仿宋_GB2312" w:eastAsia="仿宋_GB2312" w:cs="仿宋_GB2312"/>
          <w:color w:val="auto"/>
          <w:sz w:val="32"/>
          <w:szCs w:val="32"/>
          <w:shd w:val="clear" w:fill="FFFFFF"/>
        </w:rPr>
        <w:t>本年度纳入本套决算编制范围的独立编制机构数共1个，比上年增加0个；独立核算机构数共1个，比上年增加0个</w:t>
      </w:r>
      <w:r>
        <w:rPr>
          <w:rFonts w:hint="eastAsia" w:ascii="仿宋_GB2312" w:hAnsi="仿宋_GB2312" w:eastAsia="仿宋_GB2312" w:cs="仿宋_GB2312"/>
          <w:color w:val="auto"/>
          <w:sz w:val="32"/>
          <w:szCs w:val="32"/>
          <w:shd w:val="clear" w:fill="FFFFFF"/>
          <w:lang w:val="en-US" w:eastAsia="zh-CN"/>
        </w:rPr>
        <w:t>;</w:t>
      </w:r>
      <w:r>
        <w:rPr>
          <w:rFonts w:hint="eastAsia" w:ascii="仿宋_GB2312" w:hAnsi="仿宋_GB2312" w:eastAsia="仿宋_GB2312" w:cs="仿宋_GB2312"/>
          <w:color w:val="auto"/>
          <w:sz w:val="32"/>
          <w:szCs w:val="32"/>
          <w:shd w:val="clear" w:fill="FFFFFF"/>
        </w:rPr>
        <w:t>本年度年末实有人数为</w:t>
      </w:r>
      <w:r>
        <w:rPr>
          <w:rFonts w:hint="eastAsia" w:ascii="仿宋_GB2312" w:hAnsi="仿宋_GB2312" w:eastAsia="仿宋_GB2312" w:cs="仿宋_GB2312"/>
          <w:color w:val="auto"/>
          <w:sz w:val="32"/>
          <w:szCs w:val="32"/>
          <w:shd w:val="clear" w:fill="FFFFFF"/>
          <w:lang w:val="en-US" w:eastAsia="zh-CN"/>
        </w:rPr>
        <w:t>19</w:t>
      </w:r>
      <w:r>
        <w:rPr>
          <w:rFonts w:hint="eastAsia" w:ascii="仿宋_GB2312" w:hAnsi="仿宋_GB2312" w:eastAsia="仿宋_GB2312" w:cs="仿宋_GB2312"/>
          <w:color w:val="auto"/>
          <w:sz w:val="32"/>
          <w:szCs w:val="32"/>
          <w:shd w:val="clear" w:fill="FFFFFF"/>
        </w:rPr>
        <w:t>人</w:t>
      </w:r>
      <w:r>
        <w:rPr>
          <w:rFonts w:hint="eastAsia" w:ascii="仿宋_GB2312" w:hAnsi="仿宋_GB2312" w:eastAsia="仿宋_GB2312" w:cs="仿宋_GB2312"/>
          <w:color w:val="auto"/>
          <w:sz w:val="32"/>
          <w:szCs w:val="32"/>
          <w:shd w:val="clear" w:fill="FFFFFF"/>
          <w:lang w:val="en-US" w:eastAsia="zh-CN"/>
        </w:rPr>
        <w:t>；</w:t>
      </w:r>
      <w:r>
        <w:rPr>
          <w:rFonts w:hint="eastAsia" w:ascii="仿宋_GB2312" w:hAnsi="仿宋_GB2312" w:eastAsia="仿宋_GB2312" w:cs="仿宋_GB2312"/>
          <w:color w:val="auto"/>
          <w:sz w:val="32"/>
          <w:szCs w:val="32"/>
          <w:shd w:val="clear" w:fill="FFFFFF"/>
        </w:rPr>
        <w:t>年末实有其他人数为0人，比上年增加0人</w:t>
      </w:r>
      <w:r>
        <w:rPr>
          <w:rFonts w:hint="eastAsia" w:ascii="仿宋_GB2312" w:hAnsi="仿宋_GB2312" w:eastAsia="仿宋_GB2312" w:cs="仿宋_GB2312"/>
          <w:color w:val="auto"/>
          <w:sz w:val="32"/>
          <w:szCs w:val="32"/>
          <w:shd w:val="clear" w:fill="FFFFFF"/>
          <w:lang w:eastAsia="zh-CN"/>
        </w:rPr>
        <w:t>。</w:t>
      </w:r>
    </w:p>
    <w:p>
      <w:pPr>
        <w:pStyle w:val="3"/>
        <w:ind w:right="440"/>
        <w:jc w:val="center"/>
        <w:rPr>
          <w:color w:val="auto"/>
          <w:highlight w:val="none"/>
        </w:rPr>
      </w:pPr>
      <w:bookmarkStart w:id="33" w:name="_Toc22197"/>
      <w:bookmarkStart w:id="34" w:name="_Toc15396602"/>
      <w:bookmarkStart w:id="35" w:name="_Toc15377204"/>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30"/>
          <w:rFonts w:hint="eastAsia" w:ascii="黑体" w:hAnsi="黑体" w:eastAsia="黑体"/>
          <w:b w:val="0"/>
          <w:bCs/>
          <w:color w:val="auto"/>
          <w:highlight w:val="none"/>
        </w:rPr>
        <w:t>部门决算情况说明</w:t>
      </w:r>
      <w:bookmarkEnd w:id="33"/>
      <w:bookmarkEnd w:id="34"/>
      <w:bookmarkEnd w:id="35"/>
    </w:p>
    <w:p>
      <w:pPr>
        <w:pStyle w:val="29"/>
        <w:numPr>
          <w:ilvl w:val="0"/>
          <w:numId w:val="1"/>
        </w:numPr>
        <w:spacing w:line="600" w:lineRule="exact"/>
        <w:ind w:firstLineChars="0"/>
        <w:outlineLvl w:val="1"/>
        <w:rPr>
          <w:rStyle w:val="31"/>
          <w:rFonts w:ascii="黑体" w:hAnsi="黑体" w:eastAsia="黑体"/>
          <w:b w:val="0"/>
          <w:color w:val="auto"/>
          <w:highlight w:val="none"/>
        </w:rPr>
      </w:pPr>
      <w:bookmarkStart w:id="36" w:name="_Toc15396603"/>
      <w:bookmarkStart w:id="37" w:name="_Toc39"/>
      <w:bookmarkStart w:id="38" w:name="_Toc15377205"/>
      <w:r>
        <w:rPr>
          <w:rFonts w:hint="eastAsia" w:ascii="黑体" w:hAnsi="黑体" w:eastAsia="黑体"/>
          <w:color w:val="auto"/>
          <w:sz w:val="32"/>
          <w:szCs w:val="32"/>
          <w:highlight w:val="none"/>
        </w:rPr>
        <w:t>收</w:t>
      </w:r>
      <w:r>
        <w:rPr>
          <w:rStyle w:val="31"/>
          <w:rFonts w:hint="eastAsia" w:ascii="黑体" w:hAnsi="黑体" w:eastAsia="黑体"/>
          <w:b w:val="0"/>
          <w:color w:val="auto"/>
          <w:highlight w:val="none"/>
        </w:rPr>
        <w:t>入支出决算总体情况说明</w:t>
      </w:r>
      <w:bookmarkEnd w:id="36"/>
      <w:bookmarkEnd w:id="37"/>
      <w:bookmarkEnd w:id="38"/>
    </w:p>
    <w:p>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rPr>
        <w:t>2025年度收入为311.34万元，与2024年相比增加90.58万元，增长29.18%。主要变动原因为2025年机构改革后，本单位事业编制增加，相应人员也有所增加</w:t>
      </w:r>
      <w:r>
        <w:rPr>
          <w:rFonts w:hint="eastAsia" w:ascii="仿宋" w:hAnsi="仿宋" w:eastAsia="仿宋"/>
          <w:color w:val="auto"/>
          <w:sz w:val="32"/>
          <w:szCs w:val="32"/>
          <w:highlight w:val="none"/>
          <w:lang w:val="en-US" w:eastAsia="zh-CN"/>
        </w:rPr>
        <w:t>,年度预算相应增加</w:t>
      </w:r>
      <w:r>
        <w:rPr>
          <w:rFonts w:hint="eastAsia" w:ascii="仿宋" w:hAnsi="仿宋" w:eastAsia="仿宋"/>
          <w:color w:val="auto"/>
          <w:sz w:val="32"/>
          <w:szCs w:val="32"/>
          <w:highlight w:val="none"/>
        </w:rPr>
        <w:t>。</w:t>
      </w:r>
    </w:p>
    <w:p>
      <w:pPr>
        <w:spacing w:line="600" w:lineRule="exact"/>
        <w:ind w:firstLine="420" w:firstLineChars="200"/>
        <w:outlineLvl w:val="1"/>
        <w:rPr>
          <w:rFonts w:hint="eastAsia"/>
          <w:lang w:val="en-US" w:eastAsia="zh-CN"/>
        </w:rPr>
      </w:pPr>
      <w:bookmarkStart w:id="39" w:name="_Toc20263"/>
      <w:bookmarkStart w:id="40" w:name="_Toc30228"/>
      <w:r>
        <w:drawing>
          <wp:anchor distT="0" distB="0" distL="114300" distR="114300" simplePos="0" relativeHeight="251661312" behindDoc="0" locked="0" layoutInCell="1" allowOverlap="1">
            <wp:simplePos x="0" y="0"/>
            <wp:positionH relativeFrom="column">
              <wp:posOffset>415290</wp:posOffset>
            </wp:positionH>
            <wp:positionV relativeFrom="paragraph">
              <wp:posOffset>1652905</wp:posOffset>
            </wp:positionV>
            <wp:extent cx="4572000" cy="2578735"/>
            <wp:effectExtent l="4445" t="4445" r="14605" b="7620"/>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度支出</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90.58</w:t>
      </w:r>
      <w:r>
        <w:rPr>
          <w:rFonts w:hint="eastAsia" w:ascii="仿宋" w:hAnsi="仿宋" w:eastAsia="仿宋"/>
          <w:color w:val="auto"/>
          <w:sz w:val="32"/>
          <w:szCs w:val="32"/>
          <w:highlight w:val="none"/>
        </w:rPr>
        <w:t>万元，</w:t>
      </w:r>
      <w:bookmarkEnd w:id="39"/>
      <w:bookmarkEnd w:id="40"/>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29.18</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主要变动原因为2025年机构改革后，本单位事业编制增加，相应人员也有所增加</w:t>
      </w:r>
      <w:r>
        <w:rPr>
          <w:rFonts w:hint="eastAsia" w:ascii="仿宋" w:hAnsi="仿宋" w:eastAsia="仿宋"/>
          <w:color w:val="auto"/>
          <w:sz w:val="32"/>
          <w:szCs w:val="32"/>
          <w:highlight w:val="none"/>
          <w:lang w:val="en-US" w:eastAsia="zh-CN"/>
        </w:rPr>
        <w:t>,年度预算相应增加</w:t>
      </w:r>
      <w:r>
        <w:rPr>
          <w:rFonts w:hint="eastAsia" w:ascii="仿宋" w:hAnsi="仿宋" w:eastAsia="仿宋"/>
          <w:color w:val="auto"/>
          <w:sz w:val="32"/>
          <w:szCs w:val="32"/>
          <w:highlight w:val="none"/>
        </w:rPr>
        <w:t>。</w:t>
      </w:r>
    </w:p>
    <w:p>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29"/>
        <w:numPr>
          <w:ilvl w:val="0"/>
          <w:numId w:val="1"/>
        </w:numPr>
        <w:spacing w:line="600" w:lineRule="exact"/>
        <w:ind w:firstLineChars="0"/>
        <w:outlineLvl w:val="1"/>
        <w:rPr>
          <w:rStyle w:val="31"/>
          <w:rFonts w:ascii="黑体" w:hAnsi="黑体" w:eastAsia="黑体"/>
          <w:b w:val="0"/>
          <w:color w:val="auto"/>
          <w:highlight w:val="none"/>
        </w:rPr>
      </w:pPr>
      <w:bookmarkStart w:id="41" w:name="_Toc15377206"/>
      <w:bookmarkStart w:id="42" w:name="_Toc15396604"/>
      <w:bookmarkStart w:id="43" w:name="_Toc9863"/>
      <w:r>
        <w:rPr>
          <w:rFonts w:hint="eastAsia" w:ascii="黑体" w:hAnsi="黑体" w:eastAsia="黑体"/>
          <w:color w:val="auto"/>
          <w:sz w:val="32"/>
          <w:szCs w:val="32"/>
          <w:highlight w:val="none"/>
        </w:rPr>
        <w:t>收</w:t>
      </w:r>
      <w:r>
        <w:rPr>
          <w:rStyle w:val="31"/>
          <w:rFonts w:hint="eastAsia" w:ascii="黑体" w:hAnsi="黑体" w:eastAsia="黑体"/>
          <w:b w:val="0"/>
          <w:color w:val="auto"/>
          <w:highlight w:val="none"/>
        </w:rPr>
        <w:t>入决算情况说明</w:t>
      </w:r>
      <w:bookmarkEnd w:id="41"/>
      <w:bookmarkEnd w:id="42"/>
      <w:bookmarkEnd w:id="43"/>
    </w:p>
    <w:p>
      <w:pPr>
        <w:spacing w:line="600" w:lineRule="exact"/>
        <w:ind w:firstLine="630" w:firstLineChars="300"/>
        <w:outlineLvl w:val="1"/>
        <w:rPr>
          <w:rFonts w:hint="eastAsia"/>
          <w:lang w:val="en-US" w:eastAsia="zh-CN"/>
        </w:rPr>
      </w:pPr>
      <w:bookmarkStart w:id="44" w:name="_Toc17039"/>
      <w:bookmarkStart w:id="45" w:name="_Toc19068"/>
      <w:r>
        <w:drawing>
          <wp:anchor distT="0" distB="0" distL="114300" distR="114300" simplePos="0" relativeHeight="251662336" behindDoc="0" locked="0" layoutInCell="1" allowOverlap="1">
            <wp:simplePos x="0" y="0"/>
            <wp:positionH relativeFrom="column">
              <wp:posOffset>69215</wp:posOffset>
            </wp:positionH>
            <wp:positionV relativeFrom="paragraph">
              <wp:posOffset>2364105</wp:posOffset>
            </wp:positionV>
            <wp:extent cx="5251450" cy="2077720"/>
            <wp:effectExtent l="4445" t="4445" r="20955" b="1333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4"/>
      <w:bookmarkEnd w:id="45"/>
    </w:p>
    <w:p>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（图2：收入决算结构图）（饼状图）</w:t>
      </w:r>
    </w:p>
    <w:p>
      <w:pPr>
        <w:pStyle w:val="29"/>
        <w:numPr>
          <w:ilvl w:val="0"/>
          <w:numId w:val="1"/>
        </w:numPr>
        <w:spacing w:line="600" w:lineRule="exact"/>
        <w:ind w:firstLineChars="0"/>
        <w:outlineLvl w:val="1"/>
        <w:rPr>
          <w:rStyle w:val="31"/>
          <w:rFonts w:ascii="黑体" w:hAnsi="黑体" w:eastAsia="黑体"/>
          <w:b w:val="0"/>
          <w:color w:val="auto"/>
          <w:highlight w:val="none"/>
        </w:rPr>
      </w:pPr>
      <w:bookmarkStart w:id="46" w:name="_Toc15377207"/>
      <w:bookmarkStart w:id="47" w:name="_Toc15396605"/>
      <w:bookmarkStart w:id="48" w:name="_Toc2819"/>
      <w:r>
        <w:rPr>
          <w:rFonts w:hint="eastAsia" w:ascii="黑体" w:hAnsi="黑体" w:eastAsia="黑体"/>
          <w:color w:val="auto"/>
          <w:sz w:val="32"/>
          <w:szCs w:val="32"/>
          <w:highlight w:val="none"/>
        </w:rPr>
        <w:t>支</w:t>
      </w:r>
      <w:r>
        <w:rPr>
          <w:rStyle w:val="31"/>
          <w:rFonts w:hint="eastAsia" w:ascii="黑体" w:hAnsi="黑体" w:eastAsia="黑体"/>
          <w:b w:val="0"/>
          <w:color w:val="auto"/>
          <w:highlight w:val="none"/>
        </w:rPr>
        <w:t>出决算情况说明</w:t>
      </w:r>
      <w:bookmarkEnd w:id="46"/>
      <w:bookmarkEnd w:id="47"/>
      <w:bookmarkEnd w:id="48"/>
    </w:p>
    <w:p>
      <w:pPr>
        <w:spacing w:line="600" w:lineRule="exact"/>
        <w:ind w:firstLine="640" w:firstLineChars="200"/>
        <w:outlineLvl w:val="1"/>
        <w:rPr>
          <w:rFonts w:hint="eastAsia"/>
          <w:lang w:val="en-US" w:eastAsia="zh-CN"/>
        </w:rPr>
      </w:pPr>
      <w:bookmarkStart w:id="49" w:name="_Toc676"/>
      <w:bookmarkStart w:id="50" w:name="_Toc11763"/>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万元，其中：一般公共预算财政拨款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9"/>
      <w:bookmarkEnd w:id="50"/>
    </w:p>
    <w:p>
      <w:pPr>
        <w:pStyle w:val="2"/>
        <w:rPr>
          <w:rFonts w:hint="eastAsia"/>
          <w:lang w:val="en-US" w:eastAsia="zh-CN"/>
        </w:rPr>
      </w:pPr>
      <w:r>
        <w:drawing>
          <wp:inline distT="0" distB="0" distL="114300" distR="114300">
            <wp:extent cx="4580890" cy="1879600"/>
            <wp:effectExtent l="4445" t="4445" r="5715" b="2095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（图3：支出决算结构图）（饼状图）</w:t>
      </w:r>
    </w:p>
    <w:p>
      <w:pPr>
        <w:numPr>
          <w:ilvl w:val="0"/>
          <w:numId w:val="1"/>
        </w:numPr>
        <w:spacing w:line="600" w:lineRule="exact"/>
        <w:ind w:left="1360" w:leftChars="0" w:hanging="720" w:firstLineChars="0"/>
        <w:outlineLvl w:val="1"/>
        <w:rPr>
          <w:rStyle w:val="31"/>
          <w:rFonts w:hint="eastAsia" w:ascii="黑体" w:hAnsi="黑体" w:eastAsia="黑体"/>
          <w:b w:val="0"/>
          <w:color w:val="auto"/>
          <w:highlight w:val="none"/>
        </w:rPr>
      </w:pPr>
      <w:bookmarkStart w:id="51" w:name="_Toc15396606"/>
      <w:bookmarkStart w:id="52" w:name="_Toc6764"/>
      <w:bookmarkStart w:id="53" w:name="_Toc15377208"/>
      <w:r>
        <w:rPr>
          <w:rFonts w:hint="eastAsia" w:ascii="黑体" w:hAnsi="黑体" w:eastAsia="黑体"/>
          <w:color w:val="auto"/>
          <w:sz w:val="32"/>
          <w:szCs w:val="32"/>
          <w:highlight w:val="none"/>
        </w:rPr>
        <w:t>财</w:t>
      </w:r>
      <w:r>
        <w:rPr>
          <w:rStyle w:val="31"/>
          <w:rFonts w:hint="eastAsia" w:ascii="黑体" w:hAnsi="黑体" w:eastAsia="黑体"/>
          <w:b w:val="0"/>
          <w:color w:val="auto"/>
          <w:highlight w:val="none"/>
        </w:rPr>
        <w:t>政拨款收入支出决算总体情况说明</w:t>
      </w:r>
      <w:bookmarkEnd w:id="51"/>
      <w:bookmarkEnd w:id="52"/>
      <w:bookmarkEnd w:id="53"/>
    </w:p>
    <w:p>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w:t>
      </w:r>
      <w:r>
        <w:rPr>
          <w:rFonts w:hint="eastAsia" w:ascii="仿宋" w:hAnsi="仿宋" w:eastAsia="仿宋"/>
          <w:color w:val="auto"/>
          <w:sz w:val="32"/>
          <w:szCs w:val="32"/>
          <w:highlight w:val="none"/>
          <w:lang w:eastAsia="zh-CN"/>
        </w:rPr>
        <w:t>财政拨款</w:t>
      </w:r>
      <w:r>
        <w:rPr>
          <w:rFonts w:hint="eastAsia" w:ascii="仿宋" w:hAnsi="仿宋" w:eastAsia="仿宋"/>
          <w:color w:val="auto"/>
          <w:sz w:val="32"/>
          <w:szCs w:val="32"/>
          <w:highlight w:val="none"/>
        </w:rPr>
        <w:t>收入</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90.58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29.18</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主要变动原因为2025年机构改革后，本单位事业编制增加，相应人员也有所增加</w:t>
      </w:r>
      <w:r>
        <w:rPr>
          <w:rFonts w:hint="eastAsia" w:ascii="仿宋" w:hAnsi="仿宋" w:eastAsia="仿宋"/>
          <w:color w:val="auto"/>
          <w:sz w:val="32"/>
          <w:szCs w:val="32"/>
          <w:highlight w:val="none"/>
          <w:lang w:val="en-US" w:eastAsia="zh-CN"/>
        </w:rPr>
        <w:t>,年度预算相应增加</w:t>
      </w:r>
      <w:r>
        <w:rPr>
          <w:rFonts w:hint="eastAsia" w:ascii="仿宋" w:hAnsi="仿宋" w:eastAsia="仿宋"/>
          <w:color w:val="auto"/>
          <w:sz w:val="32"/>
          <w:szCs w:val="32"/>
          <w:highlight w:val="none"/>
        </w:rPr>
        <w:t>。</w:t>
      </w:r>
    </w:p>
    <w:p>
      <w:pPr>
        <w:spacing w:line="600" w:lineRule="exact"/>
        <w:ind w:firstLine="420" w:firstLineChars="200"/>
        <w:outlineLvl w:val="1"/>
        <w:rPr>
          <w:rFonts w:hint="default"/>
          <w:lang w:val="en-US" w:eastAsia="zh-CN"/>
        </w:rPr>
      </w:pPr>
      <w:r>
        <w:drawing>
          <wp:anchor distT="0" distB="0" distL="114300" distR="114300" simplePos="0" relativeHeight="251663360" behindDoc="0" locked="0" layoutInCell="1" allowOverlap="1">
            <wp:simplePos x="0" y="0"/>
            <wp:positionH relativeFrom="column">
              <wp:posOffset>173355</wp:posOffset>
            </wp:positionH>
            <wp:positionV relativeFrom="paragraph">
              <wp:posOffset>1576070</wp:posOffset>
            </wp:positionV>
            <wp:extent cx="4743450" cy="1972310"/>
            <wp:effectExtent l="4445" t="4445" r="14605" b="23495"/>
            <wp:wrapTopAndBottom/>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w:t>
      </w:r>
      <w:r>
        <w:rPr>
          <w:rFonts w:hint="eastAsia" w:ascii="仿宋" w:hAnsi="仿宋" w:eastAsia="仿宋"/>
          <w:color w:val="auto"/>
          <w:sz w:val="32"/>
          <w:szCs w:val="32"/>
          <w:highlight w:val="none"/>
          <w:lang w:eastAsia="zh-CN"/>
        </w:rPr>
        <w:t>财政拨款</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90.58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29.18</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主要变动原因为2025年机构改革后，本单位事业编制增加，相应人员也有所增加</w:t>
      </w:r>
      <w:r>
        <w:rPr>
          <w:rFonts w:hint="eastAsia" w:ascii="仿宋" w:hAnsi="仿宋" w:eastAsia="仿宋"/>
          <w:color w:val="auto"/>
          <w:sz w:val="32"/>
          <w:szCs w:val="32"/>
          <w:highlight w:val="none"/>
          <w:lang w:val="en-US" w:eastAsia="zh-CN"/>
        </w:rPr>
        <w:t>,年度预算相应增加</w:t>
      </w:r>
      <w:r>
        <w:rPr>
          <w:rFonts w:hint="eastAsia" w:ascii="仿宋" w:hAnsi="仿宋" w:eastAsia="仿宋"/>
          <w:color w:val="auto"/>
          <w:sz w:val="32"/>
          <w:szCs w:val="32"/>
          <w:highlight w:val="none"/>
        </w:rPr>
        <w:t>。</w:t>
      </w:r>
    </w:p>
    <w:p>
      <w:pPr>
        <w:spacing w:line="600" w:lineRule="exact"/>
        <w:ind w:firstLine="640" w:firstLineChars="200"/>
        <w:rPr>
          <w:rFonts w:ascii="仿宋" w:hAnsi="仿宋" w:eastAsia="仿宋"/>
          <w:b/>
          <w:color w:val="auto"/>
          <w:sz w:val="32"/>
          <w:szCs w:val="32"/>
          <w:highlight w:val="none"/>
        </w:rPr>
      </w:pPr>
      <w:r>
        <w:rPr>
          <w:rFonts w:hint="eastAsia" w:ascii="仿宋" w:hAnsi="仿宋" w:eastAsia="仿宋"/>
          <w:color w:val="auto"/>
          <w:sz w:val="32"/>
          <w:szCs w:val="32"/>
          <w:highlight w:val="none"/>
        </w:rPr>
        <w:t>（图4：财政拨款收、支决算总计变动情况）（柱状图）</w:t>
      </w:r>
    </w:p>
    <w:p>
      <w:pPr>
        <w:spacing w:line="600" w:lineRule="exact"/>
        <w:ind w:firstLine="640" w:firstLineChars="200"/>
        <w:outlineLvl w:val="1"/>
        <w:rPr>
          <w:rStyle w:val="31"/>
          <w:rFonts w:ascii="黑体" w:hAnsi="黑体" w:eastAsia="黑体"/>
          <w:b w:val="0"/>
          <w:color w:val="auto"/>
          <w:highlight w:val="none"/>
        </w:rPr>
      </w:pPr>
      <w:bookmarkStart w:id="54" w:name="_Toc15377209"/>
      <w:bookmarkStart w:id="55" w:name="_Toc15396607"/>
      <w:bookmarkStart w:id="56" w:name="_Toc31139"/>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1"/>
          <w:rFonts w:hint="eastAsia" w:ascii="黑体" w:hAnsi="黑体" w:eastAsia="黑体"/>
          <w:b w:val="0"/>
          <w:color w:val="auto"/>
          <w:highlight w:val="none"/>
        </w:rPr>
        <w:t>般公共预算财政拨款支出决算情况说明</w:t>
      </w:r>
      <w:bookmarkEnd w:id="54"/>
      <w:bookmarkEnd w:id="55"/>
      <w:bookmarkEnd w:id="56"/>
    </w:p>
    <w:p>
      <w:pPr>
        <w:spacing w:line="600" w:lineRule="exact"/>
        <w:ind w:firstLine="643" w:firstLineChars="200"/>
        <w:outlineLvl w:val="1"/>
        <w:rPr>
          <w:rFonts w:hint="eastAsia" w:ascii="仿宋" w:hAnsi="仿宋" w:eastAsia="仿宋" w:cs="Times New Roman"/>
          <w:b/>
          <w:bCs/>
          <w:color w:val="auto"/>
          <w:sz w:val="32"/>
          <w:szCs w:val="32"/>
          <w:highlight w:val="none"/>
          <w:lang w:val="en-US" w:eastAsia="zh-CN"/>
        </w:rPr>
      </w:pPr>
      <w:bookmarkStart w:id="57" w:name="_Toc30972"/>
      <w:bookmarkStart w:id="58" w:name="_Toc21881"/>
      <w:bookmarkStart w:id="59" w:name="_Toc15377210"/>
      <w:r>
        <w:rPr>
          <w:rFonts w:hint="eastAsia" w:ascii="仿宋" w:hAnsi="仿宋" w:eastAsia="仿宋" w:cs="Times New Roman"/>
          <w:b/>
          <w:bCs/>
          <w:color w:val="auto"/>
          <w:sz w:val="32"/>
          <w:szCs w:val="32"/>
          <w:highlight w:val="none"/>
          <w:lang w:val="en-US" w:eastAsia="zh-CN"/>
        </w:rPr>
        <w:t>（一）一般公共预算财政拨款支出决算总体情况</w:t>
      </w:r>
      <w:bookmarkEnd w:id="57"/>
      <w:bookmarkEnd w:id="58"/>
      <w:bookmarkEnd w:id="59"/>
    </w:p>
    <w:p>
      <w:pPr>
        <w:spacing w:line="600" w:lineRule="exact"/>
        <w:ind w:firstLine="420" w:firstLineChars="200"/>
        <w:outlineLvl w:val="1"/>
        <w:rPr>
          <w:rFonts w:hint="eastAsia"/>
          <w:lang w:val="en-US" w:eastAsia="zh-CN"/>
        </w:rPr>
      </w:pPr>
      <w:bookmarkStart w:id="60" w:name="_Toc11331"/>
      <w:bookmarkStart w:id="61" w:name="_Toc5212"/>
      <w:r>
        <w:drawing>
          <wp:anchor distT="0" distB="0" distL="114300" distR="114300" simplePos="0" relativeHeight="251664384" behindDoc="0" locked="0" layoutInCell="1" allowOverlap="1">
            <wp:simplePos x="0" y="0"/>
            <wp:positionH relativeFrom="column">
              <wp:posOffset>277495</wp:posOffset>
            </wp:positionH>
            <wp:positionV relativeFrom="paragraph">
              <wp:posOffset>1757680</wp:posOffset>
            </wp:positionV>
            <wp:extent cx="4572000" cy="2217420"/>
            <wp:effectExtent l="4445" t="4445" r="14605" b="6985"/>
            <wp:wrapTopAndBottom/>
            <wp:docPr id="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仿宋" w:hAnsi="仿宋" w:eastAsia="仿宋" w:cs="Times New Roman"/>
          <w:color w:val="auto"/>
          <w:sz w:val="32"/>
          <w:szCs w:val="32"/>
          <w:highlight w:val="none"/>
          <w:lang w:val="en-US" w:eastAsia="zh-CN"/>
        </w:rPr>
        <w:t>2025年一般公共预算财政拨款支出311.34万元，占本年支出合计的100%。</w:t>
      </w:r>
      <w:bookmarkEnd w:id="60"/>
      <w:bookmarkEnd w:id="61"/>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90.58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29.18</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主要变动原因为2025年机构改革后，本单位事业编制增加，相应人员也有所增加</w:t>
      </w:r>
      <w:r>
        <w:rPr>
          <w:rFonts w:hint="eastAsia" w:ascii="仿宋" w:hAnsi="仿宋" w:eastAsia="仿宋"/>
          <w:color w:val="auto"/>
          <w:sz w:val="32"/>
          <w:szCs w:val="32"/>
          <w:highlight w:val="none"/>
          <w:lang w:val="en-US" w:eastAsia="zh-CN"/>
        </w:rPr>
        <w:t>,年度预算相应增加</w:t>
      </w:r>
      <w:r>
        <w:rPr>
          <w:rFonts w:hint="eastAsia" w:ascii="仿宋" w:hAnsi="仿宋" w:eastAsia="仿宋"/>
          <w:color w:val="auto"/>
          <w:sz w:val="32"/>
          <w:szCs w:val="32"/>
          <w:highlight w:val="none"/>
        </w:rPr>
        <w:t>。</w:t>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pPr>
        <w:spacing w:line="600" w:lineRule="exact"/>
        <w:ind w:firstLine="643" w:firstLineChars="200"/>
        <w:outlineLvl w:val="2"/>
        <w:rPr>
          <w:rFonts w:ascii="仿宋" w:hAnsi="仿宋" w:eastAsia="仿宋"/>
          <w:b/>
          <w:color w:val="auto"/>
          <w:sz w:val="32"/>
          <w:szCs w:val="32"/>
          <w:highlight w:val="none"/>
        </w:rPr>
      </w:pPr>
      <w:bookmarkStart w:id="62" w:name="_Toc15377211"/>
      <w:r>
        <w:rPr>
          <w:rFonts w:hint="eastAsia" w:ascii="仿宋" w:hAnsi="仿宋" w:eastAsia="仿宋"/>
          <w:b/>
          <w:color w:val="auto"/>
          <w:sz w:val="32"/>
          <w:szCs w:val="32"/>
          <w:highlight w:val="none"/>
        </w:rPr>
        <w:t>（二）一般公共预算财政拨款支出决算结构情况</w:t>
      </w:r>
      <w:bookmarkEnd w:id="62"/>
    </w:p>
    <w:p>
      <w:pPr>
        <w:spacing w:line="600" w:lineRule="exact"/>
        <w:ind w:firstLine="640"/>
        <w:rPr>
          <w:rFonts w:hint="eastAsia"/>
          <w:lang w:val="en-US" w:eastAsia="zh-CN"/>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bCs/>
          <w:color w:val="auto"/>
          <w:sz w:val="32"/>
          <w:szCs w:val="32"/>
          <w:highlight w:val="none"/>
        </w:rPr>
        <w:t>文化旅游体育与传媒支出</w:t>
      </w:r>
      <w:r>
        <w:rPr>
          <w:rFonts w:hint="eastAsia" w:ascii="仿宋" w:hAnsi="仿宋" w:eastAsia="仿宋"/>
          <w:b/>
          <w:bCs/>
          <w:color w:val="auto"/>
          <w:sz w:val="32"/>
          <w:szCs w:val="32"/>
          <w:highlight w:val="none"/>
          <w:lang w:val="en-US" w:eastAsia="zh-CN"/>
        </w:rPr>
        <w:t>234.82</w:t>
      </w:r>
      <w:r>
        <w:rPr>
          <w:rFonts w:hint="eastAsia" w:ascii="仿宋" w:hAnsi="仿宋" w:eastAsia="仿宋"/>
          <w:b w:val="0"/>
          <w:bCs w:val="0"/>
          <w:color w:val="auto"/>
          <w:sz w:val="32"/>
          <w:szCs w:val="32"/>
          <w:highlight w:val="none"/>
        </w:rPr>
        <w:t>万元，占</w:t>
      </w:r>
      <w:r>
        <w:rPr>
          <w:rFonts w:hint="eastAsia" w:ascii="仿宋" w:hAnsi="仿宋" w:eastAsia="仿宋"/>
          <w:b w:val="0"/>
          <w:bCs w:val="0"/>
          <w:color w:val="auto"/>
          <w:sz w:val="32"/>
          <w:szCs w:val="32"/>
          <w:highlight w:val="none"/>
          <w:lang w:val="en-US" w:eastAsia="zh-CN"/>
        </w:rPr>
        <w:t>75.42</w:t>
      </w:r>
      <w:r>
        <w:rPr>
          <w:rFonts w:ascii="仿宋" w:hAnsi="仿宋" w:eastAsia="仿宋"/>
          <w:b w:val="0"/>
          <w:bCs w:val="0"/>
          <w:color w:val="auto"/>
          <w:sz w:val="32"/>
          <w:szCs w:val="32"/>
          <w:highlight w:val="none"/>
        </w:rPr>
        <w:t>%</w:t>
      </w:r>
      <w:r>
        <w:rPr>
          <w:rFonts w:hint="eastAsia" w:ascii="仿宋" w:hAnsi="仿宋" w:eastAsia="仿宋"/>
          <w:b w:val="0"/>
          <w:bCs w:val="0"/>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39.97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12.84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13.55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lang w:val="en-US" w:eastAsia="zh-CN"/>
        </w:rPr>
        <w:t xml:space="preserve">   </w:t>
      </w:r>
    </w:p>
    <w:p>
      <w:pPr>
        <w:spacing w:line="600" w:lineRule="exact"/>
        <w:rPr>
          <w:rFonts w:ascii="仿宋" w:hAnsi="仿宋" w:eastAsia="仿宋"/>
          <w:color w:val="auto"/>
          <w:sz w:val="32"/>
          <w:szCs w:val="32"/>
          <w:highlight w:val="none"/>
        </w:rPr>
      </w:pPr>
      <w:r>
        <w:drawing>
          <wp:anchor distT="0" distB="0" distL="114300" distR="114300" simplePos="0" relativeHeight="251665408" behindDoc="0" locked="0" layoutInCell="1" allowOverlap="1">
            <wp:simplePos x="0" y="0"/>
            <wp:positionH relativeFrom="column">
              <wp:posOffset>-17145</wp:posOffset>
            </wp:positionH>
            <wp:positionV relativeFrom="paragraph">
              <wp:posOffset>165100</wp:posOffset>
            </wp:positionV>
            <wp:extent cx="4572000" cy="2319655"/>
            <wp:effectExtent l="4445" t="4445" r="14605" b="19050"/>
            <wp:wrapTopAndBottom/>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 w:hAnsi="仿宋" w:eastAsia="仿宋"/>
          <w:color w:val="auto"/>
          <w:sz w:val="32"/>
          <w:szCs w:val="32"/>
          <w:highlight w:val="none"/>
        </w:rPr>
        <w:t>（图6：一般公共预算财政拨款支出决算结构）（饼状图）</w:t>
      </w:r>
    </w:p>
    <w:p>
      <w:pPr>
        <w:spacing w:line="600" w:lineRule="exact"/>
        <w:ind w:firstLine="643" w:firstLineChars="200"/>
        <w:outlineLvl w:val="2"/>
        <w:rPr>
          <w:rFonts w:ascii="仿宋" w:hAnsi="仿宋" w:eastAsia="仿宋"/>
          <w:b/>
          <w:color w:val="auto"/>
          <w:sz w:val="32"/>
          <w:szCs w:val="32"/>
          <w:highlight w:val="none"/>
        </w:rPr>
      </w:pPr>
      <w:bookmarkStart w:id="63" w:name="_Toc15377212"/>
      <w:r>
        <w:rPr>
          <w:rFonts w:hint="eastAsia" w:ascii="仿宋" w:hAnsi="仿宋" w:eastAsia="仿宋"/>
          <w:b/>
          <w:color w:val="auto"/>
          <w:sz w:val="32"/>
          <w:szCs w:val="32"/>
          <w:highlight w:val="none"/>
        </w:rPr>
        <w:t>（三）一般公共预算财政拨款支出决算具体情况</w:t>
      </w:r>
      <w:bookmarkEnd w:id="63"/>
    </w:p>
    <w:p>
      <w:pPr>
        <w:spacing w:line="600" w:lineRule="exact"/>
        <w:ind w:firstLine="643" w:firstLineChars="200"/>
        <w:outlineLvl w:val="2"/>
        <w:rPr>
          <w:rFonts w:ascii="仿宋" w:hAnsi="仿宋" w:eastAsia="仿宋"/>
          <w:color w:val="auto"/>
          <w:sz w:val="32"/>
          <w:szCs w:val="32"/>
          <w:highlight w:val="none"/>
        </w:rPr>
      </w:pPr>
      <w:bookmarkStart w:id="64" w:name="_Toc15378460"/>
      <w:bookmarkStart w:id="65" w:name="_Toc15377213"/>
      <w:bookmarkStart w:id="66" w:name="_Toc15377444"/>
      <w:r>
        <w:rPr>
          <w:rFonts w:hint="eastAsia" w:ascii="仿宋" w:hAnsi="仿宋" w:eastAsia="仿宋"/>
          <w:b/>
          <w:color w:val="auto"/>
          <w:sz w:val="32"/>
          <w:szCs w:val="32"/>
          <w:highlight w:val="none"/>
          <w:lang w:eastAsia="zh-CN"/>
        </w:rPr>
        <w:t>2025年一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311.34万元</w:t>
      </w:r>
      <w:r>
        <w:rPr>
          <w:rFonts w:hint="eastAsia" w:ascii="仿宋" w:hAnsi="仿宋" w:eastAsia="仿宋"/>
          <w:color w:val="auto"/>
          <w:sz w:val="32"/>
          <w:szCs w:val="32"/>
          <w:highlight w:val="none"/>
        </w:rPr>
        <w:t>，</w:t>
      </w:r>
      <w:r>
        <w:rPr>
          <w:rStyle w:val="19"/>
          <w:rFonts w:hint="eastAsia" w:ascii="仿宋" w:hAnsi="仿宋" w:eastAsia="仿宋"/>
          <w:bCs/>
          <w:color w:val="auto"/>
          <w:sz w:val="32"/>
          <w:szCs w:val="32"/>
          <w:highlight w:val="none"/>
        </w:rPr>
        <w:t>完成预算</w:t>
      </w:r>
      <w:r>
        <w:rPr>
          <w:rStyle w:val="19"/>
          <w:rFonts w:hint="eastAsia" w:ascii="仿宋" w:hAnsi="仿宋" w:eastAsia="仿宋"/>
          <w:bCs/>
          <w:color w:val="auto"/>
          <w:sz w:val="32"/>
          <w:szCs w:val="32"/>
          <w:highlight w:val="none"/>
          <w:lang w:val="en-US" w:eastAsia="zh-CN"/>
        </w:rPr>
        <w:t>100</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。其中：</w:t>
      </w:r>
      <w:bookmarkEnd w:id="64"/>
      <w:bookmarkEnd w:id="65"/>
      <w:bookmarkEnd w:id="66"/>
    </w:p>
    <w:p>
      <w:pPr>
        <w:spacing w:line="600" w:lineRule="exact"/>
        <w:ind w:firstLine="643" w:firstLineChars="200"/>
        <w:rPr>
          <w:rFonts w:ascii="仿宋" w:hAnsi="仿宋" w:eastAsia="仿宋"/>
          <w:b/>
          <w:color w:val="auto"/>
          <w:sz w:val="32"/>
          <w:szCs w:val="32"/>
          <w:highlight w:val="none"/>
        </w:rPr>
      </w:pPr>
      <w:r>
        <w:rPr>
          <w:rStyle w:val="19"/>
          <w:rFonts w:hint="eastAsia" w:ascii="仿宋" w:hAnsi="仿宋" w:eastAsia="仿宋"/>
          <w:bCs/>
          <w:sz w:val="32"/>
          <w:szCs w:val="32"/>
          <w:lang w:val="en-US" w:eastAsia="zh-CN"/>
        </w:rPr>
        <w:t>1</w:t>
      </w:r>
      <w:r>
        <w:rPr>
          <w:rStyle w:val="19"/>
          <w:rFonts w:ascii="仿宋" w:hAnsi="仿宋" w:eastAsia="仿宋"/>
          <w:bCs/>
          <w:sz w:val="32"/>
          <w:szCs w:val="32"/>
        </w:rPr>
        <w:t>.</w:t>
      </w:r>
      <w:r>
        <w:rPr>
          <w:rStyle w:val="19"/>
          <w:rFonts w:hint="eastAsia" w:ascii="仿宋" w:hAnsi="仿宋" w:eastAsia="仿宋"/>
          <w:bCs/>
          <w:sz w:val="32"/>
          <w:szCs w:val="32"/>
        </w:rPr>
        <w:t>文化旅游体育与传媒207</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234.82</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lang w:val="en-US" w:eastAsia="zh-CN"/>
        </w:rPr>
        <w:t>群众文化2070109</w:t>
      </w:r>
      <w:r>
        <w:rPr>
          <w:rStyle w:val="19"/>
          <w:rFonts w:hint="eastAsia" w:ascii="仿宋" w:hAnsi="仿宋" w:eastAsia="仿宋"/>
          <w:b w:val="0"/>
          <w:bCs/>
          <w:sz w:val="32"/>
          <w:szCs w:val="32"/>
          <w:lang w:val="en-US" w:eastAsia="zh-CN"/>
        </w:rPr>
        <w:t>支出决算数234.82万元，</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spacing w:line="600" w:lineRule="exact"/>
        <w:ind w:firstLine="643" w:firstLineChars="200"/>
        <w:rPr>
          <w:rFonts w:ascii="仿宋" w:hAnsi="仿宋" w:eastAsia="仿宋"/>
          <w:b/>
          <w:color w:val="auto"/>
          <w:sz w:val="32"/>
          <w:szCs w:val="32"/>
          <w:highlight w:val="none"/>
        </w:rPr>
      </w:pPr>
      <w:r>
        <w:rPr>
          <w:rStyle w:val="19"/>
          <w:rFonts w:hint="eastAsia" w:ascii="仿宋" w:hAnsi="仿宋" w:eastAsia="仿宋"/>
          <w:bCs/>
          <w:sz w:val="32"/>
          <w:szCs w:val="32"/>
          <w:lang w:val="en-US" w:eastAsia="zh-CN"/>
        </w:rPr>
        <w:t>2</w:t>
      </w:r>
      <w:r>
        <w:rPr>
          <w:rStyle w:val="19"/>
          <w:rFonts w:ascii="仿宋" w:hAnsi="仿宋" w:eastAsia="仿宋"/>
          <w:bCs/>
          <w:sz w:val="32"/>
          <w:szCs w:val="32"/>
        </w:rPr>
        <w:t>.</w:t>
      </w:r>
      <w:r>
        <w:rPr>
          <w:rStyle w:val="19"/>
          <w:rFonts w:hint="eastAsia" w:ascii="仿宋" w:hAnsi="仿宋" w:eastAsia="仿宋"/>
          <w:bCs/>
          <w:sz w:val="32"/>
          <w:szCs w:val="32"/>
        </w:rPr>
        <w:t>社会保障和就业208</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39.97</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机关事业单位基本养老保险缴费支出2080505</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27.59</w:t>
      </w:r>
      <w:r>
        <w:rPr>
          <w:rStyle w:val="19"/>
          <w:rFonts w:hint="eastAsia" w:ascii="仿宋" w:hAnsi="仿宋" w:eastAsia="仿宋"/>
          <w:b w:val="0"/>
          <w:bCs/>
          <w:sz w:val="32"/>
          <w:szCs w:val="32"/>
        </w:rPr>
        <w:t>万元，</w:t>
      </w:r>
      <w:r>
        <w:rPr>
          <w:rStyle w:val="19"/>
          <w:rFonts w:hint="eastAsia" w:ascii="仿宋" w:hAnsi="仿宋" w:eastAsia="仿宋"/>
          <w:b/>
          <w:bCs w:val="0"/>
          <w:sz w:val="32"/>
          <w:szCs w:val="32"/>
        </w:rPr>
        <w:t>机关事业单位职业年金缴费支出2080506</w:t>
      </w:r>
      <w:r>
        <w:rPr>
          <w:rStyle w:val="19"/>
          <w:rFonts w:hint="eastAsia" w:ascii="仿宋" w:hAnsi="仿宋" w:eastAsia="仿宋"/>
          <w:b w:val="0"/>
          <w:bCs/>
          <w:sz w:val="32"/>
          <w:szCs w:val="32"/>
        </w:rPr>
        <w:t>支出决算</w:t>
      </w:r>
      <w:r>
        <w:rPr>
          <w:rStyle w:val="19"/>
          <w:rFonts w:hint="eastAsia" w:ascii="仿宋" w:hAnsi="仿宋" w:eastAsia="仿宋"/>
          <w:b w:val="0"/>
          <w:bCs/>
          <w:sz w:val="32"/>
          <w:szCs w:val="32"/>
          <w:lang w:eastAsia="zh-CN"/>
        </w:rPr>
        <w:t>数为</w:t>
      </w:r>
      <w:r>
        <w:rPr>
          <w:rStyle w:val="19"/>
          <w:rFonts w:hint="eastAsia" w:ascii="仿宋" w:hAnsi="仿宋" w:eastAsia="仿宋"/>
          <w:b w:val="0"/>
          <w:bCs/>
          <w:sz w:val="32"/>
          <w:szCs w:val="32"/>
          <w:lang w:val="en-US" w:eastAsia="zh-CN"/>
        </w:rPr>
        <w:t>12.38</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spacing w:line="600" w:lineRule="exact"/>
        <w:ind w:firstLine="643" w:firstLineChars="200"/>
        <w:rPr>
          <w:rStyle w:val="19"/>
          <w:rFonts w:hint="eastAsia" w:ascii="仿宋" w:hAnsi="仿宋" w:eastAsia="仿宋"/>
          <w:b w:val="0"/>
          <w:bCs/>
          <w:sz w:val="32"/>
          <w:szCs w:val="32"/>
        </w:rPr>
      </w:pPr>
      <w:r>
        <w:rPr>
          <w:rStyle w:val="19"/>
          <w:rFonts w:hint="eastAsia" w:ascii="仿宋" w:hAnsi="仿宋" w:eastAsia="仿宋"/>
          <w:bCs/>
          <w:sz w:val="32"/>
          <w:szCs w:val="32"/>
          <w:lang w:val="en-US" w:eastAsia="zh-CN"/>
        </w:rPr>
        <w:t>3</w:t>
      </w:r>
      <w:r>
        <w:rPr>
          <w:rStyle w:val="19"/>
          <w:rFonts w:ascii="仿宋" w:hAnsi="仿宋" w:eastAsia="仿宋"/>
          <w:bCs/>
          <w:sz w:val="32"/>
          <w:szCs w:val="32"/>
        </w:rPr>
        <w:t>.</w:t>
      </w:r>
      <w:r>
        <w:rPr>
          <w:rFonts w:hint="eastAsia" w:ascii="仿宋" w:hAnsi="仿宋" w:eastAsia="仿宋"/>
          <w:b/>
          <w:bCs/>
          <w:sz w:val="32"/>
          <w:szCs w:val="32"/>
        </w:rPr>
        <w:t>卫生健康210</w:t>
      </w:r>
      <w:r>
        <w:rPr>
          <w:rStyle w:val="19"/>
          <w:rFonts w:hint="eastAsia" w:ascii="仿宋" w:hAnsi="仿宋" w:eastAsia="仿宋"/>
          <w:b w:val="0"/>
          <w:bCs/>
          <w:sz w:val="32"/>
          <w:szCs w:val="32"/>
        </w:rPr>
        <w:t>支出决算</w:t>
      </w:r>
      <w:r>
        <w:rPr>
          <w:rStyle w:val="19"/>
          <w:rFonts w:hint="eastAsia" w:ascii="仿宋" w:hAnsi="仿宋" w:eastAsia="仿宋"/>
          <w:b w:val="0"/>
          <w:bCs/>
          <w:sz w:val="32"/>
          <w:szCs w:val="32"/>
          <w:lang w:eastAsia="zh-CN"/>
        </w:rPr>
        <w:t>数为</w:t>
      </w:r>
      <w:r>
        <w:rPr>
          <w:rStyle w:val="19"/>
          <w:rFonts w:hint="eastAsia" w:ascii="仿宋" w:hAnsi="仿宋" w:eastAsia="仿宋"/>
          <w:b w:val="0"/>
          <w:bCs/>
          <w:sz w:val="32"/>
          <w:szCs w:val="32"/>
          <w:lang w:val="en-US" w:eastAsia="zh-CN"/>
        </w:rPr>
        <w:t>13.55</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lang w:eastAsia="zh-CN"/>
        </w:rPr>
        <w:t>事业单位医疗</w:t>
      </w:r>
      <w:r>
        <w:rPr>
          <w:rStyle w:val="19"/>
          <w:rFonts w:hint="eastAsia" w:ascii="仿宋" w:hAnsi="仿宋" w:eastAsia="仿宋"/>
          <w:b/>
          <w:bCs w:val="0"/>
          <w:sz w:val="32"/>
          <w:szCs w:val="32"/>
          <w:lang w:val="en-US" w:eastAsia="zh-CN"/>
        </w:rPr>
        <w:t>2101102</w:t>
      </w:r>
      <w:r>
        <w:rPr>
          <w:rStyle w:val="19"/>
          <w:rFonts w:hint="eastAsia" w:ascii="仿宋" w:hAnsi="仿宋" w:eastAsia="仿宋"/>
          <w:b w:val="0"/>
          <w:bCs/>
          <w:sz w:val="32"/>
          <w:szCs w:val="32"/>
          <w:lang w:val="en-US" w:eastAsia="zh-CN"/>
        </w:rPr>
        <w:t>支出决算数为12.83万元，</w:t>
      </w:r>
      <w:r>
        <w:rPr>
          <w:rStyle w:val="19"/>
          <w:rFonts w:hint="eastAsia" w:ascii="仿宋" w:hAnsi="仿宋" w:eastAsia="仿宋"/>
          <w:b/>
          <w:bCs w:val="0"/>
          <w:sz w:val="32"/>
          <w:szCs w:val="32"/>
          <w:lang w:eastAsia="zh-CN"/>
        </w:rPr>
        <w:t>其他行政事业单位医疗支出</w:t>
      </w:r>
      <w:r>
        <w:rPr>
          <w:rStyle w:val="19"/>
          <w:rFonts w:hint="eastAsia" w:ascii="仿宋" w:hAnsi="仿宋" w:eastAsia="仿宋"/>
          <w:b/>
          <w:bCs w:val="0"/>
          <w:sz w:val="32"/>
          <w:szCs w:val="32"/>
          <w:lang w:val="en-US" w:eastAsia="zh-CN"/>
        </w:rPr>
        <w:t>2101199</w:t>
      </w:r>
      <w:r>
        <w:rPr>
          <w:rStyle w:val="19"/>
          <w:rFonts w:hint="eastAsia" w:ascii="仿宋" w:hAnsi="仿宋" w:eastAsia="仿宋"/>
          <w:b w:val="0"/>
          <w:bCs/>
          <w:sz w:val="32"/>
          <w:szCs w:val="32"/>
          <w:lang w:val="en-US" w:eastAsia="zh-CN"/>
        </w:rPr>
        <w:t>支出决算数为0.72万元</w:t>
      </w:r>
      <w:r>
        <w:rPr>
          <w:rStyle w:val="19"/>
          <w:rFonts w:hint="eastAsia" w:ascii="仿宋" w:hAnsi="仿宋" w:eastAsia="仿宋"/>
          <w:b w:val="0"/>
          <w:bCs/>
          <w:sz w:val="32"/>
          <w:szCs w:val="32"/>
        </w:rPr>
        <w:t>）</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spacing w:line="600" w:lineRule="exact"/>
        <w:ind w:firstLine="643" w:firstLineChars="200"/>
        <w:rPr>
          <w:rFonts w:ascii="仿宋" w:hAnsi="仿宋" w:eastAsia="仿宋"/>
          <w:b/>
          <w:color w:val="auto"/>
          <w:sz w:val="32"/>
          <w:szCs w:val="32"/>
          <w:highlight w:val="none"/>
        </w:rPr>
      </w:pPr>
      <w:r>
        <w:rPr>
          <w:rFonts w:hint="eastAsia" w:ascii="仿宋" w:hAnsi="仿宋" w:eastAsia="仿宋"/>
          <w:b/>
          <w:bCs/>
          <w:sz w:val="32"/>
          <w:szCs w:val="32"/>
          <w:lang w:val="en-US" w:eastAsia="zh-CN"/>
        </w:rPr>
        <w:t>4</w:t>
      </w:r>
      <w:r>
        <w:rPr>
          <w:rFonts w:hint="eastAsia" w:ascii="仿宋" w:hAnsi="仿宋" w:eastAsia="仿宋"/>
          <w:b/>
          <w:bCs/>
          <w:sz w:val="32"/>
          <w:szCs w:val="32"/>
        </w:rPr>
        <w:t>.</w:t>
      </w:r>
      <w:r>
        <w:rPr>
          <w:rFonts w:hint="eastAsia" w:ascii="仿宋" w:hAnsi="仿宋" w:eastAsia="仿宋"/>
          <w:b/>
          <w:sz w:val="32"/>
          <w:szCs w:val="32"/>
        </w:rPr>
        <w:t>住房保障</w:t>
      </w:r>
      <w:r>
        <w:rPr>
          <w:rFonts w:hint="eastAsia" w:ascii="仿宋" w:hAnsi="仿宋" w:eastAsia="仿宋"/>
          <w:b/>
          <w:sz w:val="32"/>
          <w:szCs w:val="32"/>
          <w:lang w:val="en-US" w:eastAsia="zh-CN"/>
        </w:rPr>
        <w:t>221</w:t>
      </w:r>
      <w:r>
        <w:rPr>
          <w:rFonts w:hint="eastAsia" w:ascii="仿宋" w:hAnsi="仿宋" w:eastAsia="仿宋"/>
          <w:b/>
          <w:sz w:val="32"/>
          <w:szCs w:val="32"/>
        </w:rPr>
        <w:t>支出：住房公积金2210201</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23</w:t>
      </w:r>
      <w:r>
        <w:rPr>
          <w:rStyle w:val="19"/>
          <w:rFonts w:hint="eastAsia" w:ascii="仿宋" w:hAnsi="仿宋" w:eastAsia="仿宋"/>
          <w:b w:val="0"/>
          <w:bCs/>
          <w:sz w:val="32"/>
          <w:szCs w:val="32"/>
        </w:rPr>
        <w:t>万元，完成预算100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tabs>
          <w:tab w:val="right" w:pos="8306"/>
        </w:tabs>
        <w:spacing w:line="600" w:lineRule="exact"/>
        <w:ind w:firstLine="640"/>
        <w:outlineLvl w:val="1"/>
        <w:rPr>
          <w:rStyle w:val="31"/>
          <w:color w:val="auto"/>
          <w:highlight w:val="none"/>
        </w:rPr>
      </w:pPr>
      <w:bookmarkStart w:id="67" w:name="_Toc15396608"/>
      <w:bookmarkStart w:id="68" w:name="_Toc16682"/>
      <w:bookmarkStart w:id="69" w:name="_Toc1537721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1"/>
          <w:rFonts w:hint="eastAsia" w:ascii="黑体" w:hAnsi="黑体" w:eastAsia="黑体"/>
          <w:b w:val="0"/>
          <w:color w:val="auto"/>
          <w:highlight w:val="none"/>
        </w:rPr>
        <w:t>般公共预算财政拨款基本支出决算情况说明</w:t>
      </w:r>
      <w:bookmarkEnd w:id="67"/>
      <w:bookmarkEnd w:id="68"/>
      <w:bookmarkEnd w:id="69"/>
      <w:r>
        <w:rPr>
          <w:rStyle w:val="31"/>
          <w:rFonts w:ascii="黑体" w:hAnsi="黑体" w:eastAsia="黑体"/>
          <w:b w:val="0"/>
          <w:color w:val="auto"/>
          <w:highlight w:val="none"/>
        </w:rPr>
        <w:tab/>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311.34</w:t>
      </w:r>
      <w:r>
        <w:rPr>
          <w:rFonts w:hint="eastAsia" w:ascii="仿宋" w:hAnsi="仿宋" w:eastAsia="仿宋"/>
          <w:color w:val="auto"/>
          <w:sz w:val="32"/>
          <w:szCs w:val="32"/>
          <w:highlight w:val="none"/>
        </w:rPr>
        <w:t>万元，其中：</w:t>
      </w:r>
    </w:p>
    <w:p>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296.81</w:t>
      </w:r>
      <w:r>
        <w:rPr>
          <w:rFonts w:hint="eastAsia" w:ascii="仿宋" w:hAnsi="仿宋" w:eastAsia="仿宋"/>
          <w:color w:val="auto"/>
          <w:sz w:val="32"/>
          <w:szCs w:val="32"/>
          <w:highlight w:val="none"/>
        </w:rPr>
        <w:t>万元，主要包括：基本工资、津贴补贴、奖金、绩效工资、机关事业单位基本养老保险缴费、职业年金缴费、其他社会保障缴费、其他工资福利支出、离休费、退休费、抚恤金、生活补助、医疗费补助、奖励金、住房公积金等。</w:t>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14.53</w:t>
      </w:r>
      <w:r>
        <w:rPr>
          <w:rFonts w:hint="eastAsia" w:ascii="仿宋" w:hAnsi="仿宋" w:eastAsia="仿宋"/>
          <w:color w:val="auto"/>
          <w:sz w:val="32"/>
          <w:szCs w:val="32"/>
          <w:highlight w:val="none"/>
        </w:rPr>
        <w:t>万元，主要包括：办公费、印刷费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水费、电费、邮电费、差旅费、其他交通费</w:t>
      </w:r>
      <w:r>
        <w:rPr>
          <w:rFonts w:hint="eastAsia" w:ascii="仿宋" w:hAnsi="仿宋" w:eastAsia="仿宋"/>
          <w:color w:val="auto"/>
          <w:sz w:val="32"/>
          <w:szCs w:val="32"/>
          <w:highlight w:val="none"/>
          <w:lang w:eastAsia="zh-CN"/>
        </w:rPr>
        <w:t>及</w:t>
      </w:r>
      <w:r>
        <w:rPr>
          <w:rFonts w:hint="eastAsia" w:ascii="仿宋" w:hAnsi="仿宋" w:eastAsia="仿宋"/>
          <w:color w:val="auto"/>
          <w:sz w:val="32"/>
          <w:szCs w:val="32"/>
          <w:highlight w:val="none"/>
        </w:rPr>
        <w:t>其他商品和服务支出等。</w:t>
      </w:r>
    </w:p>
    <w:p>
      <w:pPr>
        <w:spacing w:line="600" w:lineRule="exact"/>
        <w:ind w:firstLine="640"/>
        <w:outlineLvl w:val="1"/>
        <w:rPr>
          <w:rStyle w:val="31"/>
          <w:rFonts w:ascii="黑体" w:hAnsi="黑体" w:eastAsia="黑体"/>
          <w:b w:val="0"/>
          <w:color w:val="auto"/>
          <w:highlight w:val="none"/>
        </w:rPr>
      </w:pPr>
      <w:bookmarkStart w:id="70" w:name="_Toc15396609"/>
      <w:bookmarkStart w:id="71" w:name="_Toc15377215"/>
      <w:bookmarkStart w:id="72" w:name="_Toc28208"/>
      <w:r>
        <w:rPr>
          <w:rFonts w:hint="eastAsia" w:ascii="黑体" w:eastAsia="黑体"/>
          <w:color w:val="auto"/>
          <w:sz w:val="32"/>
          <w:szCs w:val="32"/>
          <w:highlight w:val="none"/>
        </w:rPr>
        <w:t>七、</w:t>
      </w:r>
      <w:r>
        <w:rPr>
          <w:rStyle w:val="31"/>
          <w:rFonts w:hint="eastAsia" w:ascii="黑体" w:hAnsi="黑体" w:eastAsia="黑体"/>
          <w:b w:val="0"/>
          <w:color w:val="auto"/>
          <w:highlight w:val="none"/>
        </w:rPr>
        <w:t>财政拨款</w:t>
      </w:r>
      <w:r>
        <w:rPr>
          <w:rStyle w:val="31"/>
          <w:rFonts w:hint="eastAsia" w:ascii="黑体" w:hAnsi="黑体" w:eastAsia="黑体"/>
          <w:color w:val="auto"/>
          <w:highlight w:val="none"/>
        </w:rPr>
        <w:t>“</w:t>
      </w:r>
      <w:r>
        <w:rPr>
          <w:rStyle w:val="31"/>
          <w:rFonts w:hint="eastAsia" w:ascii="黑体" w:hAnsi="黑体" w:eastAsia="黑体"/>
          <w:b w:val="0"/>
          <w:color w:val="auto"/>
          <w:highlight w:val="none"/>
        </w:rPr>
        <w:t>三公”经费支出决算情况说明</w:t>
      </w:r>
      <w:bookmarkEnd w:id="70"/>
      <w:bookmarkEnd w:id="71"/>
      <w:bookmarkEnd w:id="72"/>
    </w:p>
    <w:p>
      <w:pPr>
        <w:spacing w:line="600" w:lineRule="exact"/>
        <w:ind w:firstLine="640"/>
        <w:outlineLvl w:val="2"/>
        <w:rPr>
          <w:rFonts w:ascii="仿宋" w:hAnsi="仿宋" w:eastAsia="仿宋"/>
          <w:b/>
          <w:color w:val="auto"/>
          <w:sz w:val="32"/>
          <w:szCs w:val="32"/>
          <w:highlight w:val="none"/>
        </w:rPr>
      </w:pPr>
      <w:bookmarkStart w:id="73" w:name="_Toc15377216"/>
      <w:r>
        <w:rPr>
          <w:rFonts w:hint="eastAsia" w:ascii="仿宋" w:hAnsi="仿宋" w:eastAsia="仿宋"/>
          <w:b/>
          <w:color w:val="auto"/>
          <w:sz w:val="32"/>
          <w:szCs w:val="32"/>
          <w:highlight w:val="none"/>
        </w:rPr>
        <w:t>（一）“三公”经费财政拨款支出决算总体情况说明</w:t>
      </w:r>
      <w:bookmarkEnd w:id="73"/>
    </w:p>
    <w:p>
      <w:pPr>
        <w:spacing w:line="600" w:lineRule="exact"/>
        <w:ind w:firstLine="640"/>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较上年增加</w:t>
      </w:r>
      <w:r>
        <w:rPr>
          <w:rFonts w:hint="eastAsia" w:ascii="仿宋" w:hAnsi="仿宋" w:eastAsia="仿宋"/>
          <w:color w:val="auto"/>
          <w:sz w:val="32"/>
          <w:szCs w:val="32"/>
          <w:highlight w:val="none"/>
          <w:lang w:val="en-US" w:eastAsia="zh-CN"/>
        </w:rPr>
        <w:t>0万元，增长0%，</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eastAsia="zh-CN"/>
        </w:rPr>
        <w:t>厉行节约</w:t>
      </w:r>
      <w:r>
        <w:rPr>
          <w:rFonts w:hint="eastAsia" w:ascii="仿宋" w:hAnsi="仿宋" w:eastAsia="仿宋"/>
          <w:color w:val="auto"/>
          <w:sz w:val="32"/>
          <w:szCs w:val="32"/>
          <w:highlight w:val="none"/>
        </w:rPr>
        <w:t>。</w:t>
      </w:r>
    </w:p>
    <w:p>
      <w:pPr>
        <w:spacing w:line="600" w:lineRule="exact"/>
        <w:ind w:firstLine="640"/>
        <w:outlineLvl w:val="2"/>
        <w:rPr>
          <w:rFonts w:ascii="仿宋" w:hAnsi="仿宋" w:eastAsia="仿宋"/>
          <w:b/>
          <w:color w:val="auto"/>
          <w:sz w:val="32"/>
          <w:szCs w:val="32"/>
          <w:highlight w:val="none"/>
        </w:rPr>
      </w:pPr>
      <w:bookmarkStart w:id="74" w:name="_Toc15377217"/>
      <w:r>
        <w:rPr>
          <w:rFonts w:hint="eastAsia" w:ascii="仿宋" w:hAnsi="仿宋" w:eastAsia="仿宋"/>
          <w:b/>
          <w:color w:val="auto"/>
          <w:sz w:val="32"/>
          <w:szCs w:val="32"/>
          <w:highlight w:val="none"/>
        </w:rPr>
        <w:t>（二）“三公”经费财政拨款支出决算具体情况说明</w:t>
      </w:r>
      <w:bookmarkEnd w:id="74"/>
    </w:p>
    <w:p>
      <w:pPr>
        <w:spacing w:line="600" w:lineRule="exact"/>
        <w:ind w:firstLine="640"/>
        <w:rPr>
          <w:rFonts w:hint="eastAsia" w:ascii="仿宋" w:hAnsi="仿宋" w:eastAsia="仿宋"/>
          <w:color w:val="auto"/>
          <w:sz w:val="32"/>
          <w:szCs w:val="32"/>
          <w:highlight w:val="none"/>
          <w:lang w:val="en-US" w:eastAsia="zh-CN"/>
        </w:rPr>
      </w:pPr>
      <w:r>
        <w:drawing>
          <wp:anchor distT="0" distB="0" distL="114300" distR="114300" simplePos="0" relativeHeight="251660288" behindDoc="0" locked="0" layoutInCell="1" allowOverlap="1">
            <wp:simplePos x="0" y="0"/>
            <wp:positionH relativeFrom="column">
              <wp:posOffset>356870</wp:posOffset>
            </wp:positionH>
            <wp:positionV relativeFrom="paragraph">
              <wp:posOffset>1614170</wp:posOffset>
            </wp:positionV>
            <wp:extent cx="4826000" cy="2743200"/>
            <wp:effectExtent l="4445" t="4445" r="8255" b="14605"/>
            <wp:wrapTopAndBottom/>
            <wp:docPr id="11" name="图表 10"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rPr>
        <w:t>（图7：“三公”经费财政拨款支出结构）（饼状图）</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spacing w:line="600" w:lineRule="exact"/>
        <w:ind w:firstLine="640"/>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单位日常工作的开展、下乡、项目检查</w:t>
      </w:r>
      <w:r>
        <w:rPr>
          <w:rFonts w:hint="eastAsia" w:ascii="仿宋_GB2312" w:eastAsia="仿宋_GB2312"/>
          <w:color w:val="auto"/>
          <w:sz w:val="32"/>
          <w:szCs w:val="32"/>
          <w:highlight w:val="none"/>
        </w:rPr>
        <w:t>等所需的公务用车燃料费、维修费、过路过桥费、保险费等支出。</w:t>
      </w:r>
    </w:p>
    <w:p>
      <w:pPr>
        <w:spacing w:line="600" w:lineRule="exact"/>
        <w:ind w:firstLine="640"/>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。其中：</w:t>
      </w:r>
    </w:p>
    <w:p>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万元，主要用于……(执行公务、开展业务活动开支的交通费、住宿费、用餐费等)。国内公务接待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万元，具体内容包括：…（接待具体项目、金额）。</w:t>
      </w:r>
    </w:p>
    <w:p>
      <w:pPr>
        <w:spacing w:line="600" w:lineRule="exact"/>
        <w:ind w:firstLine="643" w:firstLineChars="200"/>
        <w:rPr>
          <w:rFonts w:hint="eastAsia" w:ascii="黑体" w:eastAsia="黑体"/>
          <w:color w:val="auto"/>
          <w:sz w:val="32"/>
          <w:szCs w:val="32"/>
          <w:highlight w:val="none"/>
          <w:lang w:val="en-US" w:eastAsia="zh-CN"/>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万元，主要用于接待</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（具体项目）</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r>
        <w:rPr>
          <w:rFonts w:hint="eastAsia" w:ascii="仿宋_GB2312" w:eastAsia="仿宋_GB2312"/>
          <w:color w:val="auto"/>
          <w:sz w:val="32"/>
          <w:szCs w:val="32"/>
          <w:highlight w:val="none"/>
          <w:lang w:eastAsia="zh-CN"/>
        </w:rPr>
        <w:t>次（不包括陪同人员）</w:t>
      </w:r>
      <w:r>
        <w:rPr>
          <w:rFonts w:hint="eastAsia" w:ascii="仿宋_GB2312" w:eastAsia="仿宋_GB2312"/>
          <w:color w:val="auto"/>
          <w:sz w:val="32"/>
          <w:szCs w:val="32"/>
          <w:highlight w:val="none"/>
        </w:rPr>
        <w:t>，共计支出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bookmarkStart w:id="75" w:name="_Toc15396610"/>
      <w:bookmarkStart w:id="76" w:name="_Toc15377218"/>
    </w:p>
    <w:p>
      <w:pPr>
        <w:spacing w:line="600" w:lineRule="exact"/>
        <w:ind w:firstLine="640"/>
        <w:outlineLvl w:val="1"/>
        <w:rPr>
          <w:rStyle w:val="31"/>
          <w:rFonts w:ascii="黑体" w:hAnsi="黑体" w:eastAsia="黑体"/>
          <w:color w:val="auto"/>
          <w:highlight w:val="none"/>
        </w:rPr>
      </w:pPr>
      <w:bookmarkStart w:id="77" w:name="_Toc31781"/>
      <w:r>
        <w:rPr>
          <w:rFonts w:hint="eastAsia" w:ascii="黑体" w:eastAsia="黑体"/>
          <w:color w:val="auto"/>
          <w:sz w:val="32"/>
          <w:szCs w:val="32"/>
          <w:highlight w:val="none"/>
        </w:rPr>
        <w:t>八、</w:t>
      </w:r>
      <w:r>
        <w:rPr>
          <w:rStyle w:val="31"/>
          <w:rFonts w:hint="eastAsia" w:ascii="黑体" w:hAnsi="黑体" w:eastAsia="黑体"/>
          <w:b w:val="0"/>
          <w:color w:val="auto"/>
          <w:highlight w:val="none"/>
        </w:rPr>
        <w:t>政府性基金预算支出决算情况说明</w:t>
      </w:r>
      <w:bookmarkEnd w:id="75"/>
      <w:bookmarkEnd w:id="76"/>
      <w:bookmarkEnd w:id="77"/>
    </w:p>
    <w:p>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万元。主要原因是我单位没有</w:t>
      </w:r>
      <w:r>
        <w:rPr>
          <w:rFonts w:hint="eastAsia" w:ascii="仿宋_GB2312" w:eastAsia="仿宋_GB2312"/>
          <w:color w:val="auto"/>
          <w:sz w:val="32"/>
          <w:szCs w:val="32"/>
          <w:highlight w:val="none"/>
          <w:lang w:eastAsia="zh-CN"/>
        </w:rPr>
        <w:t>使用</w:t>
      </w:r>
      <w:r>
        <w:rPr>
          <w:rFonts w:hint="eastAsia" w:ascii="仿宋_GB2312" w:eastAsia="仿宋_GB2312"/>
          <w:color w:val="auto"/>
          <w:sz w:val="32"/>
          <w:szCs w:val="32"/>
          <w:highlight w:val="none"/>
        </w:rPr>
        <w:t>政府性基金预算安排的支出，故本项无数据。</w:t>
      </w:r>
    </w:p>
    <w:p>
      <w:pPr>
        <w:numPr>
          <w:ilvl w:val="0"/>
          <w:numId w:val="2"/>
        </w:numPr>
        <w:spacing w:line="600" w:lineRule="exact"/>
        <w:ind w:firstLine="640"/>
        <w:outlineLvl w:val="1"/>
        <w:rPr>
          <w:rStyle w:val="31"/>
          <w:rFonts w:ascii="黑体" w:hAnsi="黑体" w:eastAsia="黑体"/>
          <w:b w:val="0"/>
          <w:color w:val="auto"/>
          <w:highlight w:val="none"/>
        </w:rPr>
      </w:pPr>
      <w:bookmarkStart w:id="78" w:name="_Toc15396611"/>
      <w:bookmarkStart w:id="79" w:name="_Toc19104"/>
      <w:bookmarkStart w:id="80" w:name="_Toc15377219"/>
      <w:r>
        <w:rPr>
          <w:rStyle w:val="31"/>
          <w:rFonts w:hint="eastAsia" w:ascii="黑体" w:hAnsi="黑体" w:eastAsia="黑体"/>
          <w:b w:val="0"/>
          <w:color w:val="auto"/>
          <w:highlight w:val="none"/>
        </w:rPr>
        <w:t>国有资本经营预算支出决算情况说明</w:t>
      </w:r>
      <w:bookmarkEnd w:id="78"/>
      <w:bookmarkEnd w:id="79"/>
      <w:bookmarkEnd w:id="80"/>
    </w:p>
    <w:p>
      <w:pPr>
        <w:spacing w:line="600" w:lineRule="exact"/>
        <w:ind w:firstLine="640"/>
        <w:rPr>
          <w:rFonts w:ascii="方正小标宋简体" w:hAnsi="方正小标宋简体" w:eastAsia="方正小标宋简体" w:cs="方正小标宋简体"/>
          <w:color w:val="auto"/>
          <w:sz w:val="44"/>
          <w:szCs w:val="44"/>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主要原因是我单位没有使用国有资本经营预算安排的支出，故本项无数据。</w:t>
      </w:r>
    </w:p>
    <w:p>
      <w:pPr>
        <w:numPr>
          <w:ilvl w:val="0"/>
          <w:numId w:val="2"/>
        </w:numPr>
        <w:spacing w:line="600" w:lineRule="exact"/>
        <w:ind w:firstLine="640"/>
        <w:outlineLvl w:val="1"/>
        <w:rPr>
          <w:rStyle w:val="31"/>
          <w:rFonts w:hint="eastAsia" w:ascii="黑体" w:hAnsi="黑体" w:eastAsia="黑体"/>
          <w:b w:val="0"/>
          <w:color w:val="auto"/>
          <w:highlight w:val="none"/>
        </w:rPr>
      </w:pPr>
      <w:bookmarkStart w:id="81" w:name="_Toc15396612"/>
      <w:bookmarkStart w:id="82" w:name="_Toc15377221"/>
      <w:bookmarkStart w:id="83" w:name="_Toc4046"/>
      <w:r>
        <w:rPr>
          <w:rStyle w:val="31"/>
          <w:rFonts w:hint="eastAsia" w:ascii="黑体" w:hAnsi="黑体" w:eastAsia="黑体"/>
          <w:b w:val="0"/>
          <w:color w:val="auto"/>
          <w:highlight w:val="none"/>
        </w:rPr>
        <w:t>其他重要事项的情况说明</w:t>
      </w:r>
      <w:bookmarkEnd w:id="81"/>
      <w:bookmarkEnd w:id="82"/>
      <w:bookmarkEnd w:id="83"/>
    </w:p>
    <w:p>
      <w:pPr>
        <w:spacing w:line="600" w:lineRule="exact"/>
        <w:ind w:firstLine="643" w:firstLineChars="200"/>
        <w:outlineLvl w:val="2"/>
        <w:rPr>
          <w:rFonts w:ascii="仿宋" w:hAnsi="仿宋" w:eastAsia="仿宋"/>
          <w:color w:val="auto"/>
          <w:sz w:val="32"/>
          <w:szCs w:val="32"/>
          <w:highlight w:val="none"/>
        </w:rPr>
      </w:pPr>
      <w:bookmarkStart w:id="84" w:name="_Toc15377222"/>
      <w:r>
        <w:rPr>
          <w:rFonts w:hint="eastAsia" w:ascii="仿宋" w:hAnsi="仿宋" w:eastAsia="仿宋"/>
          <w:b/>
          <w:color w:val="auto"/>
          <w:sz w:val="32"/>
          <w:szCs w:val="32"/>
          <w:highlight w:val="none"/>
        </w:rPr>
        <w:t>（一）机关运行经费支出情况</w:t>
      </w:r>
      <w:bookmarkEnd w:id="84"/>
    </w:p>
    <w:p>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p>
    <w:p>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5" w:name="_Toc15377223"/>
      <w:r>
        <w:rPr>
          <w:rFonts w:hint="eastAsia" w:ascii="仿宋" w:hAnsi="仿宋" w:eastAsia="仿宋"/>
          <w:b/>
          <w:color w:val="auto"/>
          <w:sz w:val="32"/>
          <w:szCs w:val="32"/>
          <w:highlight w:val="none"/>
        </w:rPr>
        <w:t>（二）政府采购支出情况</w:t>
      </w:r>
      <w:bookmarkEnd w:id="85"/>
    </w:p>
    <w:p>
      <w:pPr>
        <w:spacing w:line="600" w:lineRule="exact"/>
        <w:ind w:firstLine="640" w:firstLineChars="200"/>
        <w:rPr>
          <w:rFonts w:ascii="仿宋_GB2312" w:eastAsia="仿宋_GB2312"/>
          <w:color w:val="0000FF"/>
          <w:sz w:val="32"/>
          <w:szCs w:val="32"/>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（具体工作）。授予中小企业合同金额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6" w:name="_Toc15377224"/>
      <w:r>
        <w:rPr>
          <w:rFonts w:hint="eastAsia" w:ascii="仿宋" w:hAnsi="仿宋" w:eastAsia="仿宋"/>
          <w:b/>
          <w:color w:val="auto"/>
          <w:sz w:val="32"/>
          <w:szCs w:val="32"/>
          <w:highlight w:val="none"/>
        </w:rPr>
        <w:t>（三）国有资产占有使用情况</w:t>
      </w:r>
      <w:bookmarkEnd w:id="86"/>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我单位</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pPr>
        <w:widowControl/>
        <w:ind w:firstLine="640" w:firstLineChars="200"/>
        <w:jc w:val="left"/>
        <w:rPr>
          <w:rFonts w:ascii="楷体_GB2312" w:hAnsi="楷体_GB2312" w:eastAsia="楷体_GB2312" w:cs="楷体_GB2312"/>
          <w:sz w:val="32"/>
          <w:szCs w:val="32"/>
        </w:rPr>
      </w:pPr>
      <w:r>
        <w:rPr>
          <w:rFonts w:hint="eastAsia" w:ascii="仿宋_GB2312" w:eastAsia="仿宋_GB2312"/>
          <w:color w:val="auto"/>
          <w:sz w:val="32"/>
          <w:szCs w:val="32"/>
          <w:highlight w:val="none"/>
        </w:rPr>
        <w:t>本部门均涉及基本支出，无项目。</w:t>
      </w:r>
      <w:r>
        <w:rPr>
          <w:rFonts w:hint="eastAsia" w:ascii="楷体_GB2312" w:hAnsi="楷体_GB2312" w:eastAsia="楷体_GB2312" w:cs="楷体_GB2312"/>
          <w:sz w:val="32"/>
          <w:szCs w:val="32"/>
        </w:rPr>
        <w:t xml:space="preserve"> </w:t>
      </w:r>
    </w:p>
    <w:p>
      <w:pPr>
        <w:widowControl/>
        <w:ind w:firstLine="643" w:firstLineChars="200"/>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pPr>
        <w:keepNext w:val="0"/>
        <w:keepLines w:val="0"/>
        <w:pageBreakBefore w:val="0"/>
        <w:widowControl w:val="0"/>
        <w:numPr>
          <w:ilvl w:val="0"/>
          <w:numId w:val="3"/>
        </w:numPr>
        <w:kinsoku/>
        <w:wordWrap/>
        <w:overflowPunct/>
        <w:topLinePunct w:val="0"/>
        <w:bidi w:val="0"/>
        <w:snapToGrid/>
        <w:spacing w:line="560" w:lineRule="exact"/>
        <w:ind w:firstLine="660" w:firstLineChars="150"/>
        <w:jc w:val="center"/>
        <w:textAlignment w:val="auto"/>
        <w:outlineLvl w:val="0"/>
        <w:rPr>
          <w:rStyle w:val="30"/>
          <w:rFonts w:ascii="黑体" w:hAnsi="黑体" w:eastAsia="黑体"/>
          <w:b w:val="0"/>
          <w:color w:val="auto"/>
          <w:highlight w:val="none"/>
        </w:rPr>
      </w:pPr>
      <w:bookmarkStart w:id="87" w:name="_Toc15396613"/>
      <w:bookmarkStart w:id="88" w:name="_Toc15377225"/>
      <w:bookmarkStart w:id="89" w:name="_Toc8532"/>
      <w:r>
        <w:rPr>
          <w:rFonts w:hint="eastAsia" w:ascii="黑体" w:hAnsi="黑体" w:eastAsia="黑体"/>
          <w:color w:val="auto"/>
          <w:sz w:val="44"/>
          <w:szCs w:val="44"/>
          <w:highlight w:val="none"/>
        </w:rPr>
        <w:t>名</w:t>
      </w:r>
      <w:r>
        <w:rPr>
          <w:rStyle w:val="30"/>
          <w:rFonts w:hint="eastAsia" w:ascii="黑体" w:hAnsi="黑体" w:eastAsia="黑体"/>
          <w:b w:val="0"/>
          <w:color w:val="auto"/>
          <w:highlight w:val="none"/>
        </w:rPr>
        <w:t>词解释</w:t>
      </w:r>
      <w:bookmarkEnd w:id="87"/>
      <w:bookmarkEnd w:id="88"/>
      <w:bookmarkEnd w:id="89"/>
    </w:p>
    <w:p>
      <w:pPr>
        <w:keepNext w:val="0"/>
        <w:keepLines w:val="0"/>
        <w:pageBreakBefore w:val="0"/>
        <w:widowControl w:val="0"/>
        <w:kinsoku/>
        <w:wordWrap/>
        <w:overflowPunct/>
        <w:topLinePunct w:val="0"/>
        <w:bidi w:val="0"/>
        <w:snapToGrid/>
        <w:spacing w:line="560" w:lineRule="exact"/>
        <w:jc w:val="left"/>
        <w:textAlignment w:val="auto"/>
        <w:rPr>
          <w:rFonts w:ascii="宋体"/>
          <w:b/>
          <w:color w:val="auto"/>
          <w:sz w:val="44"/>
          <w:szCs w:val="44"/>
          <w:highlight w:val="none"/>
        </w:rPr>
      </w:pPr>
      <w:bookmarkStart w:id="119" w:name="_GoBack"/>
      <w:bookmarkEnd w:id="119"/>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1.财政拨款收入：本科目核算行政单位从同级财政部门取得的财政预算资金。</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2.事业收入：本科目核算事业单位开展专业业务活动及其辅助活动取得的收入。</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3.经营收入：本科目核算事业单位在专业业务活动及其辅助活动之外开展非独立核算经营活动取得的收入。</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 xml:space="preserve">4.其他收入：事业单位本科目核算事业单位除财政补助收入、事业收入、上级补助收入、附属单位上缴收入、经营收入以外的各项收入；行政单位本科核算行政单位取得的除财政拨款收入以外的其他各项收入。 </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 xml:space="preserve">6.年初结转和结余：指以前年度尚未完成、结转到本年按有关规定继续使用的资金。 </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7.结余分配：指事业单位按照事业单位会计制度的规定从非财政补助结余中分配的事业基金和职工福利基金等。</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8、年末结转和结余：指单位按有关规定结转到下年或以后年度继续使用的资金。</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9.一般公共服务支出：反映政府提供一般公共服务的支出。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.文化体育与传媒支出：反映政府在文化、体育、广播影视、新闻出版等方面的支出。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1</w:t>
      </w:r>
      <w:r>
        <w:rPr>
          <w:rFonts w:hint="eastAsia" w:ascii="仿宋_GB2312" w:eastAsia="仿宋_GB2312"/>
          <w:sz w:val="32"/>
          <w:szCs w:val="32"/>
        </w:rPr>
        <w:t>.社会保障和就业支出：反映政府在社会保障与就业方面的支出。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.医疗卫生与计划生育支出：反映政府医疗卫生与计划生育管理方面的支出。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.住房保障支出：集中反映政府用于住房方面的支出。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.基本支出：指为保障机构正常运转、完成日常工作任务而发生的人员支出和公用支出。</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15</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8"/>
        <w:keepNext w:val="0"/>
        <w:keepLines w:val="0"/>
        <w:pageBreakBefore w:val="0"/>
        <w:widowControl w:val="0"/>
        <w:kinsoku/>
        <w:wordWrap/>
        <w:overflowPunct/>
        <w:topLinePunct w:val="0"/>
        <w:bidi w:val="0"/>
        <w:snapToGrid/>
        <w:spacing w:line="560" w:lineRule="exact"/>
        <w:ind w:firstLine="640" w:firstLineChars="200"/>
        <w:textAlignment w:val="auto"/>
        <w:rPr>
          <w:rFonts w:ascii="黑体" w:hAnsi="黑体" w:eastAsia="黑体"/>
          <w:color w:val="auto"/>
          <w:sz w:val="44"/>
          <w:szCs w:val="44"/>
        </w:rPr>
      </w:pPr>
      <w:r>
        <w:rPr>
          <w:rFonts w:hint="eastAsia" w:ascii="仿宋_GB2312" w:eastAsia="仿宋_GB2312"/>
          <w:color w:val="auto"/>
          <w:sz w:val="32"/>
          <w:szCs w:val="32"/>
          <w:lang w:val="en-US" w:eastAsia="zh-CN"/>
        </w:rPr>
        <w:t>16</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bidi w:val="0"/>
        <w:snapToGrid/>
        <w:spacing w:line="560" w:lineRule="exact"/>
        <w:jc w:val="both"/>
        <w:textAlignment w:val="auto"/>
        <w:outlineLvl w:val="9"/>
        <w:rPr>
          <w:rFonts w:hint="eastAsia" w:ascii="黑体" w:hAnsi="黑体" w:eastAsia="黑体"/>
          <w:color w:val="auto"/>
          <w:sz w:val="44"/>
          <w:szCs w:val="44"/>
          <w:highlight w:val="none"/>
        </w:rPr>
        <w:sectPr>
          <w:footerReference r:id="rId7" w:type="default"/>
          <w:pgSz w:w="11906" w:h="16838"/>
          <w:pgMar w:top="1440" w:right="1803" w:bottom="1440" w:left="1803" w:header="851" w:footer="992" w:gutter="0"/>
          <w:pgNumType w:start="1"/>
          <w:cols w:space="0" w:num="1"/>
          <w:rtlGutter w:val="0"/>
          <w:docGrid w:type="lines" w:linePitch="325" w:charSpace="0"/>
        </w:sectPr>
      </w:pPr>
      <w:bookmarkStart w:id="90" w:name="_Toc15396618"/>
      <w:bookmarkStart w:id="91" w:name="_Toc15377226"/>
    </w:p>
    <w:p>
      <w:pPr>
        <w:spacing w:line="600" w:lineRule="exact"/>
        <w:jc w:val="center"/>
        <w:outlineLvl w:val="0"/>
        <w:rPr>
          <w:rFonts w:hint="eastAsia" w:ascii="仿宋" w:hAnsi="仿宋" w:eastAsia="仿宋"/>
          <w:b w:val="0"/>
          <w:color w:val="auto"/>
          <w:highlight w:val="none"/>
        </w:rPr>
      </w:pPr>
      <w:bookmarkStart w:id="92" w:name="_Toc12482"/>
      <w:r>
        <w:rPr>
          <w:rFonts w:hint="eastAsia" w:ascii="黑体" w:hAnsi="黑体" w:eastAsia="黑体"/>
          <w:color w:val="auto"/>
          <w:sz w:val="44"/>
          <w:szCs w:val="44"/>
          <w:highlight w:val="none"/>
        </w:rPr>
        <w:t>第</w:t>
      </w:r>
      <w:r>
        <w:rPr>
          <w:rStyle w:val="30"/>
          <w:rFonts w:hint="eastAsia" w:ascii="黑体" w:hAnsi="黑体" w:eastAsia="黑体"/>
          <w:b w:val="0"/>
          <w:color w:val="auto"/>
          <w:highlight w:val="none"/>
        </w:rPr>
        <w:t>五部分 附表</w:t>
      </w:r>
      <w:bookmarkEnd w:id="90"/>
      <w:bookmarkEnd w:id="91"/>
      <w:bookmarkEnd w:id="92"/>
      <w:bookmarkStart w:id="93" w:name="_Toc15396619"/>
    </w:p>
    <w:p>
      <w:pPr>
        <w:pStyle w:val="4"/>
        <w:rPr>
          <w:rFonts w:ascii="仿宋" w:hAnsi="仿宋" w:eastAsia="仿宋"/>
          <w:color w:val="auto"/>
          <w:highlight w:val="none"/>
        </w:rPr>
      </w:pPr>
      <w:bookmarkStart w:id="94" w:name="_Toc16616"/>
      <w:r>
        <w:rPr>
          <w:rFonts w:hint="eastAsia" w:ascii="仿宋" w:hAnsi="仿宋" w:eastAsia="仿宋"/>
          <w:b w:val="0"/>
          <w:color w:val="auto"/>
          <w:highlight w:val="none"/>
        </w:rPr>
        <w:t>一、收</w:t>
      </w:r>
      <w:r>
        <w:rPr>
          <w:rStyle w:val="31"/>
          <w:rFonts w:hint="eastAsia" w:ascii="仿宋" w:hAnsi="仿宋" w:eastAsia="仿宋"/>
          <w:b w:val="0"/>
          <w:bCs w:val="0"/>
          <w:color w:val="auto"/>
          <w:highlight w:val="none"/>
        </w:rPr>
        <w:t>入支出决算总表</w:t>
      </w:r>
      <w:bookmarkEnd w:id="93"/>
      <w:bookmarkEnd w:id="94"/>
    </w:p>
    <w:p>
      <w:pPr>
        <w:pStyle w:val="4"/>
        <w:rPr>
          <w:rFonts w:ascii="仿宋" w:hAnsi="仿宋" w:eastAsia="仿宋"/>
          <w:color w:val="auto"/>
          <w:highlight w:val="none"/>
        </w:rPr>
      </w:pPr>
      <w:bookmarkStart w:id="95" w:name="_Toc15396620"/>
      <w:bookmarkStart w:id="96" w:name="_Toc30165"/>
      <w:r>
        <w:rPr>
          <w:rFonts w:hint="eastAsia" w:ascii="仿宋" w:hAnsi="仿宋" w:eastAsia="仿宋"/>
          <w:b w:val="0"/>
          <w:color w:val="auto"/>
          <w:highlight w:val="none"/>
        </w:rPr>
        <w:t>二、收</w:t>
      </w:r>
      <w:r>
        <w:rPr>
          <w:rStyle w:val="31"/>
          <w:rFonts w:hint="eastAsia" w:ascii="仿宋" w:hAnsi="仿宋" w:eastAsia="仿宋"/>
          <w:b w:val="0"/>
          <w:bCs w:val="0"/>
          <w:color w:val="auto"/>
          <w:highlight w:val="none"/>
        </w:rPr>
        <w:t>入决算表</w:t>
      </w:r>
      <w:bookmarkEnd w:id="95"/>
      <w:bookmarkEnd w:id="96"/>
    </w:p>
    <w:p>
      <w:pPr>
        <w:pStyle w:val="4"/>
        <w:rPr>
          <w:rFonts w:ascii="仿宋" w:hAnsi="仿宋" w:eastAsia="仿宋"/>
          <w:color w:val="auto"/>
          <w:highlight w:val="none"/>
        </w:rPr>
      </w:pPr>
      <w:bookmarkStart w:id="97" w:name="_Toc1250"/>
      <w:bookmarkStart w:id="98" w:name="_Toc15396621"/>
      <w:r>
        <w:rPr>
          <w:rStyle w:val="31"/>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1"/>
          <w:rFonts w:hint="eastAsia" w:ascii="仿宋" w:hAnsi="仿宋" w:eastAsia="仿宋"/>
          <w:b w:val="0"/>
          <w:bCs w:val="0"/>
          <w:color w:val="auto"/>
          <w:highlight w:val="none"/>
        </w:rPr>
        <w:t>出决算表</w:t>
      </w:r>
      <w:bookmarkEnd w:id="97"/>
      <w:bookmarkEnd w:id="98"/>
    </w:p>
    <w:p>
      <w:pPr>
        <w:pStyle w:val="4"/>
        <w:rPr>
          <w:rFonts w:ascii="仿宋" w:hAnsi="仿宋" w:eastAsia="仿宋"/>
          <w:b w:val="0"/>
          <w:color w:val="auto"/>
          <w:highlight w:val="none"/>
        </w:rPr>
      </w:pPr>
      <w:bookmarkStart w:id="99" w:name="_Toc29807"/>
      <w:bookmarkStart w:id="100" w:name="_Toc15396622"/>
      <w:r>
        <w:rPr>
          <w:rStyle w:val="31"/>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1"/>
          <w:rFonts w:hint="eastAsia" w:ascii="仿宋" w:hAnsi="仿宋" w:eastAsia="仿宋"/>
          <w:b w:val="0"/>
          <w:bCs w:val="0"/>
          <w:color w:val="auto"/>
          <w:highlight w:val="none"/>
        </w:rPr>
        <w:t>政拨款收入支出决算总表</w:t>
      </w:r>
      <w:bookmarkEnd w:id="99"/>
      <w:bookmarkEnd w:id="100"/>
    </w:p>
    <w:p>
      <w:pPr>
        <w:pStyle w:val="4"/>
        <w:rPr>
          <w:rStyle w:val="31"/>
          <w:rFonts w:ascii="仿宋" w:hAnsi="仿宋" w:eastAsia="仿宋"/>
          <w:b w:val="0"/>
          <w:bCs w:val="0"/>
          <w:color w:val="auto"/>
          <w:highlight w:val="none"/>
        </w:rPr>
      </w:pPr>
      <w:bookmarkStart w:id="101" w:name="_Toc15396623"/>
      <w:bookmarkStart w:id="102" w:name="_Toc7449"/>
      <w:r>
        <w:rPr>
          <w:rStyle w:val="31"/>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1"/>
          <w:rFonts w:hint="eastAsia" w:ascii="仿宋" w:hAnsi="仿宋" w:eastAsia="仿宋"/>
          <w:b w:val="0"/>
          <w:bCs w:val="0"/>
          <w:color w:val="auto"/>
          <w:highlight w:val="none"/>
        </w:rPr>
        <w:t>政拨款支出决算明细表</w:t>
      </w:r>
      <w:bookmarkEnd w:id="101"/>
      <w:bookmarkEnd w:id="102"/>
      <w:bookmarkStart w:id="103" w:name="_Toc15396624"/>
    </w:p>
    <w:p>
      <w:pPr>
        <w:pStyle w:val="4"/>
        <w:rPr>
          <w:rFonts w:ascii="仿宋" w:hAnsi="仿宋" w:eastAsia="仿宋"/>
          <w:color w:val="auto"/>
          <w:highlight w:val="none"/>
        </w:rPr>
      </w:pPr>
      <w:bookmarkStart w:id="104" w:name="_Toc5333"/>
      <w:r>
        <w:rPr>
          <w:rStyle w:val="31"/>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般公共预算财政拨款支出决算表</w:t>
      </w:r>
      <w:bookmarkEnd w:id="103"/>
      <w:bookmarkEnd w:id="104"/>
    </w:p>
    <w:p>
      <w:pPr>
        <w:pStyle w:val="4"/>
        <w:rPr>
          <w:rFonts w:ascii="仿宋" w:hAnsi="仿宋" w:eastAsia="仿宋"/>
          <w:color w:val="auto"/>
          <w:highlight w:val="none"/>
        </w:rPr>
      </w:pPr>
      <w:bookmarkStart w:id="105" w:name="_Toc4452"/>
      <w:bookmarkStart w:id="106" w:name="_Toc15396625"/>
      <w:r>
        <w:rPr>
          <w:rStyle w:val="31"/>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般公共预算财政拨款支出决算明细表</w:t>
      </w:r>
      <w:bookmarkEnd w:id="105"/>
      <w:bookmarkEnd w:id="106"/>
    </w:p>
    <w:p>
      <w:pPr>
        <w:pStyle w:val="4"/>
        <w:rPr>
          <w:rFonts w:ascii="仿宋" w:hAnsi="仿宋" w:eastAsia="仿宋"/>
          <w:color w:val="auto"/>
          <w:highlight w:val="none"/>
        </w:rPr>
      </w:pPr>
      <w:bookmarkStart w:id="107" w:name="_Toc1436"/>
      <w:bookmarkStart w:id="108" w:name="_Toc15396626"/>
      <w:r>
        <w:rPr>
          <w:rStyle w:val="31"/>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般公共预算财政拨款基本支出决算表</w:t>
      </w:r>
      <w:bookmarkEnd w:id="107"/>
      <w:bookmarkEnd w:id="108"/>
    </w:p>
    <w:p>
      <w:pPr>
        <w:pStyle w:val="4"/>
        <w:rPr>
          <w:rFonts w:ascii="仿宋" w:hAnsi="仿宋" w:eastAsia="仿宋"/>
          <w:color w:val="auto"/>
          <w:highlight w:val="none"/>
        </w:rPr>
      </w:pPr>
      <w:bookmarkStart w:id="109" w:name="_Toc27572"/>
      <w:bookmarkStart w:id="110" w:name="_Toc15396627"/>
      <w:r>
        <w:rPr>
          <w:rStyle w:val="31"/>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般公共预算财政拨款项目支出决算表</w:t>
      </w:r>
      <w:bookmarkEnd w:id="109"/>
      <w:bookmarkEnd w:id="110"/>
    </w:p>
    <w:p>
      <w:pPr>
        <w:pStyle w:val="4"/>
        <w:rPr>
          <w:rFonts w:ascii="仿宋" w:hAnsi="仿宋" w:eastAsia="仿宋"/>
          <w:color w:val="auto"/>
          <w:highlight w:val="none"/>
        </w:rPr>
      </w:pPr>
      <w:bookmarkStart w:id="111" w:name="_Toc15396628"/>
      <w:bookmarkStart w:id="112" w:name="_Toc12253"/>
      <w:r>
        <w:rPr>
          <w:rStyle w:val="31"/>
          <w:rFonts w:hint="eastAsia" w:ascii="仿宋" w:hAnsi="仿宋" w:eastAsia="仿宋"/>
          <w:b w:val="0"/>
          <w:bCs w:val="0"/>
          <w:color w:val="auto"/>
          <w:highlight w:val="none"/>
        </w:rPr>
        <w:t>十、</w:t>
      </w:r>
      <w:bookmarkEnd w:id="111"/>
      <w:r>
        <w:rPr>
          <w:rFonts w:hint="eastAsia" w:ascii="仿宋" w:hAnsi="仿宋" w:eastAsia="仿宋"/>
          <w:b w:val="0"/>
          <w:color w:val="auto"/>
          <w:highlight w:val="none"/>
        </w:rPr>
        <w:t>政</w:t>
      </w:r>
      <w:r>
        <w:rPr>
          <w:rStyle w:val="31"/>
          <w:rFonts w:hint="eastAsia" w:ascii="仿宋" w:hAnsi="仿宋" w:eastAsia="仿宋"/>
          <w:b w:val="0"/>
          <w:bCs w:val="0"/>
          <w:color w:val="auto"/>
          <w:highlight w:val="none"/>
        </w:rPr>
        <w:t>府性基金预算财政拨款收入支出决算表</w:t>
      </w:r>
      <w:bookmarkEnd w:id="112"/>
    </w:p>
    <w:p>
      <w:pPr>
        <w:pStyle w:val="4"/>
        <w:rPr>
          <w:rFonts w:ascii="仿宋" w:hAnsi="仿宋" w:eastAsia="仿宋"/>
          <w:color w:val="auto"/>
          <w:highlight w:val="none"/>
        </w:rPr>
      </w:pPr>
      <w:bookmarkStart w:id="113" w:name="_Toc15396629"/>
      <w:bookmarkStart w:id="114" w:name="_Toc1027"/>
      <w:r>
        <w:rPr>
          <w:rStyle w:val="31"/>
          <w:rFonts w:hint="eastAsia" w:ascii="仿宋" w:hAnsi="仿宋" w:eastAsia="仿宋"/>
          <w:b w:val="0"/>
          <w:bCs w:val="0"/>
          <w:color w:val="auto"/>
          <w:highlight w:val="none"/>
        </w:rPr>
        <w:t>十一、</w:t>
      </w:r>
      <w:bookmarkEnd w:id="113"/>
      <w:r>
        <w:rPr>
          <w:rFonts w:hint="eastAsia" w:ascii="仿宋" w:hAnsi="仿宋" w:eastAsia="仿宋"/>
          <w:b w:val="0"/>
          <w:color w:val="auto"/>
          <w:highlight w:val="none"/>
        </w:rPr>
        <w:t>国</w:t>
      </w:r>
      <w:r>
        <w:rPr>
          <w:rStyle w:val="31"/>
          <w:rFonts w:hint="eastAsia" w:ascii="仿宋" w:hAnsi="仿宋" w:eastAsia="仿宋"/>
          <w:b w:val="0"/>
          <w:bCs w:val="0"/>
          <w:color w:val="auto"/>
          <w:highlight w:val="none"/>
        </w:rPr>
        <w:t>有资本经营预算</w:t>
      </w:r>
      <w:r>
        <w:rPr>
          <w:rStyle w:val="31"/>
          <w:rFonts w:hint="eastAsia" w:ascii="仿宋" w:hAnsi="仿宋" w:eastAsia="仿宋"/>
          <w:b w:val="0"/>
          <w:bCs w:val="0"/>
          <w:color w:val="auto"/>
          <w:highlight w:val="none"/>
          <w:lang w:eastAsia="zh-CN"/>
        </w:rPr>
        <w:t>财政拨款收入</w:t>
      </w:r>
      <w:r>
        <w:rPr>
          <w:rStyle w:val="31"/>
          <w:rFonts w:hint="eastAsia" w:ascii="仿宋" w:hAnsi="仿宋" w:eastAsia="仿宋"/>
          <w:b w:val="0"/>
          <w:bCs w:val="0"/>
          <w:color w:val="auto"/>
          <w:highlight w:val="none"/>
        </w:rPr>
        <w:t>支出决算表</w:t>
      </w:r>
      <w:bookmarkEnd w:id="114"/>
    </w:p>
    <w:p>
      <w:pPr>
        <w:pStyle w:val="4"/>
        <w:rPr>
          <w:rFonts w:ascii="仿宋" w:hAnsi="仿宋" w:eastAsia="仿宋"/>
          <w:color w:val="auto"/>
          <w:highlight w:val="none"/>
        </w:rPr>
      </w:pPr>
      <w:bookmarkStart w:id="115" w:name="_Toc15396630"/>
      <w:bookmarkStart w:id="116" w:name="_Toc23009"/>
      <w:r>
        <w:rPr>
          <w:rStyle w:val="31"/>
          <w:rFonts w:hint="eastAsia" w:ascii="仿宋" w:hAnsi="仿宋" w:eastAsia="仿宋"/>
          <w:b w:val="0"/>
          <w:bCs w:val="0"/>
          <w:color w:val="auto"/>
          <w:highlight w:val="none"/>
        </w:rPr>
        <w:t>十二、</w:t>
      </w:r>
      <w:bookmarkEnd w:id="115"/>
      <w:r>
        <w:rPr>
          <w:rStyle w:val="31"/>
          <w:rFonts w:hint="eastAsia" w:ascii="仿宋" w:hAnsi="仿宋" w:eastAsia="仿宋"/>
          <w:b w:val="0"/>
          <w:bCs w:val="0"/>
          <w:color w:val="auto"/>
          <w:highlight w:val="none"/>
          <w:lang w:eastAsia="zh-CN"/>
        </w:rPr>
        <w:t>国有资本经营预算财政拨款支出决算表</w:t>
      </w:r>
      <w:bookmarkEnd w:id="116"/>
    </w:p>
    <w:p>
      <w:pPr>
        <w:pStyle w:val="4"/>
        <w:rPr>
          <w:rFonts w:hint="eastAsia" w:eastAsia="仿宋"/>
          <w:color w:val="auto"/>
          <w:highlight w:val="none"/>
          <w:lang w:eastAsia="zh-CN"/>
        </w:rPr>
      </w:pPr>
      <w:bookmarkStart w:id="117" w:name="_Toc15396631"/>
      <w:bookmarkStart w:id="118" w:name="_Toc1218"/>
      <w:r>
        <w:rPr>
          <w:rStyle w:val="31"/>
          <w:rFonts w:hint="eastAsia" w:ascii="仿宋" w:hAnsi="仿宋" w:eastAsia="仿宋"/>
          <w:b w:val="0"/>
          <w:bCs w:val="0"/>
          <w:color w:val="auto"/>
          <w:highlight w:val="none"/>
        </w:rPr>
        <w:t>十三、</w:t>
      </w:r>
      <w:bookmarkEnd w:id="117"/>
      <w:r>
        <w:rPr>
          <w:rStyle w:val="31"/>
          <w:rFonts w:hint="eastAsia" w:ascii="仿宋" w:hAnsi="仿宋" w:eastAsia="仿宋"/>
          <w:b w:val="0"/>
          <w:bCs w:val="0"/>
          <w:color w:val="auto"/>
          <w:highlight w:val="none"/>
          <w:lang w:eastAsia="zh-CN"/>
        </w:rPr>
        <w:t>财政拨款“三公”经费支出决算表</w:t>
      </w:r>
      <w:bookmarkEnd w:id="118"/>
    </w:p>
    <w:sectPr>
      <w:footerReference r:id="rId9" w:type="first"/>
      <w:footerReference r:id="rId8" w:type="default"/>
      <w:pgSz w:w="11906" w:h="16838"/>
      <w:pgMar w:top="1440" w:right="1803" w:bottom="1440" w:left="1803" w:header="851" w:footer="992" w:gutter="0"/>
      <w:pgNumType w:start="16"/>
      <w:cols w:space="0" w:num="1"/>
      <w:titlePg/>
      <w:rtlGutter w:val="0"/>
      <w:docGrid w:type="lines" w:linePitch="32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150"/>
        <w:tab w:val="clear" w:pos="4153"/>
      </w:tabs>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pPr>
                                <w:pStyle w:val="10"/>
                                <w:jc w:val="center"/>
                              </w:pPr>
                              <w:r>
                                <w:fldChar w:fldCharType="begin"/>
                              </w:r>
                              <w:r>
                                <w:instrText xml:space="preserve">PAGE   \* MERGEFORMAT</w:instrText>
                              </w:r>
                              <w:r>
                                <w:fldChar w:fldCharType="separate"/>
                              </w:r>
                              <w:r>
                                <w:rPr>
                                  <w:lang w:val="zh-CN"/>
                                </w:rPr>
                                <w:t>8</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994781956"/>
                    </w:sdtPr>
                    <w:sdtContent>
                      <w:p>
                        <w:pPr>
                          <w:pStyle w:val="10"/>
                          <w:jc w:val="center"/>
                        </w:pPr>
                        <w:r>
                          <w:fldChar w:fldCharType="begin"/>
                        </w:r>
                        <w:r>
                          <w:instrText xml:space="preserve">PAGE   \* MERGEFORMAT</w:instrText>
                        </w:r>
                        <w:r>
                          <w:fldChar w:fldCharType="separate"/>
                        </w:r>
                        <w:r>
                          <w:rPr>
                            <w:lang w:val="zh-CN"/>
                          </w:rPr>
                          <w:t>8</w:t>
                        </w:r>
                        <w:r>
                          <w:fldChar w:fldCharType="end"/>
                        </w:r>
                      </w:p>
                    </w:sdtContent>
                  </w:sdt>
                  <w:p>
                    <w:pPr>
                      <w:pStyle w:val="2"/>
                    </w:pPr>
                  </w:p>
                </w:txbxContent>
              </v:textbox>
            </v:shape>
          </w:pict>
        </mc:Fallback>
      </mc:AlternateContent>
    </w: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620"/>
                          </w:sdtPr>
                          <w:sdtContent>
                            <w:p>
                              <w:pPr>
                                <w:pStyle w:val="10"/>
                                <w:jc w:val="center"/>
                              </w:pPr>
                              <w:r>
                                <w:fldChar w:fldCharType="begin"/>
                              </w:r>
                              <w:r>
                                <w:instrText xml:space="preserve">PAGE   \* MERGEFORMAT</w:instrText>
                              </w:r>
                              <w:r>
                                <w:fldChar w:fldCharType="separate"/>
                              </w:r>
                              <w:r>
                                <w:rPr>
                                  <w:lang w:val="zh-CN"/>
                                </w:rPr>
                                <w:t>8</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sdt>
                    <w:sdtPr>
                      <w:id w:val="147457620"/>
                    </w:sdtPr>
                    <w:sdtContent>
                      <w:p>
                        <w:pPr>
                          <w:pStyle w:val="10"/>
                          <w:jc w:val="center"/>
                        </w:pPr>
                        <w:r>
                          <w:fldChar w:fldCharType="begin"/>
                        </w:r>
                        <w:r>
                          <w:instrText xml:space="preserve">PAGE   \* MERGEFORMAT</w:instrText>
                        </w:r>
                        <w:r>
                          <w:fldChar w:fldCharType="separate"/>
                        </w:r>
                        <w:r>
                          <w:rPr>
                            <w:lang w:val="zh-CN"/>
                          </w:rPr>
                          <w:t>8</w:t>
                        </w:r>
                        <w:r>
                          <w:fldChar w:fldCharType="end"/>
                        </w:r>
                      </w:p>
                    </w:sdtContent>
                  </w:sdt>
                  <w:p>
                    <w:pPr>
                      <w:pStyle w:val="2"/>
                    </w:pPr>
                  </w:p>
                </w:txbxContent>
              </v:textbox>
            </v:shape>
          </w:pict>
        </mc:Fallback>
      </mc:AlternateContent>
    </w:r>
  </w:p>
  <w:p>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150"/>
        <w:tab w:val="clear" w:pos="4153"/>
      </w:tabs>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62"/>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wOTlmOGYxOTNjOTZhMTkxYzQ4NzI4MjgxOWE2Y2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0236B3"/>
    <w:rsid w:val="02143E91"/>
    <w:rsid w:val="039E0D68"/>
    <w:rsid w:val="03BF7A44"/>
    <w:rsid w:val="05D36322"/>
    <w:rsid w:val="05E67AE5"/>
    <w:rsid w:val="066E0107"/>
    <w:rsid w:val="0688732E"/>
    <w:rsid w:val="06AD316C"/>
    <w:rsid w:val="06D33911"/>
    <w:rsid w:val="077D6217"/>
    <w:rsid w:val="07996F6E"/>
    <w:rsid w:val="0A2032A3"/>
    <w:rsid w:val="0A814B41"/>
    <w:rsid w:val="0B884FA5"/>
    <w:rsid w:val="0BCC4615"/>
    <w:rsid w:val="0BE02AB9"/>
    <w:rsid w:val="0D3A2E78"/>
    <w:rsid w:val="0F98263C"/>
    <w:rsid w:val="101860EC"/>
    <w:rsid w:val="10394744"/>
    <w:rsid w:val="10C055FF"/>
    <w:rsid w:val="114C494B"/>
    <w:rsid w:val="114D33C4"/>
    <w:rsid w:val="118107EC"/>
    <w:rsid w:val="123258EF"/>
    <w:rsid w:val="129E4D32"/>
    <w:rsid w:val="13D50BC4"/>
    <w:rsid w:val="15013ED2"/>
    <w:rsid w:val="160564BD"/>
    <w:rsid w:val="16294695"/>
    <w:rsid w:val="16BB723D"/>
    <w:rsid w:val="19A624F1"/>
    <w:rsid w:val="1A7B512C"/>
    <w:rsid w:val="1B3F418C"/>
    <w:rsid w:val="1BE8440E"/>
    <w:rsid w:val="1D0E51AB"/>
    <w:rsid w:val="1D155CEE"/>
    <w:rsid w:val="1DCA384C"/>
    <w:rsid w:val="1E996A21"/>
    <w:rsid w:val="1EAE0073"/>
    <w:rsid w:val="1FF35744"/>
    <w:rsid w:val="212C5BFF"/>
    <w:rsid w:val="21573322"/>
    <w:rsid w:val="231A15C5"/>
    <w:rsid w:val="23603476"/>
    <w:rsid w:val="23860B96"/>
    <w:rsid w:val="240371BF"/>
    <w:rsid w:val="248F3BE1"/>
    <w:rsid w:val="251C147D"/>
    <w:rsid w:val="27A14E79"/>
    <w:rsid w:val="27B65781"/>
    <w:rsid w:val="27BE47FC"/>
    <w:rsid w:val="282870EB"/>
    <w:rsid w:val="29872094"/>
    <w:rsid w:val="2992521A"/>
    <w:rsid w:val="29F9095B"/>
    <w:rsid w:val="29FD04D3"/>
    <w:rsid w:val="2B1419FF"/>
    <w:rsid w:val="2B923879"/>
    <w:rsid w:val="2C4E70D8"/>
    <w:rsid w:val="2C8A61B5"/>
    <w:rsid w:val="2DF04E50"/>
    <w:rsid w:val="2F040D46"/>
    <w:rsid w:val="2FEA5603"/>
    <w:rsid w:val="3092644E"/>
    <w:rsid w:val="31824A40"/>
    <w:rsid w:val="319F7F4E"/>
    <w:rsid w:val="328B3675"/>
    <w:rsid w:val="3304709D"/>
    <w:rsid w:val="336C79AC"/>
    <w:rsid w:val="345F4AE7"/>
    <w:rsid w:val="35911C7B"/>
    <w:rsid w:val="36AA5135"/>
    <w:rsid w:val="376D39B2"/>
    <w:rsid w:val="37E16F03"/>
    <w:rsid w:val="38D469F0"/>
    <w:rsid w:val="39FC3104"/>
    <w:rsid w:val="3ACF785E"/>
    <w:rsid w:val="3B0F30F7"/>
    <w:rsid w:val="3D232419"/>
    <w:rsid w:val="3D98207C"/>
    <w:rsid w:val="3D9C52A0"/>
    <w:rsid w:val="3E1E3910"/>
    <w:rsid w:val="3E78745D"/>
    <w:rsid w:val="3F0D160F"/>
    <w:rsid w:val="3F6251B6"/>
    <w:rsid w:val="3F9B1768"/>
    <w:rsid w:val="3FBB3F8F"/>
    <w:rsid w:val="3FD32DB0"/>
    <w:rsid w:val="41401CA2"/>
    <w:rsid w:val="428F277F"/>
    <w:rsid w:val="42A42166"/>
    <w:rsid w:val="433E68BD"/>
    <w:rsid w:val="43C966F6"/>
    <w:rsid w:val="441C3644"/>
    <w:rsid w:val="44E268DA"/>
    <w:rsid w:val="45207AAF"/>
    <w:rsid w:val="45E32E92"/>
    <w:rsid w:val="468F7BD7"/>
    <w:rsid w:val="474E2F36"/>
    <w:rsid w:val="47DF6B56"/>
    <w:rsid w:val="48BA5AD2"/>
    <w:rsid w:val="4A627F82"/>
    <w:rsid w:val="4B0E749A"/>
    <w:rsid w:val="4B4F25DA"/>
    <w:rsid w:val="4BE068DB"/>
    <w:rsid w:val="4C3304BF"/>
    <w:rsid w:val="4CDF316A"/>
    <w:rsid w:val="4D577224"/>
    <w:rsid w:val="4EAB630A"/>
    <w:rsid w:val="4ECE2238"/>
    <w:rsid w:val="4EE221C8"/>
    <w:rsid w:val="51DA6E2E"/>
    <w:rsid w:val="52513181"/>
    <w:rsid w:val="530F199B"/>
    <w:rsid w:val="534A7FE3"/>
    <w:rsid w:val="537E6D0A"/>
    <w:rsid w:val="551C0E7A"/>
    <w:rsid w:val="576C0528"/>
    <w:rsid w:val="580B4BB7"/>
    <w:rsid w:val="590D1897"/>
    <w:rsid w:val="592F728C"/>
    <w:rsid w:val="5A7E619B"/>
    <w:rsid w:val="5AF92295"/>
    <w:rsid w:val="5C3B583F"/>
    <w:rsid w:val="5C457C03"/>
    <w:rsid w:val="5C9F6CAA"/>
    <w:rsid w:val="5CD71FC4"/>
    <w:rsid w:val="5E413B44"/>
    <w:rsid w:val="606B1AD1"/>
    <w:rsid w:val="613C1275"/>
    <w:rsid w:val="619238DC"/>
    <w:rsid w:val="631F1097"/>
    <w:rsid w:val="641B7951"/>
    <w:rsid w:val="655606BE"/>
    <w:rsid w:val="66DF3E2E"/>
    <w:rsid w:val="67C22198"/>
    <w:rsid w:val="68463B23"/>
    <w:rsid w:val="68EF219C"/>
    <w:rsid w:val="6A120BEB"/>
    <w:rsid w:val="6B144A6A"/>
    <w:rsid w:val="6BB362CE"/>
    <w:rsid w:val="6C4A05C8"/>
    <w:rsid w:val="6CE15EA8"/>
    <w:rsid w:val="6E6A05CE"/>
    <w:rsid w:val="6E7E3605"/>
    <w:rsid w:val="6FF5CC65"/>
    <w:rsid w:val="7152293A"/>
    <w:rsid w:val="715C0E4B"/>
    <w:rsid w:val="7177439F"/>
    <w:rsid w:val="72734D90"/>
    <w:rsid w:val="73AD73D5"/>
    <w:rsid w:val="73B6EB34"/>
    <w:rsid w:val="74027885"/>
    <w:rsid w:val="742B1E8A"/>
    <w:rsid w:val="744731E5"/>
    <w:rsid w:val="76DF4F27"/>
    <w:rsid w:val="76E3355F"/>
    <w:rsid w:val="773A78A3"/>
    <w:rsid w:val="778769C8"/>
    <w:rsid w:val="79116F5D"/>
    <w:rsid w:val="79191DC9"/>
    <w:rsid w:val="79EE5BA4"/>
    <w:rsid w:val="7A894339"/>
    <w:rsid w:val="7D81117F"/>
    <w:rsid w:val="7E7A6159"/>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30"/>
    </w:rPr>
  </w:style>
  <w:style w:type="paragraph" w:styleId="6">
    <w:name w:val="Normal Indent"/>
    <w:basedOn w:val="1"/>
    <w:qFormat/>
    <w:uiPriority w:val="0"/>
    <w:pPr>
      <w:spacing w:line="240" w:lineRule="auto"/>
      <w:ind w:firstLine="420"/>
    </w:pPr>
    <w:rPr>
      <w:rFonts w:ascii="Calibri" w:hAnsi="Calibri" w:cs="Arial"/>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able of figures"/>
    <w:basedOn w:val="1"/>
    <w:next w:val="1"/>
    <w:qFormat/>
    <w:uiPriority w:val="0"/>
    <w:pPr>
      <w:ind w:left="400" w:leftChars="200" w:hanging="200" w:hanging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Autospacing="1" w:afterAutospacing="1"/>
      <w:jc w:val="left"/>
    </w:pPr>
    <w:rPr>
      <w:kern w:val="0"/>
      <w:sz w:val="24"/>
    </w:rPr>
  </w:style>
  <w:style w:type="paragraph" w:styleId="16">
    <w:name w:val="Body Text First Indent 2"/>
    <w:basedOn w:val="7"/>
    <w:unhideWhenUsed/>
    <w:qFormat/>
    <w:uiPriority w:val="99"/>
    <w:pPr>
      <w:ind w:firstLine="420" w:firstLine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font81"/>
    <w:basedOn w:val="18"/>
    <w:qFormat/>
    <w:uiPriority w:val="0"/>
    <w:rPr>
      <w:rFonts w:hint="eastAsia" w:ascii="宋体" w:hAnsi="宋体" w:eastAsia="宋体" w:cs="宋体"/>
      <w:b/>
      <w:bCs/>
      <w:color w:val="000000"/>
      <w:sz w:val="20"/>
      <w:szCs w:val="20"/>
      <w:u w:val="none"/>
    </w:rPr>
  </w:style>
  <w:style w:type="character" w:customStyle="1" w:styleId="38">
    <w:name w:val="font112"/>
    <w:basedOn w:val="18"/>
    <w:qFormat/>
    <w:uiPriority w:val="0"/>
    <w:rPr>
      <w:rFonts w:hint="eastAsia" w:ascii="宋体" w:hAnsi="宋体" w:eastAsia="宋体" w:cs="宋体"/>
      <w:color w:val="000000"/>
      <w:sz w:val="20"/>
      <w:szCs w:val="20"/>
      <w:u w:val="none"/>
    </w:rPr>
  </w:style>
  <w:style w:type="character" w:customStyle="1" w:styleId="39">
    <w:name w:val="标题 2 字符"/>
    <w:basedOn w:val="18"/>
    <w:link w:val="4"/>
    <w:qFormat/>
    <w:locked/>
    <w:uiPriority w:val="9"/>
    <w:rPr>
      <w:rFonts w:ascii="Cambria" w:hAnsi="Cambria" w:eastAsia="宋体" w:cs="Times New Roman"/>
      <w:b/>
      <w:bCs/>
      <w:kern w:val="2"/>
      <w:sz w:val="32"/>
      <w:szCs w:val="32"/>
    </w:rPr>
  </w:style>
  <w:style w:type="paragraph" w:customStyle="1" w:styleId="40">
    <w:name w:val="WPSOffice手动目录 1"/>
    <w:qFormat/>
    <w:uiPriority w:val="0"/>
    <w:pPr>
      <w:ind w:leftChars="0"/>
    </w:pPr>
    <w:rPr>
      <w:rFonts w:ascii="Times New Roman" w:hAnsi="Times New Roman" w:eastAsia="宋体" w:cs="Times New Roman"/>
      <w:sz w:val="20"/>
      <w:szCs w:val="20"/>
    </w:rPr>
  </w:style>
  <w:style w:type="paragraph" w:customStyle="1" w:styleId="4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4180;&#37096;&#38376;&#20915;&#31639;&#20844;&#24320;\2024&#24180;&#20915;&#31639;&#20844;&#24320;\&#20915;&#31639;&#20844;&#24320;&#30011;&#22270;202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5&#24180;&#37096;&#38376;&#20915;&#31639;&#20844;&#24320;\2024&#24180;&#20915;&#31639;&#20844;&#24320;\&#20915;&#31639;&#20844;&#24320;&#30011;&#22270;202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xwechat_files\wxid_6ntf558v383821_27ac\msg\file\2025-09\&#20915;&#31639;&#20844;&#24320;&#30011;&#22270;202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4180;&#37096;&#38376;&#20915;&#31639;&#20844;&#24320;\2024&#24180;&#20915;&#31639;&#20844;&#24320;\&#20915;&#31639;&#20844;&#24320;&#30011;&#22270;202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37096;&#38376;&#20915;&#31639;&#20844;&#24320;\2024&#24180;&#20915;&#31639;&#20844;&#24320;\&#20915;&#31639;&#20844;&#24320;&#30011;&#22270;202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5&#24180;&#37096;&#38376;&#20915;&#31639;&#20844;&#24320;\2024&#24180;&#20915;&#31639;&#20844;&#24320;\&#20915;&#31639;&#20844;&#24320;&#30011;&#22270;2024.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1.xml"/><Relationship Id="rId1" Type="http://schemas.openxmlformats.org/officeDocument/2006/relationships/oleObject" Target="file:///C:\Users\Administrator\xwechat_files\wxid_6ntf558v383821_27ac\msg\file\2025-09\&#20915;&#31639;&#20844;&#24320;&#30011;&#2227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58888888888889"/>
          <c:y val="0.0327505540507264"/>
        </c:manualLayout>
      </c:layout>
      <c:overlay val="0"/>
      <c:spPr>
        <a:noFill/>
        <a:ln>
          <a:noFill/>
        </a:ln>
        <a:effectLst/>
      </c:spPr>
    </c:title>
    <c:autoTitleDeleted val="0"/>
    <c:plotArea>
      <c:layout/>
      <c:barChart>
        <c:barDir val="col"/>
        <c:grouping val="clustered"/>
        <c:varyColors val="0"/>
        <c:ser>
          <c:idx val="0"/>
          <c:order val="0"/>
          <c:tx>
            <c:strRef>
              <c:f>[决算公开画图2024.xlsx]Sheet1!$A$4</c:f>
              <c:strCache>
                <c:ptCount val="1"/>
                <c:pt idx="0">
                  <c:v>2024年</c:v>
                </c:pt>
              </c:strCache>
            </c:strRef>
          </c:tx>
          <c:spPr>
            <a:solidFill>
              <a:schemeClr val="accent1"/>
            </a:solidFill>
            <a:ln>
              <a:noFill/>
            </a:ln>
            <a:effectLst/>
          </c:spPr>
          <c:invertIfNegative val="0"/>
          <c:dLbls>
            <c:delete val="1"/>
          </c:dLbls>
          <c:cat>
            <c:strRef>
              <c:f>[决算公开画图2024.xlsx]Sheet1!$B$3:$D$3</c:f>
              <c:strCache>
                <c:ptCount val="3"/>
                <c:pt idx="0">
                  <c:v>财政拨款总收入（万元）</c:v>
                </c:pt>
                <c:pt idx="2">
                  <c:v>财政拨款总支出（万元）</c:v>
                </c:pt>
              </c:strCache>
            </c:strRef>
          </c:cat>
          <c:val>
            <c:numRef>
              <c:f>[决算公开画图2024.xlsx]Sheet1!$B$4:$D$4</c:f>
              <c:numCache>
                <c:formatCode>General</c:formatCode>
                <c:ptCount val="3"/>
                <c:pt idx="0">
                  <c:v>220.49</c:v>
                </c:pt>
                <c:pt idx="2">
                  <c:v>220.49</c:v>
                </c:pt>
              </c:numCache>
            </c:numRef>
          </c:val>
        </c:ser>
        <c:ser>
          <c:idx val="1"/>
          <c:order val="1"/>
          <c:tx>
            <c:strRef>
              <c:f>[决算公开画图2024.xlsx]Sheet1!$A$5</c:f>
              <c:strCache>
                <c:ptCount val="1"/>
                <c:pt idx="0">
                  <c:v>2025年</c:v>
                </c:pt>
              </c:strCache>
            </c:strRef>
          </c:tx>
          <c:spPr>
            <a:solidFill>
              <a:schemeClr val="accent2"/>
            </a:solidFill>
            <a:ln>
              <a:noFill/>
            </a:ln>
            <a:effectLst/>
          </c:spPr>
          <c:invertIfNegative val="0"/>
          <c:dLbls>
            <c:delete val="1"/>
          </c:dLbls>
          <c:cat>
            <c:strRef>
              <c:f>[决算公开画图2024.xlsx]Sheet1!$B$3:$D$3</c:f>
              <c:strCache>
                <c:ptCount val="3"/>
                <c:pt idx="0">
                  <c:v>财政拨款总收入（万元）</c:v>
                </c:pt>
                <c:pt idx="2">
                  <c:v>财政拨款总支出（万元）</c:v>
                </c:pt>
              </c:strCache>
            </c:strRef>
          </c:cat>
          <c:val>
            <c:numRef>
              <c:f>[决算公开画图2024.xlsx]Sheet1!$B$5:$D$5</c:f>
              <c:numCache>
                <c:formatCode>General</c:formatCode>
                <c:ptCount val="3"/>
                <c:pt idx="0">
                  <c:v>311.34</c:v>
                </c:pt>
                <c:pt idx="2">
                  <c:v>311.34</c:v>
                </c:pt>
              </c:numCache>
            </c:numRef>
          </c:val>
        </c:ser>
        <c:dLbls>
          <c:showLegendKey val="0"/>
          <c:showVal val="0"/>
          <c:showCatName val="0"/>
          <c:showSerName val="0"/>
          <c:showPercent val="0"/>
          <c:showBubbleSize val="0"/>
        </c:dLbls>
        <c:gapWidth val="219"/>
        <c:overlap val="-27"/>
        <c:axId val="644101296"/>
        <c:axId val="300918575"/>
      </c:barChart>
      <c:catAx>
        <c:axId val="6441012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918575"/>
        <c:crosses val="autoZero"/>
        <c:auto val="1"/>
        <c:lblAlgn val="ctr"/>
        <c:lblOffset val="100"/>
        <c:noMultiLvlLbl val="0"/>
      </c:catAx>
      <c:valAx>
        <c:axId val="300918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1012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年收入决算结构图</a:t>
            </a:r>
            <a:endParaRPr altLang="en-US"/>
          </a:p>
        </c:rich>
      </c:tx>
      <c:layout>
        <c:manualLayout>
          <c:xMode val="edge"/>
          <c:yMode val="edge"/>
          <c:x val="0.340882694541231"/>
          <c:y val="0.0729166666666667"/>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elete val="1"/>
          </c:dLbls>
          <c:cat>
            <c:strRef>
              <c:f>[决算公开画图2024.xlsx]Sheet1!$F$3:$F$9</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[决算公开画图2024.xlsx]Sheet1!$G$3:$G$9</c:f>
              <c:numCache>
                <c:formatCode>General</c:formatCode>
                <c:ptCount val="7"/>
                <c:pt idx="0">
                  <c:v>311.34</c:v>
                </c:pt>
                <c:pt idx="1">
                  <c:v>0</c:v>
                </c:pt>
                <c:pt idx="2">
                  <c:v>0</c:v>
                </c:pt>
                <c:pt idx="3">
                  <c:v>0</c:v>
                </c:pt>
                <c:pt idx="4">
                  <c:v>0</c:v>
                </c:pt>
                <c:pt idx="5">
                  <c:v>0</c:v>
                </c:pt>
                <c:pt idx="6">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年支出决算结构图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elete val="1"/>
          </c:dLbls>
          <c:cat>
            <c:strRef>
              <c:f>[决算公开画图2024.xlsx]Sheet1!$F$3:$F$9</c:f>
              <c:strCache>
                <c:ptCount val="7"/>
                <c:pt idx="0">
                  <c:v>一般公共预算财政拨款支出</c:v>
                </c:pt>
                <c:pt idx="1">
                  <c:v>政府性基金预算财政拨款支出</c:v>
                </c:pt>
                <c:pt idx="2">
                  <c:v>上级补助支出</c:v>
                </c:pt>
                <c:pt idx="3">
                  <c:v>事业支出</c:v>
                </c:pt>
                <c:pt idx="4">
                  <c:v>经营支出</c:v>
                </c:pt>
                <c:pt idx="5">
                  <c:v>附属单位上缴支出</c:v>
                </c:pt>
                <c:pt idx="6">
                  <c:v>其他支出</c:v>
                </c:pt>
              </c:strCache>
            </c:strRef>
          </c:cat>
          <c:val>
            <c:numRef>
              <c:f>[决算公开画图2024.xlsx]Sheet1!$G$3:$G$9</c:f>
              <c:numCache>
                <c:formatCode>General</c:formatCode>
                <c:ptCount val="7"/>
                <c:pt idx="0">
                  <c:v>220.49</c:v>
                </c:pt>
                <c:pt idx="1">
                  <c:v>0</c:v>
                </c:pt>
                <c:pt idx="2">
                  <c:v>0</c:v>
                </c:pt>
                <c:pt idx="3">
                  <c:v>0</c:v>
                </c:pt>
                <c:pt idx="4">
                  <c:v>0</c:v>
                </c:pt>
                <c:pt idx="5">
                  <c:v>0</c:v>
                </c:pt>
                <c:pt idx="6">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[决算公开画图2024.xlsx]Sheet1!$B$42</c:f>
              <c:strCache>
                <c:ptCount val="1"/>
                <c:pt idx="0">
                  <c:v>财政拨款收入（万元）</c:v>
                </c:pt>
              </c:strCache>
            </c:strRef>
          </c:tx>
          <c:spPr>
            <a:solidFill>
              <a:schemeClr val="accent1"/>
            </a:solidFill>
            <a:ln>
              <a:noFill/>
            </a:ln>
            <a:effectLst/>
          </c:spPr>
          <c:invertIfNegative val="0"/>
          <c:dLbls>
            <c:delete val="1"/>
          </c:dLbls>
          <c:cat>
            <c:strRef>
              <c:f>[决算公开画图2024.xlsx]Sheet1!$A$43:$A$46</c:f>
              <c:strCache>
                <c:ptCount val="4"/>
                <c:pt idx="0">
                  <c:v>2024年</c:v>
                </c:pt>
                <c:pt idx="2">
                  <c:v>2025年</c:v>
                </c:pt>
              </c:strCache>
            </c:strRef>
          </c:cat>
          <c:val>
            <c:numRef>
              <c:f>[决算公开画图2024.xlsx]Sheet1!$B$43:$B$46</c:f>
              <c:numCache>
                <c:formatCode>General</c:formatCode>
                <c:ptCount val="4"/>
                <c:pt idx="0">
                  <c:v>220.49</c:v>
                </c:pt>
                <c:pt idx="2">
                  <c:v>311.34</c:v>
                </c:pt>
              </c:numCache>
            </c:numRef>
          </c:val>
        </c:ser>
        <c:ser>
          <c:idx val="1"/>
          <c:order val="1"/>
          <c:tx>
            <c:strRef>
              <c:f>[决算公开画图2024.xlsx]Sheet1!$C$42</c:f>
              <c:strCache>
                <c:ptCount val="1"/>
                <c:pt idx="0">
                  <c:v>财政拨款支出（万元）</c:v>
                </c:pt>
              </c:strCache>
            </c:strRef>
          </c:tx>
          <c:spPr>
            <a:solidFill>
              <a:schemeClr val="accent2"/>
            </a:solidFill>
            <a:ln>
              <a:noFill/>
            </a:ln>
            <a:effectLst/>
          </c:spPr>
          <c:invertIfNegative val="0"/>
          <c:dLbls>
            <c:delete val="1"/>
          </c:dLbls>
          <c:cat>
            <c:strRef>
              <c:f>[决算公开画图2024.xlsx]Sheet1!$A$43:$A$46</c:f>
              <c:strCache>
                <c:ptCount val="4"/>
                <c:pt idx="0">
                  <c:v>2024年</c:v>
                </c:pt>
                <c:pt idx="2">
                  <c:v>2025年</c:v>
                </c:pt>
              </c:strCache>
            </c:strRef>
          </c:cat>
          <c:val>
            <c:numRef>
              <c:f>[决算公开画图2024.xlsx]Sheet1!$C$43:$C$46</c:f>
              <c:numCache>
                <c:formatCode>General</c:formatCode>
                <c:ptCount val="4"/>
                <c:pt idx="0">
                  <c:v>220.49</c:v>
                </c:pt>
                <c:pt idx="2">
                  <c:v>311.34</c:v>
                </c:pt>
              </c:numCache>
            </c:numRef>
          </c:val>
        </c:ser>
        <c:dLbls>
          <c:showLegendKey val="0"/>
          <c:showVal val="0"/>
          <c:showCatName val="0"/>
          <c:showSerName val="0"/>
          <c:showPercent val="0"/>
          <c:showBubbleSize val="0"/>
        </c:dLbls>
        <c:gapWidth val="219"/>
        <c:overlap val="-27"/>
        <c:axId val="748804617"/>
        <c:axId val="457257790"/>
      </c:barChart>
      <c:catAx>
        <c:axId val="7488046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257790"/>
        <c:crosses val="autoZero"/>
        <c:auto val="1"/>
        <c:lblAlgn val="ctr"/>
        <c:lblOffset val="100"/>
        <c:noMultiLvlLbl val="0"/>
      </c:catAx>
      <c:valAx>
        <c:axId val="45725779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8046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elete val="1"/>
          </c:dLbls>
          <c:cat>
            <c:strRef>
              <c:f>[决算公开画图2024.xlsx]Sheet1!$E$43:$E$45</c:f>
              <c:strCache>
                <c:ptCount val="3"/>
                <c:pt idx="0">
                  <c:v>2024年</c:v>
                </c:pt>
                <c:pt idx="2">
                  <c:v>2025年</c:v>
                </c:pt>
              </c:strCache>
            </c:strRef>
          </c:cat>
          <c:val>
            <c:numRef>
              <c:f>[决算公开画图2024.xlsx]Sheet1!$F$43:$F$45</c:f>
              <c:numCache>
                <c:formatCode>General</c:formatCode>
                <c:ptCount val="3"/>
                <c:pt idx="0">
                  <c:v>220.49</c:v>
                </c:pt>
                <c:pt idx="2">
                  <c:v>311.34</c:v>
                </c:pt>
              </c:numCache>
            </c:numRef>
          </c:val>
        </c:ser>
        <c:ser>
          <c:idx val="1"/>
          <c:order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delete val="1"/>
          </c:dLbls>
          <c:cat>
            <c:strRef>
              <c:f>[决算公开画图2024.xlsx]Sheet1!$E$43:$E$45</c:f>
              <c:strCache>
                <c:ptCount val="3"/>
                <c:pt idx="0">
                  <c:v>2024年</c:v>
                </c:pt>
                <c:pt idx="2">
                  <c:v>2025年</c:v>
                </c:pt>
              </c:strCache>
            </c:strRef>
          </c:cat>
          <c:val>
            <c:numRef>
              <c:f>[决算公开画图2024.xlsx]Sheet1!$G$43:$G$45</c:f>
              <c:numCache>
                <c:formatCode>General</c:formatCode>
                <c:ptCount val="3"/>
              </c:numCache>
            </c:numRef>
          </c:val>
        </c:ser>
        <c:dLbls>
          <c:showLegendKey val="0"/>
          <c:showVal val="0"/>
          <c:showCatName val="0"/>
          <c:showSerName val="0"/>
          <c:showPercent val="0"/>
          <c:showBubbleSize val="0"/>
        </c:dLbls>
        <c:gapWidth val="100"/>
        <c:overlap val="-24"/>
        <c:axId val="576527494"/>
        <c:axId val="286149385"/>
      </c:barChart>
      <c:catAx>
        <c:axId val="5765274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286149385"/>
        <c:crosses val="autoZero"/>
        <c:auto val="1"/>
        <c:lblAlgn val="ctr"/>
        <c:lblOffset val="100"/>
        <c:noMultiLvlLbl val="0"/>
      </c:catAx>
      <c:valAx>
        <c:axId val="28614938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5765274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[决算公开画图2024.xlsx]Sheet1!$A$72:$A$75</c:f>
              <c:strCache>
                <c:ptCount val="4"/>
                <c:pt idx="0">
                  <c:v>文化旅游体育与传媒支出</c:v>
                </c:pt>
                <c:pt idx="1">
                  <c:v>社会保障和就业支出</c:v>
                </c:pt>
                <c:pt idx="2">
                  <c:v>卫生健康支出</c:v>
                </c:pt>
                <c:pt idx="3">
                  <c:v>住房保障支出</c:v>
                </c:pt>
              </c:strCache>
            </c:strRef>
          </c:cat>
          <c:val>
            <c:numRef>
              <c:f>[决算公开画图2024.xlsx]Sheet1!$B$72:$B$75</c:f>
              <c:numCache>
                <c:formatCode>General</c:formatCode>
                <c:ptCount val="4"/>
                <c:pt idx="0">
                  <c:v>234.82</c:v>
                </c:pt>
                <c:pt idx="1">
                  <c:v>39.97</c:v>
                </c:pt>
                <c:pt idx="2">
                  <c:v>13.55</c:v>
                </c:pt>
                <c:pt idx="3">
                  <c:v>23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[决算公开画图2024.xlsx]Sheet1!$D$72:$D$74</c:f>
              <c:strCache>
                <c:ptCount val="3"/>
                <c:pt idx="0">
                  <c:v>因公出国（境）费支出</c:v>
                </c:pt>
                <c:pt idx="1">
                  <c:v>公务用车购置及运行维护费支出</c:v>
                </c:pt>
                <c:pt idx="2">
                  <c:v>公务接待费支出</c:v>
                </c:pt>
              </c:strCache>
            </c:strRef>
          </c:cat>
          <c:val>
            <c:numRef>
              <c:f>[决算公开画图2024.xlsx]Sheet1!$E$72:$E$74</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5472</Words>
  <Characters>5948</Characters>
  <Lines>61</Lines>
  <Paragraphs>17</Paragraphs>
  <TotalTime>7</TotalTime>
  <ScaleCrop>false</ScaleCrop>
  <LinksUpToDate>false</LinksUpToDate>
  <CharactersWithSpaces>6091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PCPC</cp:lastModifiedBy>
  <cp:lastPrinted>2024-08-15T08:02:00Z</cp:lastPrinted>
  <dcterms:modified xsi:type="dcterms:W3CDTF">2026-10-13T06:44:35Z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73BB3519A58E40BEBCCB3975ABF5B1F0_13</vt:lpwstr>
  </property>
  <property fmtid="{D5CDD505-2E9C-101B-9397-08002B2CF9AE}" pid="4" name="KSOTemplateDocerSaveRecord">
    <vt:lpwstr>eyJoZGlkIjoiNmYwOTlmOGYxOTNjOTZhMTkxYzQ4NzI4MjgxOWE2Y2QiLCJ1c2VySWQiOiI3NDI4NzQ5NzYifQ==</vt:lpwstr>
  </property>
</Properties>
</file>