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9"/>
        <w:rPr>
          <w:rFonts w:ascii="微软雅黑" w:hAnsi="宋体" w:eastAsia="微软雅黑"/>
          <w:color w:val="auto"/>
          <w:sz w:val="72"/>
          <w:szCs w:val="72"/>
          <w:highlight w:val="none"/>
        </w:rPr>
      </w:pPr>
      <w:bookmarkStart w:id="0" w:name="_Toc15396475"/>
      <w:bookmarkStart w:id="1" w:name="_Toc15396597"/>
      <w:bookmarkStart w:id="2" w:name="_Toc15377425"/>
      <w:bookmarkStart w:id="3" w:name="_Toc15378441"/>
      <w:bookmarkStart w:id="4" w:name="_Toc15377193"/>
      <w:bookmarkStart w:id="5" w:name="_Toc15306267"/>
    </w:p>
    <w:p>
      <w:pPr>
        <w:spacing w:line="600" w:lineRule="exact"/>
        <w:jc w:val="center"/>
        <w:outlineLvl w:val="9"/>
        <w:rPr>
          <w:rFonts w:ascii="微软雅黑" w:hAnsi="宋体" w:eastAsia="微软雅黑"/>
          <w:color w:val="auto"/>
          <w:sz w:val="72"/>
          <w:szCs w:val="72"/>
          <w:highlight w:val="none"/>
        </w:rPr>
      </w:pPr>
    </w:p>
    <w:p>
      <w:pPr>
        <w:spacing w:line="600" w:lineRule="exact"/>
        <w:jc w:val="center"/>
        <w:outlineLvl w:val="9"/>
        <w:rPr>
          <w:rFonts w:ascii="微软雅黑" w:hAnsi="宋体" w:eastAsia="微软雅黑"/>
          <w:color w:val="auto"/>
          <w:sz w:val="72"/>
          <w:szCs w:val="72"/>
          <w:highlight w:val="none"/>
        </w:rPr>
      </w:pPr>
    </w:p>
    <w:p>
      <w:pPr>
        <w:adjustRightInd w:val="0"/>
        <w:snapToGrid w:val="0"/>
        <w:spacing w:line="360" w:lineRule="auto"/>
        <w:jc w:val="center"/>
        <w:outlineLvl w:val="0"/>
        <w:rPr>
          <w:rFonts w:hint="eastAsia" w:ascii="微软雅黑" w:hAnsi="微软雅黑" w:eastAsia="微软雅黑" w:cs="微软雅黑"/>
          <w:color w:val="auto"/>
          <w:sz w:val="72"/>
          <w:szCs w:val="72"/>
          <w:highlight w:val="none"/>
        </w:rPr>
      </w:pPr>
      <w:bookmarkStart w:id="6" w:name="_Toc21788"/>
      <w:bookmarkStart w:id="7" w:name="_Toc15024"/>
      <w:r>
        <w:rPr>
          <w:rFonts w:hint="eastAsia" w:ascii="微软雅黑" w:hAnsi="微软雅黑" w:eastAsia="微软雅黑" w:cs="微软雅黑"/>
          <w:color w:val="auto"/>
          <w:sz w:val="72"/>
          <w:szCs w:val="72"/>
          <w:highlight w:val="none"/>
          <w:lang w:eastAsia="zh-CN"/>
        </w:rPr>
        <w:t>202</w:t>
      </w:r>
      <w:r>
        <w:rPr>
          <w:rFonts w:hint="eastAsia" w:ascii="微软雅黑" w:hAnsi="微软雅黑" w:eastAsia="微软雅黑" w:cs="微软雅黑"/>
          <w:color w:val="auto"/>
          <w:sz w:val="72"/>
          <w:szCs w:val="72"/>
          <w:highlight w:val="none"/>
          <w:lang w:val="en-US" w:eastAsia="zh-CN"/>
        </w:rPr>
        <w:t>5</w:t>
      </w:r>
      <w:r>
        <w:rPr>
          <w:rFonts w:hint="eastAsia" w:ascii="微软雅黑" w:hAnsi="微软雅黑" w:eastAsia="微软雅黑" w:cs="微软雅黑"/>
          <w:color w:val="auto"/>
          <w:sz w:val="72"/>
          <w:szCs w:val="72"/>
          <w:highlight w:val="none"/>
          <w:lang w:eastAsia="zh-CN"/>
        </w:rPr>
        <w:t>年</w:t>
      </w:r>
      <w:r>
        <w:rPr>
          <w:rFonts w:hint="eastAsia" w:ascii="微软雅黑" w:hAnsi="微软雅黑" w:eastAsia="微软雅黑" w:cs="微软雅黑"/>
          <w:color w:val="auto"/>
          <w:sz w:val="72"/>
          <w:szCs w:val="72"/>
          <w:highlight w:val="none"/>
        </w:rPr>
        <w:t>度</w:t>
      </w:r>
      <w:bookmarkEnd w:id="0"/>
      <w:bookmarkEnd w:id="1"/>
      <w:bookmarkEnd w:id="2"/>
      <w:bookmarkEnd w:id="3"/>
      <w:bookmarkEnd w:id="4"/>
      <w:bookmarkEnd w:id="6"/>
      <w:bookmarkEnd w:id="7"/>
    </w:p>
    <w:bookmarkEnd w:id="5"/>
    <w:p>
      <w:pPr>
        <w:jc w:val="center"/>
        <w:rPr>
          <w:rFonts w:ascii="微软雅黑" w:eastAsia="微软雅黑"/>
          <w:sz w:val="72"/>
          <w:szCs w:val="72"/>
        </w:rPr>
      </w:pPr>
      <w:bookmarkStart w:id="8" w:name="_Toc15396476"/>
      <w:bookmarkStart w:id="9" w:name="_Toc15377426"/>
      <w:bookmarkStart w:id="10" w:name="_Toc15396598"/>
      <w:bookmarkStart w:id="11" w:name="_Toc15378442"/>
      <w:bookmarkStart w:id="12" w:name="_Toc15377194"/>
      <w:r>
        <w:rPr>
          <w:rFonts w:hint="eastAsia" w:ascii="微软雅黑" w:eastAsia="微软雅黑"/>
          <w:sz w:val="72"/>
          <w:szCs w:val="72"/>
        </w:rPr>
        <w:t>四川省阿坝州</w:t>
      </w:r>
      <w:bookmarkStart w:id="13" w:name="_Toc15306268"/>
      <w:r>
        <w:rPr>
          <w:rFonts w:hint="eastAsia" w:ascii="微软雅黑" w:eastAsia="微软雅黑"/>
          <w:sz w:val="72"/>
          <w:szCs w:val="72"/>
        </w:rPr>
        <w:t>小金县</w:t>
      </w:r>
      <w:r>
        <w:rPr>
          <w:rFonts w:hint="eastAsia" w:ascii="微软雅黑" w:eastAsia="微软雅黑"/>
          <w:sz w:val="72"/>
          <w:szCs w:val="72"/>
          <w:lang w:eastAsia="zh-CN"/>
        </w:rPr>
        <w:t>文化广播电视体育和旅游局</w:t>
      </w:r>
      <w:r>
        <w:rPr>
          <w:rFonts w:hint="eastAsia" w:ascii="微软雅黑" w:eastAsia="微软雅黑"/>
          <w:sz w:val="72"/>
          <w:szCs w:val="72"/>
        </w:rPr>
        <w:t>(</w:t>
      </w:r>
      <w:r>
        <w:rPr>
          <w:rFonts w:hint="eastAsia" w:ascii="微软雅黑" w:eastAsia="微软雅黑"/>
          <w:sz w:val="72"/>
          <w:szCs w:val="72"/>
          <w:lang w:eastAsia="zh-CN"/>
        </w:rPr>
        <w:t>汇总</w:t>
      </w:r>
      <w:r>
        <w:rPr>
          <w:rFonts w:hint="eastAsia" w:ascii="微软雅黑" w:eastAsia="微软雅黑"/>
          <w:sz w:val="72"/>
          <w:szCs w:val="72"/>
        </w:rPr>
        <w:t>）</w:t>
      </w:r>
      <w:r>
        <w:rPr>
          <w:rFonts w:hint="eastAsia" w:ascii="微软雅黑" w:eastAsia="微软雅黑"/>
          <w:sz w:val="72"/>
          <w:szCs w:val="72"/>
          <w:lang w:eastAsia="zh-CN"/>
        </w:rPr>
        <w:t>部门</w:t>
      </w:r>
      <w:r>
        <w:rPr>
          <w:rFonts w:hint="eastAsia" w:ascii="微软雅黑" w:eastAsia="微软雅黑"/>
          <w:sz w:val="72"/>
          <w:szCs w:val="72"/>
        </w:rPr>
        <w:t>决算</w:t>
      </w:r>
      <w:bookmarkEnd w:id="8"/>
      <w:bookmarkEnd w:id="9"/>
      <w:bookmarkEnd w:id="10"/>
      <w:bookmarkEnd w:id="11"/>
      <w:bookmarkEnd w:id="12"/>
      <w:bookmarkEnd w:id="13"/>
    </w:p>
    <w:p>
      <w:pPr>
        <w:adjustRightInd w:val="0"/>
        <w:snapToGrid w:val="0"/>
        <w:spacing w:line="360" w:lineRule="auto"/>
        <w:jc w:val="center"/>
        <w:outlineLvl w:val="0"/>
        <w:rPr>
          <w:rFonts w:ascii="微软雅黑" w:hAnsi="宋体" w:eastAsia="微软雅黑"/>
          <w:color w:val="auto"/>
          <w:sz w:val="52"/>
          <w:szCs w:val="52"/>
          <w:highlight w:val="none"/>
        </w:rPr>
      </w:pPr>
      <w:bookmarkStart w:id="14" w:name="_Toc320"/>
      <w:bookmarkStart w:id="15" w:name="_Toc30840"/>
      <w:r>
        <w:rPr>
          <w:rFonts w:hint="eastAsia" w:ascii="微软雅黑" w:hAnsi="宋体" w:eastAsia="微软雅黑"/>
          <w:color w:val="auto"/>
          <w:sz w:val="52"/>
          <w:szCs w:val="52"/>
          <w:highlight w:val="none"/>
        </w:rPr>
        <w:t>(</w:t>
      </w:r>
      <w:r>
        <w:rPr>
          <w:rFonts w:hint="eastAsia" w:ascii="微软雅黑" w:hAnsi="宋体" w:eastAsia="微软雅黑"/>
          <w:color w:val="auto"/>
          <w:sz w:val="52"/>
          <w:szCs w:val="52"/>
          <w:highlight w:val="none"/>
          <w:lang w:eastAsia="zh-CN"/>
        </w:rPr>
        <w:t>部门公开</w:t>
      </w:r>
      <w:r>
        <w:rPr>
          <w:rFonts w:hint="eastAsia" w:ascii="微软雅黑" w:hAnsi="宋体" w:eastAsia="微软雅黑"/>
          <w:color w:val="auto"/>
          <w:sz w:val="52"/>
          <w:szCs w:val="52"/>
          <w:highlight w:val="none"/>
        </w:rPr>
        <w:t>)</w:t>
      </w:r>
      <w:bookmarkEnd w:id="14"/>
      <w:bookmarkEnd w:id="15"/>
    </w:p>
    <w:p>
      <w:pPr>
        <w:widowControl/>
        <w:jc w:val="center"/>
        <w:rPr>
          <w:rFonts w:hint="eastAsia" w:ascii="黑体" w:hAnsi="黑体" w:eastAsia="黑体"/>
          <w:color w:val="auto"/>
          <w:sz w:val="48"/>
          <w:szCs w:val="48"/>
          <w:highlight w:val="none"/>
        </w:rPr>
        <w:sectPr>
          <w:footerReference r:id="rId3" w:type="default"/>
          <w:pgSz w:w="11906" w:h="16838"/>
          <w:pgMar w:top="1440" w:right="1800" w:bottom="1440" w:left="1800" w:header="851" w:footer="992" w:gutter="0"/>
          <w:pgNumType w:start="1"/>
          <w:cols w:space="720" w:num="1"/>
          <w:docGrid w:type="lines" w:linePitch="312" w:charSpace="0"/>
        </w:sectPr>
      </w:pPr>
    </w:p>
    <w:p>
      <w:pPr>
        <w:widowControl/>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pPr>
        <w:widowControl/>
        <w:jc w:val="center"/>
        <w:rPr>
          <w:rFonts w:ascii="黑体" w:hAnsi="黑体" w:eastAsia="黑体" w:cs="Times New Roman"/>
          <w:color w:val="auto"/>
          <w:sz w:val="28"/>
          <w:szCs w:val="28"/>
          <w:highlight w:val="none"/>
        </w:rPr>
      </w:pPr>
    </w:p>
    <w:p>
      <w:pPr>
        <w:pStyle w:val="14"/>
        <w:rPr>
          <w:color w:val="auto"/>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lang w:eastAsia="zh-CN"/>
        </w:rPr>
        <w:t>年10月</w:t>
      </w:r>
      <w:r>
        <w:rPr>
          <w:rFonts w:hint="eastAsia"/>
          <w:color w:val="auto"/>
          <w:highlight w:val="none"/>
          <w:lang w:val="en-US" w:eastAsia="zh-CN"/>
        </w:rPr>
        <w:t>16</w:t>
      </w:r>
      <w:r>
        <w:rPr>
          <w:rFonts w:hint="eastAsia"/>
          <w:color w:val="auto"/>
          <w:highlight w:val="none"/>
          <w:lang w:eastAsia="zh-CN"/>
        </w:rPr>
        <w:t>日</w:t>
      </w:r>
    </w:p>
    <w:p>
      <w:pPr>
        <w:rPr>
          <w:color w:val="auto"/>
          <w:highlight w:val="none"/>
        </w:rPr>
      </w:pPr>
    </w:p>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4"/>
        <w:tabs>
          <w:tab w:val="right" w:leader="dot" w:pos="8306"/>
          <w:tab w:val="clear" w:pos="8296"/>
        </w:tabs>
      </w:pPr>
      <w:r>
        <w:fldChar w:fldCharType="begin"/>
      </w:r>
      <w:r>
        <w:instrText xml:space="preserve">TOC \o "1-2" \h \u </w:instrText>
      </w:r>
      <w:r>
        <w:fldChar w:fldCharType="separate"/>
      </w:r>
      <w:r>
        <w:fldChar w:fldCharType="begin"/>
      </w:r>
      <w:r>
        <w:instrText xml:space="preserve"> HYPERLINK \l _Toc21788 </w:instrText>
      </w:r>
      <w:r>
        <w:fldChar w:fldCharType="separate"/>
      </w:r>
      <w:r>
        <w:rPr>
          <w:rFonts w:hint="eastAsia" w:ascii="微软雅黑" w:hAnsi="微软雅黑" w:eastAsia="微软雅黑" w:cs="微软雅黑"/>
          <w:szCs w:val="72"/>
          <w:highlight w:val="none"/>
          <w:lang w:eastAsia="zh-CN"/>
        </w:rPr>
        <w:t>2025年</w:t>
      </w:r>
      <w:r>
        <w:rPr>
          <w:rFonts w:hint="eastAsia" w:ascii="微软雅黑" w:hAnsi="微软雅黑" w:eastAsia="微软雅黑" w:cs="微软雅黑"/>
          <w:szCs w:val="72"/>
          <w:highlight w:val="none"/>
        </w:rPr>
        <w:t>度</w:t>
      </w:r>
      <w:r>
        <w:tab/>
      </w:r>
      <w:r>
        <w:fldChar w:fldCharType="begin"/>
      </w:r>
      <w:r>
        <w:instrText xml:space="preserve"> PAGEREF _Toc21788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_Toc320 </w:instrText>
      </w:r>
      <w:r>
        <w:fldChar w:fldCharType="separate"/>
      </w:r>
      <w:r>
        <w:rPr>
          <w:rFonts w:hint="eastAsia" w:ascii="微软雅黑" w:hAnsi="宋体" w:eastAsia="微软雅黑"/>
          <w:szCs w:val="52"/>
          <w:highlight w:val="none"/>
        </w:rPr>
        <w:t>(</w:t>
      </w:r>
      <w:r>
        <w:rPr>
          <w:rFonts w:hint="eastAsia" w:ascii="微软雅黑" w:hAnsi="宋体" w:eastAsia="微软雅黑"/>
          <w:szCs w:val="52"/>
          <w:highlight w:val="none"/>
          <w:lang w:eastAsia="zh-CN"/>
        </w:rPr>
        <w:t>部门公开</w:t>
      </w:r>
      <w:r>
        <w:rPr>
          <w:rFonts w:hint="eastAsia" w:ascii="微软雅黑" w:hAnsi="宋体" w:eastAsia="微软雅黑"/>
          <w:szCs w:val="52"/>
          <w:highlight w:val="none"/>
        </w:rPr>
        <w:t>)</w:t>
      </w:r>
      <w:r>
        <w:tab/>
      </w:r>
      <w:r>
        <w:fldChar w:fldCharType="begin"/>
      </w:r>
      <w:r>
        <w:instrText xml:space="preserve"> PAGEREF _Toc320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_Toc14862 </w:instrText>
      </w:r>
      <w:r>
        <w:fldChar w:fldCharType="separate"/>
      </w:r>
      <w:r>
        <w:rPr>
          <w:rFonts w:hint="eastAsia" w:ascii="黑体" w:hAnsi="黑体" w:eastAsia="黑体"/>
          <w:highlight w:val="none"/>
        </w:rPr>
        <w:t xml:space="preserve">第一部分 </w:t>
      </w:r>
      <w:r>
        <w:rPr>
          <w:rFonts w:hint="eastAsia" w:ascii="黑体" w:hAnsi="黑体" w:eastAsia="黑体"/>
          <w:bCs w:val="0"/>
          <w:highlight w:val="none"/>
        </w:rPr>
        <w:t>部门概况</w:t>
      </w:r>
      <w:r>
        <w:tab/>
      </w:r>
      <w:r>
        <w:fldChar w:fldCharType="begin"/>
      </w:r>
      <w:r>
        <w:instrText xml:space="preserve"> PAGEREF _Toc14862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_Toc16415 </w:instrText>
      </w:r>
      <w:r>
        <w:fldChar w:fldCharType="separate"/>
      </w:r>
      <w:r>
        <w:rPr>
          <w:rFonts w:hint="eastAsia" w:ascii="黑体" w:hAnsi="黑体" w:eastAsia="黑体"/>
          <w:lang w:eastAsia="zh-CN"/>
        </w:rPr>
        <w:t xml:space="preserve">一、 </w:t>
      </w:r>
      <w:r>
        <w:rPr>
          <w:rFonts w:hint="eastAsia" w:ascii="黑体" w:hAnsi="黑体" w:eastAsia="黑体"/>
          <w:highlight w:val="none"/>
          <w:lang w:eastAsia="zh-CN"/>
        </w:rPr>
        <w:t>部门职责</w:t>
      </w:r>
      <w:r>
        <w:tab/>
      </w:r>
      <w:r>
        <w:fldChar w:fldCharType="begin"/>
      </w:r>
      <w:r>
        <w:instrText xml:space="preserve"> PAGEREF _Toc16415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_Toc9197 </w:instrText>
      </w:r>
      <w:r>
        <w:fldChar w:fldCharType="separate"/>
      </w:r>
      <w:r>
        <w:rPr>
          <w:rFonts w:hint="eastAsia" w:ascii="仿宋" w:hAnsi="仿宋" w:eastAsia="仿宋"/>
        </w:rPr>
        <w:t>主要职能</w:t>
      </w:r>
      <w:r>
        <w:tab/>
      </w:r>
      <w:r>
        <w:fldChar w:fldCharType="begin"/>
      </w:r>
      <w:r>
        <w:instrText xml:space="preserve"> PAGEREF _Toc9197 \h </w:instrText>
      </w:r>
      <w:r>
        <w:fldChar w:fldCharType="separate"/>
      </w:r>
      <w:r>
        <w:t>1</w:t>
      </w:r>
      <w:r>
        <w:fldChar w:fldCharType="end"/>
      </w:r>
      <w:r>
        <w:fldChar w:fldCharType="end"/>
      </w:r>
    </w:p>
    <w:p>
      <w:pPr>
        <w:pStyle w:val="16"/>
        <w:tabs>
          <w:tab w:val="right" w:leader="dot" w:pos="8306"/>
          <w:tab w:val="clear" w:pos="8296"/>
        </w:tabs>
      </w:pPr>
      <w:r>
        <w:fldChar w:fldCharType="begin"/>
      </w:r>
      <w:r>
        <w:instrText xml:space="preserve"> HYPERLINK \l _Toc16439 </w:instrText>
      </w:r>
      <w:r>
        <w:fldChar w:fldCharType="separate"/>
      </w:r>
      <w:r>
        <w:rPr>
          <w:rFonts w:hint="eastAsia" w:ascii="黑体" w:eastAsia="黑体"/>
          <w:highlight w:val="none"/>
        </w:rPr>
        <w:t>二、</w:t>
      </w:r>
      <w:r>
        <w:rPr>
          <w:rFonts w:hint="eastAsia" w:ascii="黑体" w:hAnsi="黑体" w:eastAsia="黑体"/>
          <w:highlight w:val="none"/>
        </w:rPr>
        <w:t>机</w:t>
      </w:r>
      <w:r>
        <w:rPr>
          <w:rFonts w:hint="eastAsia" w:ascii="黑体" w:hAnsi="黑体" w:eastAsia="黑体"/>
          <w:bCs w:val="0"/>
          <w:highlight w:val="none"/>
        </w:rPr>
        <w:t>构设置</w:t>
      </w:r>
      <w:r>
        <w:tab/>
      </w:r>
      <w:r>
        <w:rPr>
          <w:rFonts w:hint="eastAsia"/>
          <w:lang w:val="en-US" w:eastAsia="zh-CN"/>
        </w:rPr>
        <w:t>4</w:t>
      </w:r>
      <w:r>
        <w:fldChar w:fldCharType="end"/>
      </w:r>
    </w:p>
    <w:p>
      <w:pPr>
        <w:pStyle w:val="14"/>
        <w:tabs>
          <w:tab w:val="right" w:leader="dot" w:pos="8306"/>
          <w:tab w:val="clear" w:pos="8296"/>
        </w:tabs>
      </w:pPr>
      <w:r>
        <w:fldChar w:fldCharType="begin"/>
      </w:r>
      <w:r>
        <w:instrText xml:space="preserve"> HYPERLINK \l _Toc22317 </w:instrText>
      </w:r>
      <w: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rPr>
        <w:t>部门决算情况说明</w:t>
      </w:r>
      <w:r>
        <w:tab/>
      </w:r>
      <w:r>
        <w:fldChar w:fldCharType="begin"/>
      </w:r>
      <w:r>
        <w:instrText xml:space="preserve"> PAGEREF _Toc22317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_Toc17918 </w:instrText>
      </w:r>
      <w:r>
        <w:fldChar w:fldCharType="separate"/>
      </w:r>
      <w:r>
        <w:rPr>
          <w:rFonts w:hint="default" w:ascii="黑体" w:hAnsi="黑体" w:eastAsia="黑体"/>
        </w:rPr>
        <w:t xml:space="preserve">一、 </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fldChar w:fldCharType="begin"/>
      </w:r>
      <w:r>
        <w:instrText xml:space="preserve"> PAGEREF _Toc17918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_Toc23193 </w:instrText>
      </w:r>
      <w:r>
        <w:fldChar w:fldCharType="separate"/>
      </w:r>
      <w:r>
        <w:rPr>
          <w:rFonts w:hint="default" w:ascii="黑体" w:hAnsi="黑体" w:eastAsia="黑体"/>
        </w:rPr>
        <w:t xml:space="preserve">二、 </w:t>
      </w:r>
      <w:r>
        <w:rPr>
          <w:rFonts w:hint="eastAsia" w:ascii="黑体" w:hAnsi="黑体" w:eastAsia="黑体"/>
          <w:szCs w:val="32"/>
          <w:highlight w:val="none"/>
        </w:rPr>
        <w:t>收</w:t>
      </w:r>
      <w:r>
        <w:rPr>
          <w:rFonts w:hint="eastAsia" w:ascii="黑体" w:hAnsi="黑体" w:eastAsia="黑体"/>
          <w:highlight w:val="none"/>
        </w:rPr>
        <w:t>入决算情况说明</w:t>
      </w:r>
      <w:r>
        <w:tab/>
      </w:r>
      <w:r>
        <w:fldChar w:fldCharType="begin"/>
      </w:r>
      <w:r>
        <w:instrText xml:space="preserve"> PAGEREF _Toc23193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_Toc7869 </w:instrText>
      </w:r>
      <w:r>
        <w:fldChar w:fldCharType="separate"/>
      </w:r>
      <w:r>
        <w:rPr>
          <w:rFonts w:hint="default" w:ascii="黑体" w:hAnsi="黑体" w:eastAsia="黑体"/>
        </w:rPr>
        <w:t xml:space="preserve">三、 </w:t>
      </w:r>
      <w:r>
        <w:rPr>
          <w:rFonts w:hint="eastAsia" w:ascii="黑体" w:hAnsi="黑体" w:eastAsia="黑体"/>
          <w:szCs w:val="32"/>
          <w:highlight w:val="none"/>
        </w:rPr>
        <w:t>支</w:t>
      </w:r>
      <w:r>
        <w:rPr>
          <w:rFonts w:hint="eastAsia" w:ascii="黑体" w:hAnsi="黑体" w:eastAsia="黑体"/>
          <w:highlight w:val="none"/>
        </w:rPr>
        <w:t>出决算情况说明</w:t>
      </w:r>
      <w:r>
        <w:tab/>
      </w:r>
      <w:r>
        <w:fldChar w:fldCharType="begin"/>
      </w:r>
      <w:r>
        <w:instrText xml:space="preserve"> PAGEREF _Toc7869 \h </w:instrText>
      </w:r>
      <w:r>
        <w:fldChar w:fldCharType="separate"/>
      </w:r>
      <w:r>
        <w:t>5</w:t>
      </w:r>
      <w:r>
        <w:fldChar w:fldCharType="end"/>
      </w:r>
      <w:r>
        <w:fldChar w:fldCharType="end"/>
      </w:r>
    </w:p>
    <w:p>
      <w:pPr>
        <w:pStyle w:val="16"/>
        <w:tabs>
          <w:tab w:val="right" w:leader="dot" w:pos="8306"/>
          <w:tab w:val="clear" w:pos="8296"/>
        </w:tabs>
      </w:pPr>
      <w:r>
        <w:fldChar w:fldCharType="begin"/>
      </w:r>
      <w:r>
        <w:instrText xml:space="preserve"> HYPERLINK \l _Toc9 </w:instrText>
      </w:r>
      <w:r>
        <w:fldChar w:fldCharType="separate"/>
      </w:r>
      <w:r>
        <w:rPr>
          <w:rFonts w:hint="default" w:ascii="黑体" w:hAnsi="黑体" w:eastAsia="黑体"/>
        </w:rPr>
        <w:t xml:space="preserve">四、 </w:t>
      </w:r>
      <w:r>
        <w:rPr>
          <w:rFonts w:hint="eastAsia" w:ascii="黑体" w:hAnsi="黑体" w:eastAsia="黑体"/>
          <w:szCs w:val="32"/>
          <w:highlight w:val="none"/>
        </w:rPr>
        <w:t>财</w:t>
      </w:r>
      <w:r>
        <w:rPr>
          <w:rFonts w:hint="eastAsia" w:ascii="黑体" w:hAnsi="黑体" w:eastAsia="黑体"/>
          <w:highlight w:val="none"/>
        </w:rPr>
        <w:t>政拨款收入支出决算总体情况说明</w:t>
      </w:r>
      <w:r>
        <w:tab/>
      </w:r>
      <w:r>
        <w:fldChar w:fldCharType="begin"/>
      </w:r>
      <w:r>
        <w:instrText xml:space="preserve"> PAGEREF _Toc9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_Toc17060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fldChar w:fldCharType="begin"/>
      </w:r>
      <w:r>
        <w:instrText xml:space="preserve"> PAGEREF _Toc17060 \h </w:instrText>
      </w:r>
      <w:r>
        <w:fldChar w:fldCharType="separate"/>
      </w:r>
      <w:r>
        <w:t>6</w:t>
      </w:r>
      <w:r>
        <w:fldChar w:fldCharType="end"/>
      </w:r>
      <w:r>
        <w:fldChar w:fldCharType="end"/>
      </w:r>
    </w:p>
    <w:p>
      <w:pPr>
        <w:pStyle w:val="16"/>
        <w:tabs>
          <w:tab w:val="right" w:leader="dot" w:pos="8306"/>
          <w:tab w:val="clear" w:pos="8296"/>
        </w:tabs>
      </w:pPr>
      <w:r>
        <w:fldChar w:fldCharType="begin"/>
      </w:r>
      <w:r>
        <w:instrText xml:space="preserve"> HYPERLINK \l _Toc1425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fldChar w:fldCharType="begin"/>
      </w:r>
      <w:r>
        <w:instrText xml:space="preserve"> PAGEREF _Toc1425 \h </w:instrText>
      </w:r>
      <w:r>
        <w:fldChar w:fldCharType="separate"/>
      </w:r>
      <w:r>
        <w:t>8</w:t>
      </w:r>
      <w:r>
        <w:fldChar w:fldCharType="end"/>
      </w:r>
      <w:r>
        <w:fldChar w:fldCharType="end"/>
      </w:r>
    </w:p>
    <w:p>
      <w:pPr>
        <w:pStyle w:val="16"/>
        <w:tabs>
          <w:tab w:val="right" w:leader="dot" w:pos="8306"/>
          <w:tab w:val="clear" w:pos="8296"/>
        </w:tabs>
      </w:pPr>
      <w:r>
        <w:fldChar w:fldCharType="begin"/>
      </w:r>
      <w:r>
        <w:instrText xml:space="preserve"> HYPERLINK \l _Toc29583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fldChar w:fldCharType="begin"/>
      </w:r>
      <w:r>
        <w:instrText xml:space="preserve"> PAGEREF _Toc29583 \h </w:instrText>
      </w:r>
      <w:r>
        <w:fldChar w:fldCharType="separate"/>
      </w:r>
      <w:r>
        <w:t>9</w:t>
      </w:r>
      <w:r>
        <w:fldChar w:fldCharType="end"/>
      </w:r>
      <w:r>
        <w:fldChar w:fldCharType="end"/>
      </w:r>
    </w:p>
    <w:p>
      <w:pPr>
        <w:pStyle w:val="16"/>
        <w:tabs>
          <w:tab w:val="right" w:leader="dot" w:pos="8306"/>
          <w:tab w:val="clear" w:pos="8296"/>
        </w:tabs>
      </w:pPr>
      <w:r>
        <w:fldChar w:fldCharType="begin"/>
      </w:r>
      <w:r>
        <w:instrText xml:space="preserve"> HYPERLINK \l _Toc30899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fldChar w:fldCharType="begin"/>
      </w:r>
      <w:r>
        <w:instrText xml:space="preserve"> PAGEREF _Toc30899 \h </w:instrText>
      </w:r>
      <w:r>
        <w:fldChar w:fldCharType="separate"/>
      </w:r>
      <w:r>
        <w:t>10</w:t>
      </w:r>
      <w:r>
        <w:fldChar w:fldCharType="end"/>
      </w:r>
      <w:r>
        <w:fldChar w:fldCharType="end"/>
      </w:r>
    </w:p>
    <w:p>
      <w:pPr>
        <w:pStyle w:val="16"/>
        <w:tabs>
          <w:tab w:val="right" w:leader="dot" w:pos="8306"/>
          <w:tab w:val="clear" w:pos="8296"/>
        </w:tabs>
      </w:pPr>
      <w:r>
        <w:fldChar w:fldCharType="begin"/>
      </w:r>
      <w:r>
        <w:instrText xml:space="preserve"> HYPERLINK \l _Toc24990 </w:instrText>
      </w:r>
      <w:r>
        <w:fldChar w:fldCharType="separate"/>
      </w:r>
      <w:r>
        <w:rPr>
          <w:rFonts w:hint="eastAsia" w:ascii="黑体" w:hAnsi="黑体" w:eastAsia="黑体"/>
        </w:rPr>
        <w:t xml:space="preserve">九、 </w:t>
      </w:r>
      <w:r>
        <w:rPr>
          <w:rFonts w:hint="eastAsia" w:ascii="黑体" w:hAnsi="黑体" w:eastAsia="黑体"/>
          <w:highlight w:val="none"/>
        </w:rPr>
        <w:t>国有资本经营预算支出决算情况说明</w:t>
      </w:r>
      <w:r>
        <w:tab/>
      </w:r>
      <w:r>
        <w:fldChar w:fldCharType="begin"/>
      </w:r>
      <w:r>
        <w:instrText xml:space="preserve"> PAGEREF _Toc24990 \h </w:instrText>
      </w:r>
      <w:r>
        <w:fldChar w:fldCharType="separate"/>
      </w:r>
      <w:r>
        <w:t>10</w:t>
      </w:r>
      <w:r>
        <w:fldChar w:fldCharType="end"/>
      </w:r>
      <w:r>
        <w:fldChar w:fldCharType="end"/>
      </w:r>
    </w:p>
    <w:p>
      <w:pPr>
        <w:pStyle w:val="16"/>
        <w:tabs>
          <w:tab w:val="right" w:leader="dot" w:pos="8306"/>
          <w:tab w:val="clear" w:pos="8296"/>
        </w:tabs>
      </w:pPr>
      <w:r>
        <w:fldChar w:fldCharType="begin"/>
      </w:r>
      <w:r>
        <w:instrText xml:space="preserve"> HYPERLINK \l _Toc19655 </w:instrText>
      </w:r>
      <w:r>
        <w:fldChar w:fldCharType="separate"/>
      </w:r>
      <w:r>
        <w:rPr>
          <w:rFonts w:hint="eastAsia" w:ascii="黑体" w:hAnsi="黑体" w:eastAsia="黑体"/>
        </w:rPr>
        <w:t xml:space="preserve">十、 </w:t>
      </w:r>
      <w:r>
        <w:rPr>
          <w:rFonts w:hint="eastAsia" w:ascii="黑体" w:hAnsi="黑体" w:eastAsia="黑体"/>
          <w:highlight w:val="none"/>
        </w:rPr>
        <w:t>其他重要事项的情况说明</w:t>
      </w:r>
      <w:r>
        <w:tab/>
      </w:r>
      <w:r>
        <w:fldChar w:fldCharType="begin"/>
      </w:r>
      <w:r>
        <w:instrText xml:space="preserve"> PAGEREF _Toc19655 \h </w:instrText>
      </w:r>
      <w:r>
        <w:fldChar w:fldCharType="separate"/>
      </w:r>
      <w:r>
        <w:t>11</w:t>
      </w:r>
      <w:r>
        <w:fldChar w:fldCharType="end"/>
      </w:r>
      <w:r>
        <w:fldChar w:fldCharType="end"/>
      </w:r>
    </w:p>
    <w:p>
      <w:pPr>
        <w:pStyle w:val="14"/>
        <w:tabs>
          <w:tab w:val="right" w:leader="dot" w:pos="8306"/>
          <w:tab w:val="clear" w:pos="8296"/>
        </w:tabs>
      </w:pPr>
      <w:r>
        <w:fldChar w:fldCharType="begin"/>
      </w:r>
      <w:r>
        <w:instrText xml:space="preserve"> HYPERLINK \l _Toc11452 </w:instrText>
      </w:r>
      <w:r>
        <w:fldChar w:fldCharType="separate"/>
      </w:r>
      <w:r>
        <w:rPr>
          <w:rFonts w:hint="eastAsia" w:ascii="黑体" w:hAnsi="黑体" w:eastAsia="黑体"/>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_Toc11452 \h </w:instrText>
      </w:r>
      <w:r>
        <w:fldChar w:fldCharType="separate"/>
      </w:r>
      <w:r>
        <w:t>13</w:t>
      </w:r>
      <w:r>
        <w:fldChar w:fldCharType="end"/>
      </w:r>
      <w:r>
        <w:fldChar w:fldCharType="end"/>
      </w:r>
    </w:p>
    <w:p>
      <w:pPr>
        <w:pStyle w:val="14"/>
        <w:tabs>
          <w:tab w:val="right" w:leader="dot" w:pos="8306"/>
          <w:tab w:val="clear" w:pos="8296"/>
        </w:tabs>
      </w:pPr>
      <w:r>
        <w:fldChar w:fldCharType="begin"/>
      </w:r>
      <w:r>
        <w:instrText xml:space="preserve"> HYPERLINK \l _Toc12031 </w:instrText>
      </w:r>
      <w: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fldChar w:fldCharType="begin"/>
      </w:r>
      <w:r>
        <w:instrText xml:space="preserve"> PAGEREF _Toc12031 \h </w:instrText>
      </w:r>
      <w:r>
        <w:fldChar w:fldCharType="separate"/>
      </w:r>
      <w:r>
        <w:t>15</w:t>
      </w:r>
      <w:r>
        <w:fldChar w:fldCharType="end"/>
      </w:r>
      <w:r>
        <w:fldChar w:fldCharType="end"/>
      </w:r>
    </w:p>
    <w:p>
      <w:pPr>
        <w:pStyle w:val="16"/>
        <w:tabs>
          <w:tab w:val="right" w:leader="dot" w:pos="8306"/>
          <w:tab w:val="clear" w:pos="8296"/>
        </w:tabs>
        <w:rPr>
          <w:rFonts w:hint="default" w:ascii="Times New Roman" w:hAnsi="Times New Roman" w:eastAsia="宋体" w:cs="Times New Roman"/>
          <w:b/>
          <w:bCs/>
          <w:lang w:val="en-US" w:eastAsia="zh-CN"/>
        </w:rPr>
      </w:pPr>
      <w:r>
        <w:fldChar w:fldCharType="begin"/>
      </w:r>
      <w:r>
        <w:instrText xml:space="preserve"> HYPERLINK \l _Toc28284 </w:instrText>
      </w:r>
      <w:r>
        <w:fldChar w:fldCharType="separate"/>
      </w:r>
      <w:r>
        <w:rPr>
          <w:rFonts w:hint="eastAsia" w:ascii="Times New Roman" w:hAnsi="Times New Roman" w:eastAsia="宋体" w:cs="Times New Roman"/>
          <w:b/>
          <w:bCs/>
        </w:rPr>
        <w:fldChar w:fldCharType="begin"/>
      </w:r>
      <w:r>
        <w:rPr>
          <w:rFonts w:hint="eastAsia" w:ascii="Times New Roman" w:hAnsi="Times New Roman" w:eastAsia="宋体" w:cs="Times New Roman"/>
          <w:b/>
          <w:bCs/>
        </w:rPr>
        <w:instrText xml:space="preserve"> HYPERLINK \l _Toc26745 </w:instrText>
      </w:r>
      <w:r>
        <w:rPr>
          <w:rFonts w:hint="eastAsia" w:ascii="Times New Roman" w:hAnsi="Times New Roman" w:eastAsia="宋体" w:cs="Times New Roman"/>
          <w:b/>
          <w:bCs/>
        </w:rPr>
        <w:fldChar w:fldCharType="separate"/>
      </w:r>
      <w:r>
        <w:rPr>
          <w:rFonts w:hint="eastAsia" w:ascii="Times New Roman" w:hAnsi="Times New Roman" w:eastAsia="宋体" w:cs="Times New Roman"/>
          <w:b/>
          <w:bCs/>
        </w:rPr>
        <w:t>一、</w:t>
      </w:r>
      <w:r>
        <w:rPr>
          <w:rFonts w:hint="eastAsia" w:cs="Times New Roman"/>
          <w:b/>
          <w:bCs/>
          <w:lang w:val="en-US" w:eastAsia="zh-CN"/>
        </w:rPr>
        <w:t>2025年</w:t>
      </w:r>
      <w:r>
        <w:rPr>
          <w:rFonts w:hint="eastAsia" w:ascii="Times New Roman" w:hAnsi="Times New Roman" w:eastAsia="宋体" w:cs="Times New Roman"/>
          <w:b/>
          <w:bCs/>
          <w:lang w:val="en-US" w:eastAsia="zh-CN"/>
        </w:rPr>
        <w:t>县级部门整体支出绩效评价报告</w:t>
      </w:r>
      <w:r>
        <w:rPr>
          <w:rFonts w:hint="eastAsia" w:cs="Times New Roman"/>
          <w:b/>
          <w:bCs/>
          <w:lang w:val="en-US" w:eastAsia="zh-CN"/>
        </w:rPr>
        <w:t>.</w:t>
      </w:r>
      <w:r>
        <w:rPr>
          <w:rFonts w:hint="eastAsia" w:ascii="Times New Roman" w:hAnsi="Times New Roman" w:eastAsia="宋体" w:cs="Times New Roman"/>
          <w:b/>
          <w:bCs/>
        </w:rPr>
        <w:tab/>
      </w:r>
      <w:r>
        <w:rPr>
          <w:rFonts w:hint="eastAsia" w:ascii="Times New Roman" w:hAnsi="Times New Roman" w:eastAsia="宋体" w:cs="Times New Roman"/>
          <w:b/>
          <w:bCs/>
        </w:rPr>
        <w:fldChar w:fldCharType="end"/>
      </w:r>
      <w:r>
        <w:rPr>
          <w:rFonts w:hint="eastAsia" w:cs="Times New Roman"/>
          <w:b/>
          <w:bCs/>
          <w:lang w:val="en-US" w:eastAsia="zh-CN"/>
        </w:rPr>
        <w:t>15</w:t>
      </w:r>
    </w:p>
    <w:p>
      <w:pPr>
        <w:pStyle w:val="16"/>
        <w:tabs>
          <w:tab w:val="right" w:leader="dot" w:pos="8306"/>
          <w:tab w:val="clear" w:pos="8296"/>
        </w:tabs>
        <w:rPr>
          <w:rFonts w:hint="eastAsia" w:ascii="Times New Roman" w:hAnsi="Times New Roman" w:eastAsia="宋体" w:cs="Times New Roman"/>
          <w:b/>
          <w:bCs/>
          <w:lang w:val="en-US" w:eastAsia="zh-CN"/>
        </w:rPr>
      </w:pPr>
      <w:r>
        <w:rPr>
          <w:rFonts w:hint="eastAsia" w:ascii="Times New Roman" w:hAnsi="Times New Roman" w:eastAsia="宋体" w:cs="Times New Roman"/>
          <w:b/>
          <w:bCs/>
        </w:rPr>
        <w:fldChar w:fldCharType="begin"/>
      </w:r>
      <w:r>
        <w:rPr>
          <w:rFonts w:hint="eastAsia" w:ascii="Times New Roman" w:hAnsi="Times New Roman" w:eastAsia="宋体" w:cs="Times New Roman"/>
          <w:b/>
          <w:bCs/>
        </w:rPr>
        <w:instrText xml:space="preserve"> HYPERLINK \l _Toc26745 </w:instrText>
      </w:r>
      <w:r>
        <w:rPr>
          <w:rFonts w:hint="eastAsia" w:ascii="Times New Roman" w:hAnsi="Times New Roman" w:eastAsia="宋体" w:cs="Times New Roman"/>
          <w:b/>
          <w:bCs/>
        </w:rPr>
        <w:fldChar w:fldCharType="separate"/>
      </w:r>
      <w:r>
        <w:rPr>
          <w:rFonts w:hint="eastAsia" w:ascii="Times New Roman" w:hAnsi="Times New Roman" w:eastAsia="宋体" w:cs="Times New Roman"/>
          <w:b/>
          <w:bCs/>
          <w:lang w:eastAsia="zh-CN"/>
        </w:rPr>
        <w:t>二</w:t>
      </w:r>
      <w:r>
        <w:rPr>
          <w:rFonts w:hint="eastAsia" w:ascii="Times New Roman" w:hAnsi="Times New Roman" w:eastAsia="宋体" w:cs="Times New Roman"/>
          <w:b/>
          <w:bCs/>
        </w:rPr>
        <w:t>、</w:t>
      </w:r>
      <w:r>
        <w:rPr>
          <w:rFonts w:hint="eastAsia" w:ascii="Times New Roman" w:hAnsi="Times New Roman" w:eastAsia="宋体" w:cs="Times New Roman"/>
          <w:b/>
          <w:bCs/>
          <w:lang w:val="en-US" w:eastAsia="zh-CN"/>
        </w:rPr>
        <w:t>专项预算项目绩效评价报告..........................................................................................3</w:t>
      </w:r>
      <w:r>
        <w:rPr>
          <w:rFonts w:hint="eastAsia" w:cs="Times New Roman"/>
          <w:b/>
          <w:bCs/>
          <w:lang w:val="en-US" w:eastAsia="zh-CN"/>
        </w:rPr>
        <w:t>2</w:t>
      </w:r>
    </w:p>
    <w:p>
      <w:pPr>
        <w:pStyle w:val="16"/>
        <w:tabs>
          <w:tab w:val="right" w:leader="dot" w:pos="8306"/>
          <w:tab w:val="clear" w:pos="8296"/>
        </w:tabs>
        <w:ind w:left="0" w:leftChars="0" w:firstLine="0" w:firstLineChars="0"/>
      </w:pPr>
      <w:r>
        <w:rPr>
          <w:rFonts w:hint="eastAsia" w:ascii="Times New Roman" w:hAnsi="Times New Roman" w:eastAsia="宋体" w:cs="Times New Roman"/>
          <w:b/>
          <w:bCs/>
        </w:rPr>
        <w:fldChar w:fldCharType="end"/>
      </w:r>
      <w:r>
        <w:fldChar w:fldCharType="end"/>
      </w:r>
      <w:r>
        <w:fldChar w:fldCharType="begin"/>
      </w:r>
      <w:r>
        <w:instrText xml:space="preserve"> HYPERLINK \l _Toc5925 </w:instrText>
      </w:r>
      <w: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fldChar w:fldCharType="begin"/>
      </w:r>
      <w:r>
        <w:instrText xml:space="preserve"> PAGEREF _Toc5925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_Toc31231 </w:instrText>
      </w:r>
      <w: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fldChar w:fldCharType="begin"/>
      </w:r>
      <w:r>
        <w:instrText xml:space="preserve"> PAGEREF _Toc31231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_Toc17510 </w:instrText>
      </w:r>
      <w: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fldChar w:fldCharType="begin"/>
      </w:r>
      <w:r>
        <w:instrText xml:space="preserve"> PAGEREF _Toc17510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_Toc12289 </w:instrText>
      </w:r>
      <w: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fldChar w:fldCharType="begin"/>
      </w:r>
      <w:r>
        <w:instrText xml:space="preserve"> PAGEREF _Toc12289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_Toc25006 </w:instrText>
      </w:r>
      <w: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fldChar w:fldCharType="begin"/>
      </w:r>
      <w:r>
        <w:instrText xml:space="preserve"> PAGEREF _Toc25006 \h </w:instrText>
      </w:r>
      <w:r>
        <w:fldChar w:fldCharType="separate"/>
      </w:r>
      <w:r>
        <w:t>62</w:t>
      </w:r>
      <w:r>
        <w:fldChar w:fldCharType="end"/>
      </w:r>
      <w:r>
        <w:fldChar w:fldCharType="end"/>
      </w:r>
      <w:bookmarkStart w:id="117" w:name="_GoBack"/>
      <w:bookmarkEnd w:id="117"/>
    </w:p>
    <w:p>
      <w:pPr>
        <w:pStyle w:val="16"/>
        <w:tabs>
          <w:tab w:val="right" w:leader="dot" w:pos="8306"/>
          <w:tab w:val="clear" w:pos="8296"/>
        </w:tabs>
      </w:pPr>
      <w:r>
        <w:fldChar w:fldCharType="begin"/>
      </w:r>
      <w:r>
        <w:instrText xml:space="preserve"> HYPERLINK \l _Toc12379 </w:instrText>
      </w:r>
      <w: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fldChar w:fldCharType="begin"/>
      </w:r>
      <w:r>
        <w:instrText xml:space="preserve"> PAGEREF _Toc12379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_Toc5544 </w:instrText>
      </w:r>
      <w: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fldChar w:fldCharType="begin"/>
      </w:r>
      <w:r>
        <w:instrText xml:space="preserve"> PAGEREF _Toc5544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_Toc15479 </w:instrText>
      </w:r>
      <w: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fldChar w:fldCharType="begin"/>
      </w:r>
      <w:r>
        <w:instrText xml:space="preserve"> PAGEREF _Toc15479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_Toc9172 </w:instrText>
      </w:r>
      <w: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fldChar w:fldCharType="begin"/>
      </w:r>
      <w:r>
        <w:instrText xml:space="preserve"> PAGEREF _Toc9172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_Toc31373 </w:instrText>
      </w:r>
      <w: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fldChar w:fldCharType="begin"/>
      </w:r>
      <w:r>
        <w:instrText xml:space="preserve"> PAGEREF _Toc31373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_Toc12127 </w:instrText>
      </w:r>
      <w: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fldChar w:fldCharType="begin"/>
      </w:r>
      <w:r>
        <w:instrText xml:space="preserve"> PAGEREF _Toc12127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_Toc1955 </w:instrText>
      </w:r>
      <w: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fldChar w:fldCharType="begin"/>
      </w:r>
      <w:r>
        <w:instrText xml:space="preserve"> PAGEREF _Toc1955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_Toc30106 </w:instrText>
      </w:r>
      <w: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fldChar w:fldCharType="begin"/>
      </w:r>
      <w:r>
        <w:instrText xml:space="preserve"> PAGEREF _Toc30106 \h </w:instrText>
      </w:r>
      <w:r>
        <w:fldChar w:fldCharType="separate"/>
      </w:r>
      <w:r>
        <w:t>62</w:t>
      </w:r>
      <w:r>
        <w:fldChar w:fldCharType="end"/>
      </w:r>
      <w:r>
        <w:fldChar w:fldCharType="end"/>
      </w:r>
    </w:p>
    <w:p>
      <w:pPr>
        <w:pStyle w:val="16"/>
        <w:tabs>
          <w:tab w:val="right" w:leader="dot" w:pos="8306"/>
          <w:tab w:val="clear" w:pos="8296"/>
        </w:tabs>
      </w:pPr>
      <w:r>
        <w:fldChar w:fldCharType="begin"/>
      </w:r>
      <w:r>
        <w:instrText xml:space="preserve"> HYPERLINK \l _Toc30368 </w:instrText>
      </w:r>
      <w: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fldChar w:fldCharType="begin"/>
      </w:r>
      <w:r>
        <w:instrText xml:space="preserve"> PAGEREF _Toc30368 \h </w:instrText>
      </w:r>
      <w:r>
        <w:fldChar w:fldCharType="separate"/>
      </w:r>
      <w:r>
        <w:t>62</w:t>
      </w:r>
      <w:r>
        <w:fldChar w:fldCharType="end"/>
      </w:r>
      <w:r>
        <w:fldChar w:fldCharType="end"/>
      </w:r>
    </w:p>
    <w:p>
      <w:pPr>
        <w:rPr>
          <w:b/>
        </w:rPr>
      </w:pPr>
      <w:r>
        <w:fldChar w:fldCharType="end"/>
      </w:r>
    </w:p>
    <w:p>
      <w:pPr>
        <w:rPr>
          <w:b/>
        </w:rPr>
      </w:pPr>
    </w:p>
    <w:p>
      <w:pPr>
        <w:widowControl/>
        <w:adjustRightInd w:val="0"/>
        <w:snapToGrid w:val="0"/>
        <w:spacing w:line="440" w:lineRule="exact"/>
        <w:ind w:firstLine="1320" w:firstLineChars="550"/>
        <w:jc w:val="left"/>
        <w:rPr>
          <w:rFonts w:ascii="仿宋" w:hAnsi="仿宋" w:eastAsia="仿宋"/>
          <w:color w:val="auto"/>
          <w:sz w:val="24"/>
          <w:highlight w:val="none"/>
        </w:rPr>
      </w:pPr>
      <w:r>
        <w:rPr>
          <w:rFonts w:ascii="仿宋" w:hAnsi="仿宋" w:eastAsia="仿宋"/>
          <w:color w:val="auto"/>
          <w:sz w:val="24"/>
          <w:highlight w:val="none"/>
        </w:rPr>
        <w:t>(注：</w:t>
      </w:r>
      <w:r>
        <w:rPr>
          <w:rFonts w:hint="eastAsia" w:ascii="仿宋" w:hAnsi="仿宋" w:eastAsia="仿宋"/>
          <w:color w:val="auto"/>
          <w:sz w:val="24"/>
          <w:highlight w:val="none"/>
        </w:rPr>
        <w:t>请部门根据实际注明页码</w:t>
      </w:r>
      <w:r>
        <w:rPr>
          <w:rFonts w:ascii="仿宋" w:hAnsi="仿宋" w:eastAsia="仿宋"/>
          <w:color w:val="auto"/>
          <w:sz w:val="24"/>
          <w:highlight w:val="none"/>
        </w:rPr>
        <w:t>)</w:t>
      </w:r>
    </w:p>
    <w:p>
      <w:pPr>
        <w:pStyle w:val="3"/>
        <w:jc w:val="center"/>
        <w:outlineLvl w:val="9"/>
        <w:rPr>
          <w:rFonts w:hint="eastAsia" w:ascii="黑体" w:hAnsi="黑体" w:eastAsia="黑体"/>
          <w:b w:val="0"/>
          <w:color w:val="auto"/>
          <w:highlight w:val="none"/>
        </w:rPr>
        <w:sectPr>
          <w:footerReference r:id="rId4" w:type="default"/>
          <w:pgSz w:w="11906" w:h="16838"/>
          <w:pgMar w:top="1440" w:right="1800" w:bottom="1440" w:left="1800" w:header="851" w:footer="992" w:gutter="0"/>
          <w:pgNumType w:start="1"/>
          <w:cols w:space="720" w:num="1"/>
          <w:docGrid w:type="lines" w:linePitch="312" w:charSpace="0"/>
        </w:sectPr>
      </w:pPr>
    </w:p>
    <w:p>
      <w:pPr>
        <w:pageBreakBefore w:val="0"/>
        <w:widowControl/>
        <w:kinsoku/>
        <w:bidi w:val="0"/>
        <w:spacing w:line="500" w:lineRule="exact"/>
        <w:ind w:left="0" w:leftChars="0" w:right="0"/>
        <w:jc w:val="left"/>
        <w:rPr>
          <w:rFonts w:ascii="仿宋" w:hAnsi="仿宋" w:eastAsia="仿宋"/>
          <w:bCs/>
          <w:color w:val="auto"/>
          <w:kern w:val="44"/>
          <w:sz w:val="24"/>
          <w:highlight w:val="none"/>
        </w:rPr>
      </w:pPr>
    </w:p>
    <w:p>
      <w:pPr>
        <w:pStyle w:val="3"/>
        <w:pageBreakBefore w:val="0"/>
        <w:kinsoku/>
        <w:wordWrap/>
        <w:overflowPunct/>
        <w:topLinePunct w:val="0"/>
        <w:autoSpaceDE/>
        <w:autoSpaceDN/>
        <w:bidi w:val="0"/>
        <w:spacing w:before="0" w:after="0" w:line="500" w:lineRule="exact"/>
        <w:ind w:left="0" w:leftChars="0" w:right="0"/>
        <w:jc w:val="center"/>
        <w:textAlignment w:val="auto"/>
        <w:rPr>
          <w:rStyle w:val="23"/>
          <w:rFonts w:ascii="黑体" w:hAnsi="黑体" w:eastAsia="黑体"/>
          <w:b/>
          <w:bCs w:val="0"/>
          <w:color w:val="auto"/>
          <w:highlight w:val="none"/>
        </w:rPr>
      </w:pPr>
      <w:bookmarkStart w:id="16" w:name="_Toc14862"/>
      <w:r>
        <w:rPr>
          <w:rFonts w:hint="eastAsia" w:ascii="黑体" w:hAnsi="黑体" w:eastAsia="黑体"/>
          <w:b w:val="0"/>
          <w:color w:val="auto"/>
          <w:highlight w:val="none"/>
        </w:rPr>
        <w:t xml:space="preserve">第一部分 </w:t>
      </w:r>
      <w:r>
        <w:rPr>
          <w:rStyle w:val="23"/>
          <w:rFonts w:hint="eastAsia" w:ascii="黑体" w:hAnsi="黑体" w:eastAsia="黑体"/>
          <w:b w:val="0"/>
          <w:bCs w:val="0"/>
          <w:color w:val="auto"/>
          <w:highlight w:val="none"/>
        </w:rPr>
        <w:t>部门概况</w:t>
      </w:r>
      <w:bookmarkEnd w:id="16"/>
    </w:p>
    <w:p>
      <w:pPr>
        <w:pageBreakBefore w:val="0"/>
        <w:widowControl/>
        <w:kinsoku/>
        <w:wordWrap/>
        <w:overflowPunct/>
        <w:topLinePunct w:val="0"/>
        <w:autoSpaceDE/>
        <w:autoSpaceDN/>
        <w:bidi w:val="0"/>
        <w:spacing w:line="500" w:lineRule="exact"/>
        <w:ind w:left="0" w:leftChars="0" w:right="0"/>
        <w:jc w:val="left"/>
        <w:textAlignment w:val="auto"/>
        <w:rPr>
          <w:rFonts w:ascii="黑体" w:eastAsia="黑体"/>
          <w:color w:val="auto"/>
          <w:sz w:val="32"/>
          <w:szCs w:val="32"/>
          <w:highlight w:val="none"/>
        </w:rPr>
      </w:pPr>
    </w:p>
    <w:p>
      <w:pPr>
        <w:pStyle w:val="4"/>
        <w:pageBreakBefore w:val="0"/>
        <w:numPr>
          <w:ilvl w:val="0"/>
          <w:numId w:val="0"/>
        </w:numPr>
        <w:kinsoku/>
        <w:wordWrap/>
        <w:overflowPunct/>
        <w:topLinePunct w:val="0"/>
        <w:autoSpaceDE/>
        <w:autoSpaceDN/>
        <w:bidi w:val="0"/>
        <w:spacing w:before="0" w:after="0" w:line="500" w:lineRule="exact"/>
        <w:ind w:left="0" w:leftChars="0" w:right="0" w:firstLine="640" w:firstLineChars="200"/>
        <w:textAlignment w:val="auto"/>
        <w:rPr>
          <w:rFonts w:hint="eastAsia" w:ascii="黑体" w:hAnsi="黑体" w:eastAsia="黑体" w:cs="黑体"/>
          <w:b w:val="0"/>
          <w:bCs w:val="0"/>
          <w:lang w:eastAsia="zh-CN"/>
        </w:rPr>
      </w:pPr>
      <w:bookmarkStart w:id="17" w:name="_Toc16415"/>
      <w:r>
        <w:rPr>
          <w:rFonts w:hint="eastAsia" w:ascii="黑体" w:hAnsi="黑体" w:eastAsia="黑体" w:cs="黑体"/>
          <w:b w:val="0"/>
          <w:bCs w:val="0"/>
          <w:kern w:val="2"/>
          <w:sz w:val="32"/>
          <w:szCs w:val="32"/>
          <w:lang w:val="en-US" w:eastAsia="zh-CN" w:bidi="ar-SA"/>
        </w:rPr>
        <w:t>一、</w:t>
      </w:r>
      <w:r>
        <w:rPr>
          <w:rFonts w:hint="eastAsia" w:ascii="黑体" w:hAnsi="黑体" w:eastAsia="黑体" w:cs="黑体"/>
          <w:b w:val="0"/>
          <w:bCs w:val="0"/>
          <w:lang w:eastAsia="zh-CN"/>
        </w:rPr>
        <w:t>部门职责</w:t>
      </w:r>
      <w:bookmarkEnd w:id="17"/>
    </w:p>
    <w:p>
      <w:pPr>
        <w:pStyle w:val="4"/>
        <w:pageBreakBefore w:val="0"/>
        <w:kinsoku/>
        <w:wordWrap/>
        <w:overflowPunct/>
        <w:topLinePunct w:val="0"/>
        <w:autoSpaceDE/>
        <w:autoSpaceDN/>
        <w:bidi w:val="0"/>
        <w:spacing w:before="0" w:after="0" w:line="500" w:lineRule="exact"/>
        <w:ind w:left="0" w:leftChars="0" w:right="0" w:firstLine="482" w:firstLineChars="150"/>
        <w:textAlignment w:val="auto"/>
        <w:rPr>
          <w:rFonts w:ascii="仿宋" w:hAnsi="仿宋" w:eastAsia="仿宋"/>
          <w:b w:val="0"/>
          <w:bCs w:val="0"/>
        </w:rPr>
      </w:pPr>
      <w:bookmarkStart w:id="18" w:name="_Toc9197"/>
      <w:r>
        <w:rPr>
          <w:rFonts w:hint="eastAsia" w:ascii="仿宋" w:hAnsi="仿宋" w:eastAsia="仿宋"/>
        </w:rPr>
        <w:t>（一）主要职能。</w:t>
      </w:r>
      <w:bookmarkEnd w:id="18"/>
    </w:p>
    <w:p>
      <w:pPr>
        <w:pStyle w:val="17"/>
        <w:keepNext w:val="0"/>
        <w:keepLines w:val="0"/>
        <w:pageBreakBefore w:val="0"/>
        <w:widowControl/>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color w:val="auto"/>
          <w:sz w:val="32"/>
          <w:szCs w:val="32"/>
          <w:highlight w:val="none"/>
        </w:rPr>
      </w:pPr>
      <w:bookmarkStart w:id="19" w:name="_Toc16439"/>
      <w:bookmarkStart w:id="20" w:name="_Toc15377200"/>
      <w:bookmarkStart w:id="21" w:name="_Toc15396601"/>
      <w:r>
        <w:rPr>
          <w:rFonts w:hint="eastAsia" w:ascii="仿宋_GB2312" w:hAnsi="仿宋_GB2312" w:eastAsia="仿宋_GB2312" w:cs="仿宋_GB2312"/>
          <w:color w:val="auto"/>
          <w:sz w:val="32"/>
          <w:szCs w:val="32"/>
          <w:highlight w:val="none"/>
        </w:rPr>
        <w:t>县文</w:t>
      </w:r>
      <w:r>
        <w:rPr>
          <w:rFonts w:hint="eastAsia" w:ascii="仿宋_GB2312" w:hAnsi="仿宋_GB2312" w:eastAsia="仿宋_GB2312" w:cs="仿宋_GB2312"/>
          <w:color w:val="auto"/>
          <w:sz w:val="32"/>
          <w:szCs w:val="32"/>
          <w:highlight w:val="none"/>
          <w:lang w:eastAsia="zh-CN"/>
        </w:rPr>
        <w:t>广</w:t>
      </w:r>
      <w:r>
        <w:rPr>
          <w:rFonts w:hint="eastAsia" w:ascii="仿宋_GB2312" w:hAnsi="仿宋_GB2312" w:eastAsia="仿宋_GB2312" w:cs="仿宋_GB2312"/>
          <w:color w:val="auto"/>
          <w:sz w:val="32"/>
          <w:szCs w:val="32"/>
          <w:highlight w:val="none"/>
        </w:rPr>
        <w:t>体旅局贯彻落实党中央关于文化、体育、旅游工作的方针政策和省委、州委、县委的决策部署，在履行职责的过程中坚持和加强党对文化、体育、旅游、广播电视工作的集中统一领导。主要职责是：</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cs="仿宋_GB2312"/>
          <w:color w:val="auto"/>
          <w:sz w:val="32"/>
          <w:szCs w:val="32"/>
          <w:highlight w:val="none"/>
          <w:lang w:eastAsia="zh-CN"/>
        </w:rPr>
        <w:t>拟定</w:t>
      </w:r>
      <w:r>
        <w:rPr>
          <w:rFonts w:hint="eastAsia" w:ascii="仿宋_GB2312" w:hAnsi="仿宋_GB2312" w:eastAsia="仿宋_GB2312" w:cs="仿宋_GB2312"/>
          <w:color w:val="auto"/>
          <w:sz w:val="32"/>
          <w:szCs w:val="32"/>
          <w:highlight w:val="none"/>
        </w:rPr>
        <w:t>文化、体育和旅游政策措施，负责本部门依法行政工作。推进文化、体育和旅游产业融合发展。</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2.组织实施全县文化、体育和旅游资源的普查、保护与利用；管理全县性重大文化、体育和旅游活动，组织全县重点文化、体育、旅游设施建设。组织实施全县文化、体育和旅游整体形象推广。</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弘扬优秀传统文化，推动本地特色文化传承发展。指导管理文艺事业，把握正确的创作导向，推动文化艺术创作生产，扶持体现社会主义核心价值观、具有导向性代表性示范性的文化艺术作品，推动各门类艺术、各艺术品种发展。负责非物质文化遗产保护工作，推动非物质文化遗产的保护、传承、普及、弘扬和振兴。管理和指导全县文物保护、利用和考古工作，组织开展文物资源调查工作。协调、指导和监督全县文物安全工作，履行文物行政督察职能。负责全县世界文化遗产保护和管理监督工作，协同相关部门组织开展世界文化与自然遗产、历史文化名城（镇、村）申报和监督管理工作。负责全县文物和博物馆公共服务体系建设。</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4.负责公共文化、体育事业发展，推进全县公共文化体育服务体系建设和旅游公共服务建设，深入实施惠民工程，统筹推进文化、体育、旅游基本公共服务标准化、均等化。</w:t>
      </w:r>
    </w:p>
    <w:p>
      <w:pPr>
        <w:keepNext w:val="0"/>
        <w:keepLines w:val="0"/>
        <w:pageBreakBefore w:val="0"/>
        <w:kinsoku/>
        <w:wordWrap/>
        <w:topLinePunct w:val="0"/>
        <w:autoSpaceDE/>
        <w:autoSpaceDN/>
        <w:bidi w:val="0"/>
        <w:spacing w:line="576"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负责文化、体育和旅游行业信息化、标准化建设。推进文化和旅游科技创新。负责全县体育科研、技术攻关和成果推广。</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负责拟订全县群众体育发展规划并组织实施。贯彻落实全民健身计划，建立和完善全民健身服务体系，指导和开展群众性体育活动。负责挖掘、传承、保护全县少数民族传统体育项目。负责拟订青少年（学校）体育工作发展规划并组织实施。负责青少年体育锻炼标准的组织实施，指导各级各类体育学校的建设和青少年业余训练及相关活动。</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推动全县文化、体育和旅游市场发展，对全县文化、体育和旅游市场依法进行行业监管，依法规范文化、体育和旅游市场。推进文化、体育和旅游行业信用体系建设。负责全县旅游景区管理机构、文旅企业的行业管理和标准化建设。</w:t>
      </w:r>
    </w:p>
    <w:p>
      <w:pPr>
        <w:keepNext w:val="0"/>
        <w:keepLines w:val="0"/>
        <w:pageBreakBefore w:val="0"/>
        <w:widowControl/>
        <w:kinsoku/>
        <w:wordWrap/>
        <w:topLinePunct w:val="0"/>
        <w:autoSpaceDE/>
        <w:autoSpaceDN/>
        <w:bidi w:val="0"/>
        <w:spacing w:line="576"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统筹规范文化和体育市场综合行政执法，组织查处全县性、跨区域文化和体育等违法行为。</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负责文化、体育和旅游行业安全生产工作的综合协调与监督管理，制定职责范围内的安全生产年度监督检查计划并组织实施。依法履行行业职业健康监管职责，承担职责范围内生态环境保护、公共机构节能减排、审批服务便民化等工作。</w:t>
      </w:r>
    </w:p>
    <w:p>
      <w:pPr>
        <w:keepNext w:val="0"/>
        <w:keepLines w:val="0"/>
        <w:pageBreakBefore w:val="0"/>
        <w:kinsoku/>
        <w:wordWrap/>
        <w:topLinePunct w:val="0"/>
        <w:autoSpaceDE/>
        <w:autoSpaceDN/>
        <w:bidi w:val="0"/>
        <w:adjustRightInd w:val="0"/>
        <w:snapToGrid w:val="0"/>
        <w:spacing w:line="576"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 拟订全县广播电视事业、广播电视产业发展规划，组织实施公共服务重大公益工程及公益活动，推动产业发展。拟订全县广播电视、网络视听节目服务管理的政策措施，加强广播电视阵地建设。负责利用广播电视加强党和政府的声音传播力，抢占舆论高地，强化舆论反制，巩固意识形态阵地。负责广播电视节目传输覆盖、监测和安全播出的监督管理，指导、推进应急广播体系建设负责对全县各类广播电视机构进行业务指导和行业监管，会同有关部门对网络视听节目服务机构进行管理。</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小金文化软实力，建设体育强县，努力开创文化、体育和旅游工作新局面。</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10.与县科学技术和农业畜牧水务局职责分工。</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会同县科学技术和农业畜牧水务局建立健全协同配合机制，推动乡村旅游工作。县科学技术和农业畜牧水务局负责休闲农业推动工作。</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11.与县综合行政执法局职责分工。</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与县综合行政执法局要做到各司其职、无缝对接。县综合行政执法局负责统一组织、统一指挥、统一协调旅游执法类执法工作。</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负责旅游执法日常监督工作。必要时，</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可以提请县综合行政执法局，以县综合执法机构名义部署开展相关旅游执法工作。</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仿宋_GB2312" w:eastAsia="仿宋_GB2312" w:cs="仿宋_GB2312"/>
          <w:color w:val="auto"/>
          <w:sz w:val="32"/>
          <w:szCs w:val="32"/>
          <w:highlight w:val="none"/>
        </w:rPr>
        <w:t>12.完成县委、县政府交办的其他任务。</w:t>
      </w:r>
    </w:p>
    <w:p>
      <w:pPr>
        <w:pStyle w:val="4"/>
        <w:pageBreakBefore w:val="0"/>
        <w:kinsoku/>
        <w:wordWrap/>
        <w:overflowPunct/>
        <w:topLinePunct w:val="0"/>
        <w:autoSpaceDE/>
        <w:autoSpaceDN/>
        <w:bidi w:val="0"/>
        <w:spacing w:before="0" w:after="0" w:line="500" w:lineRule="exact"/>
        <w:ind w:left="0" w:leftChars="0" w:right="0" w:firstLine="640" w:firstLineChars="200"/>
        <w:textAlignment w:val="auto"/>
        <w:rPr>
          <w:rStyle w:val="24"/>
          <w:b w:val="0"/>
          <w:bCs w:val="0"/>
          <w:color w:val="auto"/>
          <w:highlight w:val="none"/>
        </w:rPr>
      </w:pPr>
      <w:r>
        <w:rPr>
          <w:rFonts w:hint="eastAsia" w:ascii="黑体" w:eastAsia="黑体"/>
          <w:b w:val="0"/>
          <w:color w:val="auto"/>
          <w:highlight w:val="none"/>
        </w:rPr>
        <w:t>二、</w:t>
      </w:r>
      <w:r>
        <w:rPr>
          <w:rFonts w:hint="eastAsia" w:ascii="黑体" w:hAnsi="黑体" w:eastAsia="黑体"/>
          <w:b w:val="0"/>
          <w:color w:val="auto"/>
          <w:highlight w:val="none"/>
        </w:rPr>
        <w:t>机</w:t>
      </w:r>
      <w:r>
        <w:rPr>
          <w:rStyle w:val="24"/>
          <w:rFonts w:hint="eastAsia" w:ascii="黑体" w:hAnsi="黑体" w:eastAsia="黑体"/>
          <w:b w:val="0"/>
          <w:bCs w:val="0"/>
          <w:color w:val="auto"/>
          <w:highlight w:val="none"/>
        </w:rPr>
        <w:t>构设置</w:t>
      </w:r>
      <w:bookmarkEnd w:id="19"/>
      <w:bookmarkEnd w:id="20"/>
      <w:bookmarkEnd w:id="21"/>
    </w:p>
    <w:p>
      <w:pPr>
        <w:keepNext w:val="0"/>
        <w:keepLines w:val="0"/>
        <w:pageBreakBefore w:val="0"/>
        <w:kinsoku/>
        <w:wordWrap/>
        <w:overflowPunct/>
        <w:topLinePunct w:val="0"/>
        <w:autoSpaceDE/>
        <w:autoSpaceDN/>
        <w:bidi w:val="0"/>
        <w:spacing w:line="520" w:lineRule="exact"/>
        <w:ind w:firstLine="640" w:firstLineChars="200"/>
        <w:rPr>
          <w:rFonts w:hint="eastAsia" w:ascii="仿宋_GB2312" w:hAnsi="仿宋" w:eastAsia="仿宋_GB2312"/>
          <w:sz w:val="32"/>
          <w:szCs w:val="32"/>
        </w:rPr>
      </w:pPr>
      <w:bookmarkStart w:id="22" w:name="_Toc15377201"/>
      <w:bookmarkStart w:id="23" w:name="_Toc79163856"/>
      <w:bookmarkStart w:id="24" w:name="_Toc79163606"/>
      <w:bookmarkStart w:id="25" w:name="_Toc15377432"/>
      <w:bookmarkStart w:id="26" w:name="_Toc15378448"/>
      <w:bookmarkStart w:id="27" w:name="_Toc15306275"/>
      <w:r>
        <w:rPr>
          <w:rFonts w:hint="eastAsia" w:ascii="仿宋" w:hAnsi="仿宋" w:eastAsia="仿宋" w:cs="仿宋_GB2312"/>
          <w:sz w:val="32"/>
          <w:szCs w:val="32"/>
          <w:lang w:eastAsia="zh-CN"/>
        </w:rPr>
        <w:t>小金县文广体旅局下属预算单位</w:t>
      </w:r>
      <w:r>
        <w:rPr>
          <w:rFonts w:hint="eastAsia" w:ascii="仿宋" w:hAnsi="仿宋" w:eastAsia="仿宋" w:cs="仿宋_GB2312"/>
          <w:sz w:val="32"/>
          <w:szCs w:val="32"/>
          <w:lang w:val="en-US" w:eastAsia="zh-CN"/>
        </w:rPr>
        <w:t>2个，其中行政单位1个，事业单位1个。</w:t>
      </w:r>
    </w:p>
    <w:p>
      <w:pPr>
        <w:pageBreakBefore w:val="0"/>
        <w:numPr>
          <w:ilvl w:val="0"/>
          <w:numId w:val="0"/>
        </w:numPr>
        <w:kinsoku/>
        <w:bidi w:val="0"/>
        <w:snapToGrid w:val="0"/>
        <w:spacing w:line="500" w:lineRule="exact"/>
        <w:ind w:right="0" w:rightChars="0"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1.小金县文化广播电视体育和旅游局（本级）；</w:t>
      </w:r>
    </w:p>
    <w:p>
      <w:pPr>
        <w:pageBreakBefore w:val="0"/>
        <w:numPr>
          <w:ilvl w:val="0"/>
          <w:numId w:val="0"/>
        </w:numPr>
        <w:kinsoku/>
        <w:bidi w:val="0"/>
        <w:snapToGrid w:val="0"/>
        <w:spacing w:line="500" w:lineRule="exact"/>
        <w:ind w:right="0" w:rightChars="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 xml:space="preserve">    2.小金县文化馆（事业）</w:t>
      </w:r>
    </w:p>
    <w:p>
      <w:pPr>
        <w:pageBreakBefore w:val="0"/>
        <w:kinsoku/>
        <w:bidi w:val="0"/>
        <w:snapToGrid w:val="0"/>
        <w:spacing w:line="500" w:lineRule="exact"/>
        <w:ind w:left="0" w:leftChars="0" w:right="0" w:firstLine="640" w:firstLineChars="200"/>
        <w:rPr>
          <w:rFonts w:ascii="仿宋_GB2312" w:hAnsi="仿宋" w:eastAsia="仿宋_GB2312"/>
          <w:sz w:val="32"/>
          <w:szCs w:val="32"/>
        </w:rPr>
      </w:pPr>
    </w:p>
    <w:bookmarkEnd w:id="22"/>
    <w:bookmarkEnd w:id="23"/>
    <w:bookmarkEnd w:id="24"/>
    <w:bookmarkEnd w:id="25"/>
    <w:bookmarkEnd w:id="26"/>
    <w:bookmarkEnd w:id="27"/>
    <w:p>
      <w:pPr>
        <w:pageBreakBefore w:val="0"/>
        <w:widowControl/>
        <w:kinsoku/>
        <w:bidi w:val="0"/>
        <w:spacing w:line="500" w:lineRule="exact"/>
        <w:ind w:left="0" w:leftChars="0" w:right="0"/>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pPr>
        <w:pStyle w:val="3"/>
        <w:pageBreakBefore w:val="0"/>
        <w:numPr>
          <w:ilvl w:val="0"/>
          <w:numId w:val="1"/>
        </w:numPr>
        <w:kinsoku/>
        <w:bidi w:val="0"/>
        <w:spacing w:before="0" w:after="0" w:line="500" w:lineRule="exact"/>
        <w:ind w:left="0" w:leftChars="0" w:right="0"/>
        <w:jc w:val="center"/>
        <w:rPr>
          <w:rStyle w:val="23"/>
          <w:rFonts w:hint="eastAsia" w:ascii="黑体" w:hAnsi="黑体" w:eastAsia="黑体"/>
          <w:b w:val="0"/>
          <w:bCs/>
          <w:color w:val="auto"/>
          <w:highlight w:val="none"/>
        </w:rPr>
      </w:pPr>
      <w:bookmarkStart w:id="28" w:name="_Toc15377204"/>
      <w:bookmarkStart w:id="29" w:name="_Toc15396602"/>
      <w:bookmarkStart w:id="30" w:name="_Toc22317"/>
      <w:r>
        <w:rPr>
          <w:rFonts w:hint="eastAsia" w:ascii="黑体" w:hAnsi="黑体" w:eastAsia="黑体"/>
          <w:b w:val="0"/>
          <w:bCs/>
          <w:color w:val="auto"/>
          <w:highlight w:val="none"/>
          <w:lang w:val="en-US" w:eastAsia="zh-CN"/>
        </w:rPr>
        <w:t>2025年度</w:t>
      </w:r>
      <w:r>
        <w:rPr>
          <w:rStyle w:val="23"/>
          <w:rFonts w:hint="eastAsia" w:ascii="黑体" w:hAnsi="黑体" w:eastAsia="黑体"/>
          <w:b w:val="0"/>
          <w:bCs/>
          <w:color w:val="auto"/>
          <w:highlight w:val="none"/>
        </w:rPr>
        <w:t>部门决算情况说明</w:t>
      </w:r>
      <w:bookmarkEnd w:id="28"/>
      <w:bookmarkEnd w:id="29"/>
      <w:bookmarkEnd w:id="30"/>
    </w:p>
    <w:p>
      <w:pPr>
        <w:numPr>
          <w:ilvl w:val="0"/>
          <w:numId w:val="0"/>
        </w:numPr>
      </w:pPr>
    </w:p>
    <w:p>
      <w:pPr>
        <w:pStyle w:val="34"/>
        <w:pageBreakBefore w:val="0"/>
        <w:numPr>
          <w:ilvl w:val="0"/>
          <w:numId w:val="0"/>
        </w:numPr>
        <w:kinsoku/>
        <w:bidi w:val="0"/>
        <w:spacing w:line="500" w:lineRule="exact"/>
        <w:ind w:left="1092" w:leftChars="304" w:right="0" w:rightChars="0" w:hanging="454" w:hangingChars="142"/>
        <w:outlineLvl w:val="1"/>
        <w:rPr>
          <w:rStyle w:val="24"/>
          <w:rFonts w:ascii="黑体" w:hAnsi="黑体" w:eastAsia="黑体"/>
          <w:b w:val="0"/>
          <w:color w:val="auto"/>
          <w:highlight w:val="none"/>
        </w:rPr>
      </w:pPr>
      <w:bookmarkStart w:id="31" w:name="_Toc17918"/>
      <w:bookmarkStart w:id="32" w:name="_Toc15396603"/>
      <w:bookmarkStart w:id="33" w:name="_Toc15377205"/>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24"/>
          <w:rFonts w:hint="eastAsia" w:ascii="黑体" w:hAnsi="黑体" w:eastAsia="黑体"/>
          <w:b w:val="0"/>
          <w:color w:val="auto"/>
          <w:highlight w:val="none"/>
        </w:rPr>
        <w:t>入支出决算总体情况说明</w:t>
      </w:r>
      <w:bookmarkEnd w:id="31"/>
      <w:bookmarkEnd w:id="32"/>
      <w:bookmarkEnd w:id="33"/>
    </w:p>
    <w:p>
      <w:pPr>
        <w:pageBreakBefore w:val="0"/>
        <w:widowControl w:val="0"/>
        <w:kinsoku/>
        <w:wordWrap/>
        <w:overflowPunct/>
        <w:topLinePunct w:val="0"/>
        <w:autoSpaceDE/>
        <w:autoSpaceDN/>
        <w:bidi w:val="0"/>
        <w:adjustRightInd/>
        <w:snapToGrid/>
        <w:spacing w:line="500" w:lineRule="exact"/>
        <w:ind w:firstLine="640" w:firstLineChars="200"/>
        <w:textAlignment w:val="auto"/>
        <w:outlineLvl w:val="1"/>
        <w:rPr>
          <w:rFonts w:hint="eastAsia" w:ascii="仿宋" w:hAnsi="仿宋" w:eastAsia="仿宋"/>
          <w:color w:val="auto"/>
          <w:sz w:val="32"/>
          <w:szCs w:val="32"/>
          <w:highlight w:val="none"/>
        </w:rPr>
      </w:pPr>
      <w:bookmarkStart w:id="34" w:name="_Toc31519"/>
      <w:bookmarkStart w:id="35" w:name="_Toc14559"/>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度收入</w:t>
      </w:r>
      <w:r>
        <w:rPr>
          <w:rFonts w:hint="eastAsia" w:ascii="仿宋" w:hAnsi="仿宋" w:eastAsia="仿宋"/>
          <w:color w:val="auto"/>
          <w:sz w:val="32"/>
          <w:szCs w:val="32"/>
          <w:highlight w:val="none"/>
          <w:lang w:val="en-US" w:eastAsia="zh-CN"/>
        </w:rPr>
        <w:t>3199.83万元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bookmarkEnd w:id="34"/>
      <w:bookmarkEnd w:id="35"/>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2960.06</w:t>
      </w:r>
      <w:r>
        <w:rPr>
          <w:rFonts w:hint="eastAsia" w:ascii="仿宋" w:hAnsi="仿宋" w:eastAsia="仿宋"/>
          <w:color w:val="auto"/>
          <w:sz w:val="32"/>
          <w:szCs w:val="32"/>
          <w:highlight w:val="none"/>
          <w:lang w:eastAsia="zh-CN"/>
        </w:rPr>
        <w:t>万元，降幅为</w:t>
      </w:r>
      <w:r>
        <w:rPr>
          <w:rFonts w:hint="eastAsia" w:ascii="仿宋" w:hAnsi="仿宋" w:eastAsia="仿宋"/>
          <w:color w:val="auto"/>
          <w:sz w:val="32"/>
          <w:szCs w:val="32"/>
          <w:highlight w:val="none"/>
          <w:lang w:val="en-US" w:eastAsia="zh-CN"/>
        </w:rPr>
        <w:t>48.05</w:t>
      </w:r>
      <w:r>
        <w:rPr>
          <w:rFonts w:hint="eastAsia" w:ascii="仿宋" w:hAnsi="仿宋" w:eastAsia="仿宋"/>
          <w:color w:val="auto"/>
          <w:sz w:val="32"/>
          <w:szCs w:val="32"/>
          <w:highlight w:val="none"/>
          <w:lang w:eastAsia="zh-CN"/>
        </w:rPr>
        <w:t>%。主要变动原因为：一是人员减少；二是年度项目支出减少。</w:t>
      </w:r>
    </w:p>
    <w:p>
      <w:pPr>
        <w:pageBreakBefore w:val="0"/>
        <w:widowControl w:val="0"/>
        <w:kinsoku/>
        <w:wordWrap/>
        <w:overflowPunct/>
        <w:topLinePunct w:val="0"/>
        <w:autoSpaceDE/>
        <w:autoSpaceDN/>
        <w:bidi w:val="0"/>
        <w:adjustRightInd/>
        <w:snapToGrid/>
        <w:spacing w:line="500" w:lineRule="exact"/>
        <w:ind w:firstLine="420" w:firstLineChars="200"/>
        <w:textAlignment w:val="auto"/>
        <w:outlineLvl w:val="1"/>
        <w:rPr>
          <w:rFonts w:hint="eastAsia" w:ascii="仿宋" w:hAnsi="仿宋" w:eastAsia="仿宋"/>
          <w:color w:val="auto"/>
          <w:sz w:val="32"/>
          <w:szCs w:val="32"/>
          <w:highlight w:val="none"/>
        </w:rPr>
      </w:pPr>
      <w:bookmarkStart w:id="36" w:name="_Toc21230"/>
      <w:bookmarkStart w:id="37" w:name="_Toc10364"/>
      <w:r>
        <w:drawing>
          <wp:anchor distT="0" distB="0" distL="114300" distR="114300" simplePos="0" relativeHeight="251666432" behindDoc="0" locked="0" layoutInCell="1" allowOverlap="1">
            <wp:simplePos x="0" y="0"/>
            <wp:positionH relativeFrom="column">
              <wp:posOffset>347345</wp:posOffset>
            </wp:positionH>
            <wp:positionV relativeFrom="paragraph">
              <wp:posOffset>1056005</wp:posOffset>
            </wp:positionV>
            <wp:extent cx="4130675" cy="1998980"/>
            <wp:effectExtent l="4445" t="4445" r="17780" b="1587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度支出</w:t>
      </w:r>
      <w:r>
        <w:rPr>
          <w:rFonts w:hint="eastAsia" w:ascii="仿宋" w:hAnsi="仿宋" w:eastAsia="仿宋"/>
          <w:color w:val="auto"/>
          <w:sz w:val="32"/>
          <w:szCs w:val="32"/>
          <w:highlight w:val="none"/>
          <w:lang w:val="en-US" w:eastAsia="zh-CN"/>
        </w:rPr>
        <w:t>3199.83万元</w:t>
      </w:r>
      <w:r>
        <w:rPr>
          <w:rFonts w:hint="eastAsia" w:ascii="仿宋" w:hAnsi="仿宋" w:eastAsia="仿宋"/>
          <w:color w:val="auto"/>
          <w:sz w:val="32"/>
          <w:szCs w:val="32"/>
          <w:highlight w:val="none"/>
        </w:rPr>
        <w:t>，</w:t>
      </w:r>
      <w:bookmarkEnd w:id="36"/>
      <w:bookmarkEnd w:id="37"/>
      <w:r>
        <w:rPr>
          <w:rFonts w:hint="eastAsia" w:ascii="仿宋" w:hAnsi="仿宋" w:eastAsia="仿宋"/>
          <w:color w:val="auto"/>
          <w:sz w:val="32"/>
          <w:szCs w:val="32"/>
          <w:highlight w:val="none"/>
          <w:lang w:eastAsia="zh-CN"/>
        </w:rPr>
        <w:t>减少3050.91万元，降幅为51.37%。主要变动原因为：一是人员减少；二是年度项目支出减少。</w:t>
      </w:r>
    </w:p>
    <w:p>
      <w:pPr>
        <w:pageBreakBefore w:val="0"/>
        <w:kinsoku/>
        <w:bidi w:val="0"/>
        <w:spacing w:line="500" w:lineRule="exact"/>
        <w:ind w:left="0" w:leftChars="0" w:right="0" w:firstLine="640" w:firstLineChars="200"/>
        <w:rPr>
          <w:rFonts w:ascii="仿宋_GB2312" w:eastAsia="仿宋_GB2312"/>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34"/>
        <w:pageBreakBefore w:val="0"/>
        <w:numPr>
          <w:ilvl w:val="0"/>
          <w:numId w:val="0"/>
        </w:numPr>
        <w:kinsoku/>
        <w:bidi w:val="0"/>
        <w:spacing w:line="500" w:lineRule="exact"/>
        <w:ind w:left="1092" w:leftChars="304" w:right="0" w:rightChars="0" w:hanging="454" w:hangingChars="142"/>
        <w:outlineLvl w:val="1"/>
        <w:rPr>
          <w:rFonts w:hint="eastAsia" w:ascii="仿宋" w:hAnsi="仿宋" w:eastAsia="仿宋"/>
          <w:color w:val="auto"/>
          <w:sz w:val="32"/>
          <w:szCs w:val="32"/>
          <w:highlight w:val="none"/>
        </w:rPr>
      </w:pPr>
      <w:bookmarkStart w:id="38" w:name="_Toc23193"/>
      <w:bookmarkStart w:id="39" w:name="_Toc15396604"/>
      <w:bookmarkStart w:id="40" w:name="_Toc15377206"/>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24"/>
          <w:rFonts w:hint="eastAsia" w:ascii="黑体" w:hAnsi="黑体" w:eastAsia="黑体"/>
          <w:b w:val="0"/>
          <w:color w:val="auto"/>
          <w:highlight w:val="none"/>
        </w:rPr>
        <w:t>入决算情况说明</w:t>
      </w:r>
      <w:bookmarkEnd w:id="38"/>
      <w:bookmarkEnd w:id="39"/>
      <w:bookmarkEnd w:id="40"/>
      <w:bookmarkStart w:id="41" w:name="_Toc21565"/>
      <w:bookmarkStart w:id="42" w:name="_Toc30786"/>
    </w:p>
    <w:p>
      <w:pPr>
        <w:pStyle w:val="34"/>
        <w:pageBreakBefore w:val="0"/>
        <w:numPr>
          <w:ilvl w:val="0"/>
          <w:numId w:val="0"/>
        </w:numPr>
        <w:kinsoku/>
        <w:bidi w:val="0"/>
        <w:spacing w:line="500" w:lineRule="exact"/>
        <w:ind w:left="-181" w:leftChars="-86" w:right="0" w:rightChars="0" w:firstLine="595" w:firstLineChars="186"/>
        <w:outlineLvl w:val="1"/>
        <w:rPr>
          <w:rFonts w:hint="eastAsia" w:ascii="仿宋" w:hAnsi="仿宋" w:eastAsia="仿宋"/>
          <w:color w:val="auto"/>
          <w:sz w:val="32"/>
          <w:szCs w:val="32"/>
          <w:highlight w:val="none"/>
        </w:rPr>
      </w:pPr>
      <w:r>
        <w:rPr>
          <w:rStyle w:val="24"/>
          <w:rFonts w:hint="eastAsia" w:ascii="黑体" w:hAnsi="黑体" w:eastAsia="黑体"/>
          <w:b w:val="0"/>
          <w:color w:val="auto"/>
          <w:highlight w:val="none"/>
          <w:lang w:val="en-US" w:eastAsia="zh-CN"/>
        </w:rPr>
        <w:t xml:space="preserve"> </w:t>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3199.83万元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rPr>
        <w:t>一般公共预算财政拨款收入，占</w:t>
      </w:r>
      <w:r>
        <w:rPr>
          <w:rFonts w:hint="eastAsia" w:ascii="仿宋" w:hAnsi="仿宋" w:eastAsia="仿宋"/>
          <w:color w:val="auto"/>
          <w:sz w:val="32"/>
          <w:szCs w:val="32"/>
          <w:highlight w:val="none"/>
          <w:lang w:eastAsia="zh-CN"/>
        </w:rPr>
        <w:t>比</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bookmarkEnd w:id="41"/>
      <w:bookmarkEnd w:id="42"/>
    </w:p>
    <w:p>
      <w:pPr>
        <w:pageBreakBefore w:val="0"/>
        <w:kinsoku/>
        <w:bidi w:val="0"/>
        <w:spacing w:line="500" w:lineRule="exact"/>
        <w:ind w:left="0" w:leftChars="0" w:right="0" w:firstLine="420" w:firstLineChars="200"/>
        <w:rPr>
          <w:rFonts w:ascii="仿宋_GB2312" w:eastAsia="仿宋_GB2312"/>
          <w:color w:val="auto"/>
          <w:sz w:val="32"/>
          <w:szCs w:val="32"/>
          <w:highlight w:val="none"/>
        </w:rPr>
      </w:pPr>
      <w:r>
        <w:drawing>
          <wp:anchor distT="0" distB="0" distL="114300" distR="114300" simplePos="0" relativeHeight="251667456" behindDoc="0" locked="0" layoutInCell="1" allowOverlap="1">
            <wp:simplePos x="0" y="0"/>
            <wp:positionH relativeFrom="column">
              <wp:posOffset>292735</wp:posOffset>
            </wp:positionH>
            <wp:positionV relativeFrom="paragraph">
              <wp:posOffset>140335</wp:posOffset>
            </wp:positionV>
            <wp:extent cx="4107815" cy="1870710"/>
            <wp:effectExtent l="4445" t="4445" r="21590" b="1079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olor w:val="auto"/>
          <w:sz w:val="32"/>
          <w:szCs w:val="32"/>
          <w:highlight w:val="none"/>
        </w:rPr>
        <w:t>（图2：收入决算结构图）（饼状图）</w:t>
      </w:r>
    </w:p>
    <w:p>
      <w:pPr>
        <w:pStyle w:val="34"/>
        <w:pageBreakBefore w:val="0"/>
        <w:numPr>
          <w:ilvl w:val="0"/>
          <w:numId w:val="0"/>
        </w:numPr>
        <w:kinsoku/>
        <w:bidi w:val="0"/>
        <w:spacing w:line="500" w:lineRule="exact"/>
        <w:ind w:left="1092" w:leftChars="304" w:right="0" w:rightChars="0" w:hanging="454" w:hangingChars="142"/>
        <w:outlineLvl w:val="1"/>
        <w:rPr>
          <w:rStyle w:val="24"/>
          <w:rFonts w:ascii="黑体" w:hAnsi="黑体" w:eastAsia="黑体"/>
          <w:b w:val="0"/>
          <w:color w:val="auto"/>
          <w:highlight w:val="none"/>
        </w:rPr>
      </w:pPr>
      <w:bookmarkStart w:id="43" w:name="_Toc15377207"/>
      <w:bookmarkStart w:id="44" w:name="_Toc7869"/>
      <w:bookmarkStart w:id="45" w:name="_Toc15396605"/>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24"/>
          <w:rFonts w:hint="eastAsia" w:ascii="黑体" w:hAnsi="黑体" w:eastAsia="黑体"/>
          <w:b w:val="0"/>
          <w:color w:val="auto"/>
          <w:highlight w:val="none"/>
        </w:rPr>
        <w:t>出决算情况说明</w:t>
      </w:r>
      <w:bookmarkEnd w:id="43"/>
      <w:bookmarkEnd w:id="44"/>
      <w:bookmarkEnd w:id="45"/>
    </w:p>
    <w:p>
      <w:pPr>
        <w:pageBreakBefore w:val="0"/>
        <w:kinsoku/>
        <w:bidi w:val="0"/>
        <w:spacing w:line="500" w:lineRule="exact"/>
        <w:ind w:left="0" w:leftChars="0" w:right="0" w:firstLine="640" w:firstLineChars="200"/>
        <w:outlineLvl w:val="1"/>
        <w:rPr>
          <w:rFonts w:hint="eastAsia" w:ascii="仿宋" w:hAnsi="仿宋" w:eastAsia="仿宋"/>
          <w:color w:val="auto"/>
          <w:sz w:val="32"/>
          <w:szCs w:val="32"/>
          <w:highlight w:val="none"/>
          <w:shd w:val="pct10" w:color="auto" w:fill="FFFFFF"/>
          <w:lang w:val="en-US" w:eastAsia="zh-CN"/>
        </w:rPr>
      </w:pPr>
      <w:bookmarkStart w:id="46" w:name="_Toc5274"/>
      <w:bookmarkStart w:id="47" w:name="_Toc21001"/>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3199.83万元</w:t>
      </w:r>
      <w:r>
        <w:rPr>
          <w:rFonts w:hint="eastAsia" w:ascii="仿宋" w:hAnsi="仿宋" w:eastAsia="仿宋"/>
          <w:color w:val="auto"/>
          <w:sz w:val="32"/>
          <w:szCs w:val="32"/>
          <w:highlight w:val="none"/>
        </w:rPr>
        <w:t>，其中：基本支出</w:t>
      </w:r>
      <w:r>
        <w:rPr>
          <w:rFonts w:hint="eastAsia" w:ascii="仿宋" w:hAnsi="仿宋" w:eastAsia="仿宋"/>
          <w:color w:val="auto"/>
          <w:sz w:val="32"/>
          <w:szCs w:val="32"/>
          <w:highlight w:val="none"/>
          <w:lang w:val="en-US" w:eastAsia="zh-CN"/>
        </w:rPr>
        <w:t>681.97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21.31</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2517.85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78.68</w:t>
      </w:r>
      <w:r>
        <w:rPr>
          <w:rFonts w:ascii="仿宋" w:hAnsi="仿宋" w:eastAsia="仿宋"/>
          <w:color w:val="auto"/>
          <w:sz w:val="32"/>
          <w:szCs w:val="32"/>
          <w:highlight w:val="none"/>
        </w:rPr>
        <w:t>%</w:t>
      </w:r>
      <w:bookmarkEnd w:id="46"/>
      <w:bookmarkEnd w:id="47"/>
      <w:r>
        <w:rPr>
          <w:rFonts w:hint="eastAsia" w:ascii="仿宋" w:hAnsi="仿宋" w:eastAsia="仿宋"/>
          <w:color w:val="auto"/>
          <w:sz w:val="32"/>
          <w:szCs w:val="32"/>
          <w:highlight w:val="none"/>
          <w:lang w:eastAsia="zh-CN"/>
        </w:rPr>
        <w:t>。</w:t>
      </w:r>
    </w:p>
    <w:p>
      <w:pPr>
        <w:pageBreakBefore w:val="0"/>
        <w:kinsoku/>
        <w:bidi w:val="0"/>
        <w:spacing w:line="500" w:lineRule="exact"/>
        <w:ind w:left="0" w:leftChars="0" w:right="0" w:firstLine="420" w:firstLineChars="200"/>
        <w:rPr>
          <w:rFonts w:ascii="仿宋_GB2312" w:eastAsia="仿宋_GB2312"/>
          <w:color w:val="auto"/>
          <w:sz w:val="32"/>
          <w:szCs w:val="32"/>
          <w:highlight w:val="none"/>
        </w:rPr>
      </w:pPr>
      <w:r>
        <w:drawing>
          <wp:anchor distT="0" distB="0" distL="114300" distR="114300" simplePos="0" relativeHeight="251668480" behindDoc="0" locked="0" layoutInCell="1" allowOverlap="1">
            <wp:simplePos x="0" y="0"/>
            <wp:positionH relativeFrom="column">
              <wp:posOffset>69215</wp:posOffset>
            </wp:positionH>
            <wp:positionV relativeFrom="paragraph">
              <wp:posOffset>120650</wp:posOffset>
            </wp:positionV>
            <wp:extent cx="4572000" cy="2474595"/>
            <wp:effectExtent l="4445" t="4445" r="14605" b="16510"/>
            <wp:wrapTopAndBottom/>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auto"/>
          <w:sz w:val="32"/>
          <w:szCs w:val="32"/>
          <w:highlight w:val="none"/>
        </w:rPr>
        <w:t>（图3：支出决算结构图）（饼状图）</w:t>
      </w:r>
    </w:p>
    <w:p>
      <w:pPr>
        <w:pageBreakBefore w:val="0"/>
        <w:numPr>
          <w:ilvl w:val="0"/>
          <w:numId w:val="0"/>
        </w:numPr>
        <w:kinsoku/>
        <w:bidi w:val="0"/>
        <w:spacing w:line="500" w:lineRule="exact"/>
        <w:ind w:left="1093" w:leftChars="152" w:right="0" w:rightChars="0" w:hanging="774" w:hangingChars="242"/>
        <w:outlineLvl w:val="1"/>
        <w:rPr>
          <w:rStyle w:val="24"/>
          <w:rFonts w:hint="eastAsia" w:ascii="黑体" w:hAnsi="黑体" w:eastAsia="黑体"/>
          <w:b w:val="0"/>
          <w:color w:val="auto"/>
          <w:highlight w:val="none"/>
        </w:rPr>
      </w:pPr>
      <w:bookmarkStart w:id="48" w:name="_Toc9"/>
      <w:bookmarkStart w:id="49" w:name="_Toc15377208"/>
      <w:bookmarkStart w:id="50" w:name="_Toc15396606"/>
      <w:r>
        <w:rPr>
          <w:rFonts w:hint="eastAsia" w:ascii="黑体" w:hAnsi="黑体" w:eastAsia="黑体"/>
          <w:color w:val="auto"/>
          <w:sz w:val="32"/>
          <w:szCs w:val="32"/>
          <w:highlight w:val="none"/>
          <w:lang w:eastAsia="zh-CN"/>
        </w:rPr>
        <w:t>四、</w:t>
      </w:r>
      <w:r>
        <w:rPr>
          <w:rFonts w:hint="eastAsia" w:ascii="黑体" w:hAnsi="黑体" w:eastAsia="黑体"/>
          <w:color w:val="auto"/>
          <w:sz w:val="32"/>
          <w:szCs w:val="32"/>
          <w:highlight w:val="none"/>
        </w:rPr>
        <w:t>财</w:t>
      </w:r>
      <w:r>
        <w:rPr>
          <w:rStyle w:val="24"/>
          <w:rFonts w:hint="eastAsia" w:ascii="黑体" w:hAnsi="黑体" w:eastAsia="黑体"/>
          <w:b w:val="0"/>
          <w:color w:val="auto"/>
          <w:highlight w:val="none"/>
        </w:rPr>
        <w:t>政拨款收入支出决算总体情况说明</w:t>
      </w:r>
      <w:bookmarkEnd w:id="48"/>
      <w:bookmarkEnd w:id="49"/>
      <w:bookmarkEnd w:id="50"/>
    </w:p>
    <w:p>
      <w:pPr>
        <w:pageBreakBefore w:val="0"/>
        <w:widowControl w:val="0"/>
        <w:kinsoku/>
        <w:wordWrap/>
        <w:overflowPunct/>
        <w:topLinePunct w:val="0"/>
        <w:autoSpaceDE/>
        <w:autoSpaceDN/>
        <w:bidi w:val="0"/>
        <w:adjustRightInd/>
        <w:snapToGrid/>
        <w:spacing w:line="500" w:lineRule="exact"/>
        <w:ind w:firstLine="640" w:firstLineChars="200"/>
        <w:textAlignment w:val="auto"/>
        <w:outlineLvl w:val="1"/>
        <w:rPr>
          <w:rFonts w:hint="eastAsia" w:ascii="仿宋" w:hAnsi="仿宋" w:eastAsia="仿宋"/>
          <w:color w:val="auto"/>
          <w:sz w:val="32"/>
          <w:szCs w:val="32"/>
          <w:highlight w:val="none"/>
        </w:rPr>
      </w:pPr>
      <w:bookmarkStart w:id="51" w:name="_Toc31702"/>
      <w:r>
        <w:rPr>
          <w:rStyle w:val="19"/>
          <w:rFonts w:hint="eastAsia" w:ascii="仿宋_GB2312" w:hAnsi="仿宋_GB2312" w:eastAsia="仿宋_GB2312" w:cs="仿宋_GB2312"/>
          <w:b w:val="0"/>
          <w:kern w:val="0"/>
          <w:sz w:val="32"/>
          <w:szCs w:val="32"/>
          <w:shd w:val="clear" w:color="auto" w:fill="FFFFFF"/>
          <w:lang w:val="en-US" w:eastAsia="zh-CN" w:bidi="ar-SA"/>
        </w:rPr>
        <w:t>2025年度财政拨款收入3199.83万元，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2948.76</w:t>
      </w:r>
      <w:r>
        <w:rPr>
          <w:rFonts w:hint="eastAsia" w:ascii="仿宋" w:hAnsi="仿宋" w:eastAsia="仿宋"/>
          <w:color w:val="auto"/>
          <w:sz w:val="32"/>
          <w:szCs w:val="32"/>
          <w:highlight w:val="none"/>
          <w:lang w:eastAsia="zh-CN"/>
        </w:rPr>
        <w:t>万元，降幅为</w:t>
      </w:r>
      <w:r>
        <w:rPr>
          <w:rFonts w:hint="eastAsia" w:ascii="仿宋" w:hAnsi="仿宋" w:eastAsia="仿宋"/>
          <w:color w:val="auto"/>
          <w:sz w:val="32"/>
          <w:szCs w:val="32"/>
          <w:highlight w:val="none"/>
          <w:lang w:val="en-US" w:eastAsia="zh-CN"/>
        </w:rPr>
        <w:t>47.96</w:t>
      </w:r>
      <w:r>
        <w:rPr>
          <w:rFonts w:hint="eastAsia" w:ascii="仿宋" w:hAnsi="仿宋" w:eastAsia="仿宋"/>
          <w:color w:val="auto"/>
          <w:sz w:val="32"/>
          <w:szCs w:val="32"/>
          <w:highlight w:val="none"/>
          <w:lang w:eastAsia="zh-CN"/>
        </w:rPr>
        <w:t>%。主要变动原因为：一是人员减少；二是年度项目支出减少。</w:t>
      </w:r>
    </w:p>
    <w:bookmarkEnd w:id="51"/>
    <w:p>
      <w:pPr>
        <w:pageBreakBefore w:val="0"/>
        <w:widowControl w:val="0"/>
        <w:kinsoku/>
        <w:wordWrap/>
        <w:overflowPunct/>
        <w:topLinePunct w:val="0"/>
        <w:autoSpaceDE/>
        <w:autoSpaceDN/>
        <w:bidi w:val="0"/>
        <w:adjustRightInd/>
        <w:snapToGrid/>
        <w:spacing w:line="500" w:lineRule="exact"/>
        <w:ind w:firstLine="420" w:firstLineChars="200"/>
        <w:textAlignment w:val="auto"/>
        <w:outlineLvl w:val="1"/>
        <w:rPr>
          <w:rFonts w:hint="default"/>
          <w:lang w:val="en-US" w:eastAsia="zh-CN"/>
        </w:rPr>
      </w:pPr>
      <w:bookmarkStart w:id="52" w:name="_Toc7826"/>
      <w:r>
        <w:drawing>
          <wp:anchor distT="0" distB="0" distL="114300" distR="114300" simplePos="0" relativeHeight="251669504" behindDoc="0" locked="0" layoutInCell="1" allowOverlap="1">
            <wp:simplePos x="0" y="0"/>
            <wp:positionH relativeFrom="column">
              <wp:posOffset>86360</wp:posOffset>
            </wp:positionH>
            <wp:positionV relativeFrom="paragraph">
              <wp:posOffset>986790</wp:posOffset>
            </wp:positionV>
            <wp:extent cx="5193030" cy="2050415"/>
            <wp:effectExtent l="4445" t="4445" r="22225" b="2159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Style w:val="19"/>
          <w:rFonts w:hint="eastAsia" w:ascii="仿宋_GB2312" w:hAnsi="仿宋_GB2312" w:eastAsia="仿宋_GB2312" w:cs="仿宋_GB2312"/>
          <w:b w:val="0"/>
          <w:sz w:val="32"/>
          <w:szCs w:val="32"/>
          <w:shd w:val="clear" w:color="auto" w:fill="FFFFFF"/>
          <w:lang w:eastAsia="zh-CN"/>
        </w:rPr>
        <w:t>2025年</w:t>
      </w:r>
      <w:r>
        <w:rPr>
          <w:rStyle w:val="19"/>
          <w:rFonts w:hint="eastAsia" w:ascii="仿宋_GB2312" w:hAnsi="仿宋_GB2312" w:eastAsia="仿宋_GB2312" w:cs="仿宋_GB2312"/>
          <w:b w:val="0"/>
          <w:sz w:val="32"/>
          <w:szCs w:val="32"/>
          <w:shd w:val="clear" w:color="auto" w:fill="FFFFFF"/>
        </w:rPr>
        <w:t>度</w:t>
      </w:r>
      <w:r>
        <w:rPr>
          <w:rFonts w:hint="eastAsia" w:ascii="仿宋" w:hAnsi="仿宋" w:eastAsia="仿宋"/>
          <w:sz w:val="32"/>
          <w:szCs w:val="32"/>
        </w:rPr>
        <w:t>财政拨款</w:t>
      </w:r>
      <w:r>
        <w:rPr>
          <w:rStyle w:val="19"/>
          <w:rFonts w:hint="eastAsia" w:ascii="仿宋_GB2312" w:hAnsi="仿宋_GB2312" w:eastAsia="仿宋_GB2312" w:cs="仿宋_GB2312"/>
          <w:b w:val="0"/>
          <w:sz w:val="32"/>
          <w:szCs w:val="32"/>
          <w:shd w:val="clear" w:color="auto" w:fill="FFFFFF"/>
        </w:rPr>
        <w:t>支出</w:t>
      </w:r>
      <w:r>
        <w:rPr>
          <w:rStyle w:val="19"/>
          <w:rFonts w:hint="eastAsia" w:ascii="仿宋_GB2312" w:hAnsi="仿宋_GB2312" w:eastAsia="仿宋_GB2312" w:cs="仿宋_GB2312"/>
          <w:b w:val="0"/>
          <w:kern w:val="0"/>
          <w:sz w:val="32"/>
          <w:szCs w:val="32"/>
          <w:shd w:val="clear" w:color="auto" w:fill="FFFFFF"/>
          <w:lang w:val="en-US" w:eastAsia="zh-CN" w:bidi="ar-SA"/>
        </w:rPr>
        <w:t>3199.83万元，</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2948.76</w:t>
      </w:r>
      <w:r>
        <w:rPr>
          <w:rFonts w:hint="eastAsia" w:ascii="仿宋" w:hAnsi="仿宋" w:eastAsia="仿宋"/>
          <w:color w:val="auto"/>
          <w:sz w:val="32"/>
          <w:szCs w:val="32"/>
          <w:highlight w:val="none"/>
          <w:lang w:eastAsia="zh-CN"/>
        </w:rPr>
        <w:t>万元，降幅为</w:t>
      </w:r>
      <w:r>
        <w:rPr>
          <w:rFonts w:hint="eastAsia" w:ascii="仿宋" w:hAnsi="仿宋" w:eastAsia="仿宋"/>
          <w:color w:val="auto"/>
          <w:sz w:val="32"/>
          <w:szCs w:val="32"/>
          <w:highlight w:val="none"/>
          <w:lang w:val="en-US" w:eastAsia="zh-CN"/>
        </w:rPr>
        <w:t>47.96</w:t>
      </w:r>
      <w:r>
        <w:rPr>
          <w:rFonts w:hint="eastAsia" w:ascii="仿宋" w:hAnsi="仿宋" w:eastAsia="仿宋"/>
          <w:color w:val="auto"/>
          <w:sz w:val="32"/>
          <w:szCs w:val="32"/>
          <w:highlight w:val="none"/>
          <w:lang w:eastAsia="zh-CN"/>
        </w:rPr>
        <w:t>%。主要变动原因为：一是人员减少；二是年度项目支出减少。</w:t>
      </w:r>
      <w:bookmarkEnd w:id="52"/>
    </w:p>
    <w:p>
      <w:pPr>
        <w:pageBreakBefore w:val="0"/>
        <w:kinsoku/>
        <w:bidi w:val="0"/>
        <w:spacing w:line="500" w:lineRule="exact"/>
        <w:ind w:left="0" w:leftChars="0" w:right="0"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rPr>
        <w:t>（图4：财政拨款收、支决算总计变动情况）（柱状图）</w:t>
      </w:r>
    </w:p>
    <w:p>
      <w:pPr>
        <w:pageBreakBefore w:val="0"/>
        <w:kinsoku/>
        <w:bidi w:val="0"/>
        <w:spacing w:line="500" w:lineRule="exact"/>
        <w:ind w:left="0" w:leftChars="0" w:right="0" w:firstLine="640" w:firstLineChars="200"/>
        <w:outlineLvl w:val="1"/>
        <w:rPr>
          <w:rStyle w:val="24"/>
          <w:rFonts w:ascii="黑体" w:hAnsi="黑体" w:eastAsia="黑体"/>
          <w:b w:val="0"/>
          <w:color w:val="auto"/>
          <w:highlight w:val="none"/>
        </w:rPr>
      </w:pPr>
      <w:bookmarkStart w:id="53" w:name="_Toc17060"/>
      <w:bookmarkStart w:id="54" w:name="_Toc15377209"/>
      <w:bookmarkStart w:id="55"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般公共预算财政拨款支出决算情况说明</w:t>
      </w:r>
      <w:bookmarkEnd w:id="53"/>
      <w:bookmarkEnd w:id="54"/>
      <w:bookmarkEnd w:id="55"/>
    </w:p>
    <w:p>
      <w:pPr>
        <w:pageBreakBefore w:val="0"/>
        <w:kinsoku/>
        <w:bidi w:val="0"/>
        <w:spacing w:line="500" w:lineRule="exact"/>
        <w:ind w:left="0" w:leftChars="0" w:right="0" w:firstLine="643" w:firstLineChars="200"/>
        <w:outlineLvl w:val="2"/>
        <w:rPr>
          <w:rFonts w:ascii="仿宋" w:hAnsi="仿宋" w:eastAsia="仿宋"/>
          <w:b/>
          <w:color w:val="auto"/>
          <w:sz w:val="32"/>
          <w:szCs w:val="32"/>
          <w:highlight w:val="none"/>
        </w:rPr>
      </w:pPr>
      <w:bookmarkStart w:id="56" w:name="_Toc15377210"/>
      <w:r>
        <w:rPr>
          <w:rFonts w:hint="eastAsia" w:ascii="仿宋" w:hAnsi="仿宋" w:eastAsia="仿宋"/>
          <w:b/>
          <w:color w:val="auto"/>
          <w:sz w:val="32"/>
          <w:szCs w:val="32"/>
          <w:highlight w:val="none"/>
        </w:rPr>
        <w:t>（一）一般公共预算财政拨款支出决算总体情况</w:t>
      </w:r>
      <w:bookmarkEnd w:id="56"/>
    </w:p>
    <w:p>
      <w:pPr>
        <w:pageBreakBefore w:val="0"/>
        <w:widowControl w:val="0"/>
        <w:kinsoku/>
        <w:wordWrap/>
        <w:overflowPunct/>
        <w:topLinePunct w:val="0"/>
        <w:autoSpaceDE/>
        <w:autoSpaceDN/>
        <w:bidi w:val="0"/>
        <w:adjustRightInd/>
        <w:snapToGrid/>
        <w:spacing w:line="500" w:lineRule="exact"/>
        <w:ind w:firstLine="640" w:firstLineChars="200"/>
        <w:textAlignment w:val="auto"/>
        <w:outlineLvl w:val="1"/>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3199.83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2024年</w:t>
      </w:r>
      <w:r>
        <w:rPr>
          <w:rFonts w:hint="eastAsia" w:ascii="仿宋" w:hAnsi="仿宋" w:eastAsia="仿宋"/>
          <w:color w:val="auto"/>
          <w:sz w:val="32"/>
          <w:szCs w:val="32"/>
          <w:highlight w:val="none"/>
        </w:rPr>
        <w:t>相比</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2948.76</w:t>
      </w:r>
      <w:r>
        <w:rPr>
          <w:rFonts w:hint="eastAsia" w:ascii="仿宋" w:hAnsi="仿宋" w:eastAsia="仿宋"/>
          <w:color w:val="auto"/>
          <w:sz w:val="32"/>
          <w:szCs w:val="32"/>
          <w:highlight w:val="none"/>
          <w:lang w:eastAsia="zh-CN"/>
        </w:rPr>
        <w:t>万元，降幅为</w:t>
      </w:r>
      <w:r>
        <w:rPr>
          <w:rFonts w:hint="eastAsia" w:ascii="仿宋" w:hAnsi="仿宋" w:eastAsia="仿宋"/>
          <w:color w:val="auto"/>
          <w:sz w:val="32"/>
          <w:szCs w:val="32"/>
          <w:highlight w:val="none"/>
          <w:lang w:val="en-US" w:eastAsia="zh-CN"/>
        </w:rPr>
        <w:t>47.96</w:t>
      </w:r>
      <w:r>
        <w:rPr>
          <w:rFonts w:hint="eastAsia" w:ascii="仿宋" w:hAnsi="仿宋" w:eastAsia="仿宋"/>
          <w:color w:val="auto"/>
          <w:sz w:val="32"/>
          <w:szCs w:val="32"/>
          <w:highlight w:val="none"/>
          <w:lang w:eastAsia="zh-CN"/>
        </w:rPr>
        <w:t>%。主要变动原因为：一是人员减少；二是年度项目支出减少。</w:t>
      </w:r>
    </w:p>
    <w:p>
      <w:pPr>
        <w:pageBreakBefore w:val="0"/>
        <w:kinsoku/>
        <w:bidi w:val="0"/>
        <w:spacing w:line="500" w:lineRule="exact"/>
        <w:ind w:left="0" w:leftChars="0" w:right="0" w:firstLine="420" w:firstLineChars="200"/>
        <w:rPr>
          <w:rFonts w:ascii="仿宋" w:hAnsi="仿宋" w:eastAsia="仿宋"/>
          <w:color w:val="auto"/>
          <w:sz w:val="32"/>
          <w:szCs w:val="32"/>
          <w:highlight w:val="none"/>
        </w:rPr>
      </w:pPr>
      <w:r>
        <w:drawing>
          <wp:anchor distT="0" distB="0" distL="114300" distR="114300" simplePos="0" relativeHeight="251670528" behindDoc="0" locked="0" layoutInCell="1" allowOverlap="1">
            <wp:simplePos x="0" y="0"/>
            <wp:positionH relativeFrom="column">
              <wp:posOffset>85725</wp:posOffset>
            </wp:positionH>
            <wp:positionV relativeFrom="paragraph">
              <wp:posOffset>112395</wp:posOffset>
            </wp:positionV>
            <wp:extent cx="4572000" cy="2486660"/>
            <wp:effectExtent l="4445" t="4445" r="14605" b="23495"/>
            <wp:wrapTopAndBottom/>
            <wp:docPr id="1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color w:val="auto"/>
          <w:sz w:val="32"/>
          <w:szCs w:val="32"/>
          <w:highlight w:val="none"/>
        </w:rPr>
        <w:t>（图5：一般公共预算财政拨款支出决算变动情况）（柱状图）</w:t>
      </w:r>
    </w:p>
    <w:p>
      <w:pPr>
        <w:pageBreakBefore w:val="0"/>
        <w:kinsoku/>
        <w:bidi w:val="0"/>
        <w:spacing w:line="500" w:lineRule="exact"/>
        <w:ind w:left="0" w:leftChars="0" w:right="0" w:firstLine="643" w:firstLineChars="200"/>
        <w:outlineLvl w:val="2"/>
        <w:rPr>
          <w:rFonts w:ascii="仿宋" w:hAnsi="仿宋" w:eastAsia="仿宋"/>
          <w:b/>
          <w:color w:val="auto"/>
          <w:sz w:val="32"/>
          <w:szCs w:val="32"/>
          <w:highlight w:val="none"/>
        </w:rPr>
      </w:pPr>
      <w:bookmarkStart w:id="57" w:name="_Toc15377211"/>
      <w:r>
        <w:rPr>
          <w:rFonts w:hint="eastAsia" w:ascii="仿宋" w:hAnsi="仿宋" w:eastAsia="仿宋"/>
          <w:b/>
          <w:color w:val="auto"/>
          <w:sz w:val="32"/>
          <w:szCs w:val="32"/>
          <w:highlight w:val="none"/>
        </w:rPr>
        <w:t>（二）一般公共预算财政拨款支出决算结构情况</w:t>
      </w:r>
      <w:bookmarkEnd w:id="57"/>
    </w:p>
    <w:p>
      <w:pPr>
        <w:snapToGrid w:val="0"/>
        <w:spacing w:line="520" w:lineRule="exact"/>
        <w:ind w:firstLine="420" w:firstLineChars="200"/>
        <w:rPr>
          <w:rFonts w:hint="eastAsia"/>
          <w:lang w:eastAsia="zh-CN"/>
        </w:rPr>
      </w:pPr>
      <w:r>
        <w:drawing>
          <wp:anchor distT="0" distB="0" distL="114300" distR="114300" simplePos="0" relativeHeight="251671552" behindDoc="0" locked="0" layoutInCell="1" allowOverlap="1">
            <wp:simplePos x="0" y="0"/>
            <wp:positionH relativeFrom="column">
              <wp:posOffset>52070</wp:posOffset>
            </wp:positionH>
            <wp:positionV relativeFrom="paragraph">
              <wp:posOffset>1737995</wp:posOffset>
            </wp:positionV>
            <wp:extent cx="4719320" cy="2110740"/>
            <wp:effectExtent l="4445" t="4445" r="19685" b="18415"/>
            <wp:wrapTopAndBottom/>
            <wp:docPr id="1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3199.83</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bCs/>
          <w:color w:val="auto"/>
          <w:sz w:val="32"/>
          <w:szCs w:val="32"/>
          <w:highlight w:val="none"/>
          <w:lang w:val="en-US" w:eastAsia="zh-CN"/>
        </w:rPr>
        <w:t>3</w:t>
      </w:r>
      <w:r>
        <w:rPr>
          <w:rFonts w:hint="eastAsia" w:ascii="仿宋" w:hAnsi="仿宋" w:eastAsia="仿宋"/>
          <w:b w:val="0"/>
          <w:bCs w:val="0"/>
          <w:color w:val="auto"/>
          <w:sz w:val="32"/>
          <w:szCs w:val="32"/>
          <w:highlight w:val="none"/>
          <w:lang w:val="en-US" w:eastAsia="zh-CN"/>
        </w:rPr>
        <w:t>020.35</w:t>
      </w:r>
      <w:r>
        <w:rPr>
          <w:rFonts w:hint="eastAsia" w:ascii="仿宋" w:hAnsi="仿宋" w:eastAsia="仿宋"/>
          <w:b w:val="0"/>
          <w:bCs w:val="0"/>
          <w:color w:val="auto"/>
          <w:sz w:val="32"/>
          <w:szCs w:val="32"/>
          <w:highlight w:val="none"/>
        </w:rPr>
        <w:t>万元，占</w:t>
      </w:r>
      <w:r>
        <w:rPr>
          <w:rFonts w:hint="eastAsia" w:ascii="仿宋" w:hAnsi="仿宋" w:eastAsia="仿宋"/>
          <w:b w:val="0"/>
          <w:bCs w:val="0"/>
          <w:color w:val="auto"/>
          <w:sz w:val="32"/>
          <w:szCs w:val="32"/>
          <w:highlight w:val="none"/>
          <w:lang w:val="en-US" w:eastAsia="zh-CN"/>
        </w:rPr>
        <w:t>94.39</w:t>
      </w:r>
      <w:r>
        <w:rPr>
          <w:rFonts w:ascii="仿宋" w:hAnsi="仿宋" w:eastAsia="仿宋"/>
          <w:b w:val="0"/>
          <w:bCs w:val="0"/>
          <w:color w:val="auto"/>
          <w:sz w:val="32"/>
          <w:szCs w:val="32"/>
          <w:highlight w:val="none"/>
        </w:rPr>
        <w:t>%</w:t>
      </w:r>
      <w:r>
        <w:rPr>
          <w:rFonts w:hint="eastAsia" w:ascii="仿宋" w:hAnsi="仿宋" w:eastAsia="仿宋"/>
          <w:b w:val="0"/>
          <w:bCs w:val="0"/>
          <w:color w:val="auto"/>
          <w:sz w:val="32"/>
          <w:szCs w:val="32"/>
          <w:highlight w:val="none"/>
        </w:rPr>
        <w:t>；</w:t>
      </w:r>
      <w:r>
        <w:rPr>
          <w:rFonts w:hint="eastAsia" w:ascii="仿宋_GB2312" w:hAnsi="仿宋" w:eastAsia="仿宋_GB2312" w:cs="Times New Roman"/>
          <w:b/>
          <w:bCs/>
          <w:sz w:val="32"/>
          <w:szCs w:val="32"/>
        </w:rPr>
        <w:t>社会保障和就业</w:t>
      </w:r>
      <w:r>
        <w:rPr>
          <w:rFonts w:hint="eastAsia" w:ascii="仿宋_GB2312" w:hAnsi="仿宋" w:eastAsia="仿宋_GB2312" w:cs="Times New Roman"/>
          <w:b/>
          <w:bCs/>
          <w:sz w:val="32"/>
          <w:szCs w:val="32"/>
          <w:lang w:eastAsia="zh-CN"/>
        </w:rPr>
        <w:t>支出</w:t>
      </w:r>
      <w:r>
        <w:rPr>
          <w:rFonts w:hint="eastAsia" w:ascii="仿宋_GB2312" w:hAnsi="仿宋" w:eastAsia="仿宋_GB2312" w:cs="Times New Roman"/>
          <w:sz w:val="32"/>
          <w:szCs w:val="32"/>
          <w:lang w:val="en-US" w:eastAsia="zh-CN"/>
        </w:rPr>
        <w:t>91.48</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2.86</w:t>
      </w:r>
      <w:r>
        <w:rPr>
          <w:rFonts w:hint="eastAsia" w:ascii="仿宋_GB2312" w:hAnsi="仿宋" w:eastAsia="仿宋_GB2312" w:cs="Times New Roman"/>
          <w:sz w:val="32"/>
          <w:szCs w:val="32"/>
        </w:rPr>
        <w:t>%；</w:t>
      </w:r>
      <w:r>
        <w:rPr>
          <w:rFonts w:hint="eastAsia" w:ascii="仿宋_GB2312" w:hAnsi="仿宋" w:eastAsia="仿宋_GB2312" w:cs="Times New Roman"/>
          <w:b/>
          <w:bCs/>
          <w:sz w:val="32"/>
          <w:szCs w:val="32"/>
        </w:rPr>
        <w:t>卫生健康</w:t>
      </w:r>
      <w:r>
        <w:rPr>
          <w:rFonts w:hint="eastAsia" w:ascii="仿宋_GB2312" w:hAnsi="仿宋" w:eastAsia="仿宋_GB2312" w:cs="Times New Roman"/>
          <w:b/>
          <w:bCs/>
          <w:sz w:val="32"/>
          <w:szCs w:val="32"/>
          <w:lang w:eastAsia="zh-CN"/>
        </w:rPr>
        <w:t>支出</w:t>
      </w:r>
      <w:r>
        <w:rPr>
          <w:rFonts w:hint="eastAsia" w:ascii="仿宋_GB2312" w:hAnsi="仿宋" w:eastAsia="仿宋_GB2312" w:cs="Times New Roman"/>
          <w:sz w:val="32"/>
          <w:szCs w:val="32"/>
          <w:lang w:val="en-US" w:eastAsia="zh-CN"/>
        </w:rPr>
        <w:t>37.24</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1.16</w:t>
      </w:r>
      <w:r>
        <w:rPr>
          <w:rFonts w:hint="eastAsia" w:ascii="仿宋_GB2312" w:hAnsi="仿宋" w:eastAsia="仿宋_GB2312" w:cs="Times New Roman"/>
          <w:sz w:val="32"/>
          <w:szCs w:val="32"/>
        </w:rPr>
        <w:t>%；</w:t>
      </w:r>
      <w:r>
        <w:rPr>
          <w:rFonts w:hint="eastAsia" w:ascii="仿宋_GB2312" w:hAnsi="仿宋" w:eastAsia="仿宋_GB2312" w:cs="Times New Roman"/>
          <w:b/>
          <w:bCs/>
          <w:sz w:val="32"/>
          <w:szCs w:val="32"/>
        </w:rPr>
        <w:t>住房保障</w:t>
      </w:r>
      <w:r>
        <w:rPr>
          <w:rFonts w:hint="eastAsia" w:ascii="仿宋_GB2312" w:hAnsi="仿宋" w:eastAsia="仿宋_GB2312" w:cs="Times New Roman"/>
          <w:b/>
          <w:bCs/>
          <w:sz w:val="32"/>
          <w:szCs w:val="32"/>
          <w:lang w:eastAsia="zh-CN"/>
        </w:rPr>
        <w:t>支出</w:t>
      </w:r>
      <w:r>
        <w:rPr>
          <w:rFonts w:hint="eastAsia" w:ascii="仿宋_GB2312" w:hAnsi="仿宋" w:eastAsia="仿宋_GB2312" w:cs="Times New Roman"/>
          <w:sz w:val="32"/>
          <w:szCs w:val="32"/>
          <w:lang w:val="en-US" w:eastAsia="zh-CN"/>
        </w:rPr>
        <w:t>50.74</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1.58</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eastAsia="zh-CN"/>
        </w:rPr>
        <w:t>。</w:t>
      </w:r>
    </w:p>
    <w:p>
      <w:pPr>
        <w:pageBreakBefore w:val="0"/>
        <w:kinsoku/>
        <w:bidi w:val="0"/>
        <w:spacing w:line="500" w:lineRule="exact"/>
        <w:ind w:left="0" w:leftChars="0" w:right="0"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pageBreakBefore w:val="0"/>
        <w:kinsoku/>
        <w:bidi w:val="0"/>
        <w:spacing w:line="500" w:lineRule="exact"/>
        <w:ind w:left="0" w:leftChars="0" w:right="0" w:firstLine="643" w:firstLineChars="200"/>
        <w:outlineLvl w:val="2"/>
        <w:rPr>
          <w:rFonts w:ascii="仿宋" w:hAnsi="仿宋" w:eastAsia="仿宋"/>
          <w:b/>
          <w:color w:val="auto"/>
          <w:sz w:val="32"/>
          <w:szCs w:val="32"/>
          <w:highlight w:val="none"/>
        </w:rPr>
      </w:pPr>
      <w:bookmarkStart w:id="58" w:name="_Toc15377212"/>
      <w:r>
        <w:rPr>
          <w:rFonts w:hint="eastAsia" w:ascii="仿宋" w:hAnsi="仿宋" w:eastAsia="仿宋"/>
          <w:b/>
          <w:color w:val="auto"/>
          <w:sz w:val="32"/>
          <w:szCs w:val="32"/>
          <w:highlight w:val="none"/>
        </w:rPr>
        <w:t>（三）一般公共预算财政拨款支出决算具体情况</w:t>
      </w:r>
      <w:bookmarkEnd w:id="58"/>
    </w:p>
    <w:p>
      <w:pPr>
        <w:pageBreakBefore w:val="0"/>
        <w:kinsoku/>
        <w:bidi w:val="0"/>
        <w:spacing w:line="500" w:lineRule="exact"/>
        <w:ind w:left="0" w:leftChars="0" w:right="0" w:firstLine="643" w:firstLineChars="200"/>
        <w:outlineLvl w:val="2"/>
        <w:rPr>
          <w:rFonts w:ascii="仿宋" w:hAnsi="仿宋" w:eastAsia="仿宋"/>
          <w:color w:val="auto"/>
          <w:sz w:val="32"/>
          <w:szCs w:val="32"/>
          <w:highlight w:val="none"/>
        </w:rPr>
      </w:pPr>
      <w:bookmarkStart w:id="59" w:name="_Toc15378460"/>
      <w:bookmarkStart w:id="60" w:name="_Toc15377213"/>
      <w:bookmarkStart w:id="61" w:name="_Toc15377444"/>
      <w:r>
        <w:rPr>
          <w:rFonts w:hint="eastAsia" w:ascii="仿宋" w:hAnsi="仿宋" w:eastAsia="仿宋"/>
          <w:b/>
          <w:color w:val="auto"/>
          <w:sz w:val="32"/>
          <w:szCs w:val="32"/>
          <w:highlight w:val="none"/>
          <w:lang w:eastAsia="zh-CN"/>
        </w:rPr>
        <w:t>2025年一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3199.83</w:t>
      </w:r>
      <w:r>
        <w:rPr>
          <w:rFonts w:hint="eastAsia" w:ascii="仿宋" w:hAnsi="仿宋" w:eastAsia="仿宋"/>
          <w:b/>
          <w:color w:val="auto"/>
          <w:sz w:val="32"/>
          <w:szCs w:val="32"/>
          <w:highlight w:val="none"/>
          <w:lang w:val="en-US" w:eastAsia="zh-CN"/>
        </w:rPr>
        <w:t>万元</w:t>
      </w:r>
      <w:r>
        <w:rPr>
          <w:rFonts w:hint="eastAsia" w:ascii="仿宋" w:hAnsi="仿宋" w:eastAsia="仿宋"/>
          <w:color w:val="auto"/>
          <w:sz w:val="32"/>
          <w:szCs w:val="32"/>
          <w:highlight w:val="none"/>
        </w:rPr>
        <w:t>，</w:t>
      </w:r>
      <w:r>
        <w:rPr>
          <w:rStyle w:val="19"/>
          <w:rFonts w:hint="eastAsia" w:ascii="仿宋" w:hAnsi="仿宋" w:eastAsia="仿宋"/>
          <w:bCs/>
          <w:color w:val="auto"/>
          <w:sz w:val="32"/>
          <w:szCs w:val="32"/>
          <w:highlight w:val="none"/>
        </w:rPr>
        <w:t>完成预算</w:t>
      </w:r>
      <w:r>
        <w:rPr>
          <w:rStyle w:val="19"/>
          <w:rFonts w:hint="eastAsia" w:ascii="仿宋" w:hAnsi="仿宋" w:eastAsia="仿宋"/>
          <w:bCs/>
          <w:color w:val="auto"/>
          <w:sz w:val="32"/>
          <w:szCs w:val="32"/>
          <w:highlight w:val="none"/>
          <w:lang w:val="en-US" w:eastAsia="zh-CN"/>
        </w:rPr>
        <w:t>100</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。其中：</w:t>
      </w:r>
      <w:bookmarkEnd w:id="59"/>
      <w:bookmarkEnd w:id="60"/>
      <w:bookmarkEnd w:id="61"/>
    </w:p>
    <w:p>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1</w:t>
      </w:r>
      <w:r>
        <w:rPr>
          <w:rStyle w:val="19"/>
          <w:rFonts w:ascii="仿宋" w:hAnsi="仿宋" w:eastAsia="仿宋"/>
          <w:bCs/>
          <w:sz w:val="32"/>
          <w:szCs w:val="32"/>
        </w:rPr>
        <w:t>.</w:t>
      </w:r>
      <w:r>
        <w:rPr>
          <w:rStyle w:val="19"/>
          <w:rFonts w:hint="eastAsia" w:ascii="仿宋" w:hAnsi="仿宋" w:eastAsia="仿宋"/>
          <w:bCs/>
          <w:sz w:val="32"/>
          <w:szCs w:val="32"/>
        </w:rPr>
        <w:t>文化旅游体育与传媒207</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3020.35</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行政运行2070101</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267.68</w:t>
      </w:r>
      <w:r>
        <w:rPr>
          <w:rStyle w:val="19"/>
          <w:rFonts w:hint="eastAsia" w:ascii="仿宋" w:hAnsi="仿宋" w:eastAsia="仿宋"/>
          <w:b w:val="0"/>
          <w:bCs/>
          <w:sz w:val="32"/>
          <w:szCs w:val="32"/>
        </w:rPr>
        <w:t>万元，</w:t>
      </w:r>
      <w:r>
        <w:rPr>
          <w:rStyle w:val="19"/>
          <w:rFonts w:hint="eastAsia" w:ascii="仿宋" w:hAnsi="仿宋" w:eastAsia="仿宋"/>
          <w:b/>
          <w:bCs w:val="0"/>
          <w:sz w:val="32"/>
          <w:szCs w:val="32"/>
          <w:lang w:eastAsia="zh-CN"/>
        </w:rPr>
        <w:t>一般行政管理事务</w:t>
      </w:r>
      <w:r>
        <w:rPr>
          <w:rStyle w:val="19"/>
          <w:rFonts w:hint="eastAsia" w:ascii="仿宋" w:hAnsi="仿宋" w:eastAsia="仿宋"/>
          <w:b/>
          <w:bCs w:val="0"/>
          <w:sz w:val="32"/>
          <w:szCs w:val="32"/>
          <w:lang w:val="en-US" w:eastAsia="zh-CN"/>
        </w:rPr>
        <w:t>2070102</w:t>
      </w:r>
      <w:r>
        <w:rPr>
          <w:rStyle w:val="19"/>
          <w:rFonts w:hint="eastAsia" w:ascii="仿宋" w:hAnsi="仿宋" w:eastAsia="仿宋"/>
          <w:b w:val="0"/>
          <w:bCs/>
          <w:sz w:val="32"/>
          <w:szCs w:val="32"/>
          <w:lang w:eastAsia="zh-CN"/>
        </w:rPr>
        <w:t>支出决算数</w:t>
      </w:r>
      <w:r>
        <w:rPr>
          <w:rStyle w:val="19"/>
          <w:rFonts w:hint="eastAsia" w:ascii="仿宋" w:hAnsi="仿宋" w:eastAsia="仿宋"/>
          <w:b w:val="0"/>
          <w:bCs/>
          <w:sz w:val="32"/>
          <w:szCs w:val="32"/>
          <w:lang w:val="en-US" w:eastAsia="zh-CN"/>
        </w:rPr>
        <w:t>2023.11万元，</w:t>
      </w:r>
      <w:r>
        <w:rPr>
          <w:rStyle w:val="19"/>
          <w:rFonts w:hint="eastAsia" w:ascii="仿宋" w:hAnsi="仿宋" w:eastAsia="仿宋"/>
          <w:b/>
          <w:bCs w:val="0"/>
          <w:sz w:val="32"/>
          <w:szCs w:val="32"/>
          <w:lang w:val="en-US" w:eastAsia="zh-CN"/>
        </w:rPr>
        <w:t>群众文化2070109</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235.15万元</w:t>
      </w:r>
      <w:r>
        <w:rPr>
          <w:rStyle w:val="19"/>
          <w:rFonts w:hint="eastAsia" w:ascii="仿宋" w:hAnsi="仿宋" w:eastAsia="仿宋"/>
          <w:b/>
          <w:bCs w:val="0"/>
          <w:sz w:val="32"/>
          <w:szCs w:val="32"/>
          <w:lang w:val="en-US" w:eastAsia="zh-CN"/>
        </w:rPr>
        <w:t>，文化和旅游交流与合作2070110</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29.81万元</w:t>
      </w:r>
      <w:r>
        <w:rPr>
          <w:rStyle w:val="19"/>
          <w:rFonts w:hint="eastAsia" w:ascii="仿宋" w:hAnsi="仿宋" w:eastAsia="仿宋"/>
          <w:b/>
          <w:bCs w:val="0"/>
          <w:sz w:val="32"/>
          <w:szCs w:val="32"/>
          <w:lang w:val="en-US" w:eastAsia="zh-CN"/>
        </w:rPr>
        <w:t>，</w:t>
      </w:r>
      <w:r>
        <w:rPr>
          <w:rStyle w:val="19"/>
          <w:rFonts w:hint="eastAsia" w:ascii="仿宋" w:hAnsi="仿宋" w:eastAsia="仿宋"/>
          <w:sz w:val="32"/>
          <w:szCs w:val="32"/>
        </w:rPr>
        <w:t>其他文化和旅游支出2070199</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317.84</w:t>
      </w:r>
      <w:r>
        <w:rPr>
          <w:rStyle w:val="19"/>
          <w:rFonts w:hint="eastAsia" w:ascii="仿宋" w:hAnsi="仿宋" w:eastAsia="仿宋"/>
          <w:b w:val="0"/>
          <w:bCs/>
          <w:sz w:val="32"/>
          <w:szCs w:val="32"/>
        </w:rPr>
        <w:t>万元，</w:t>
      </w:r>
      <w:r>
        <w:rPr>
          <w:rStyle w:val="19"/>
          <w:rFonts w:hint="eastAsia" w:ascii="仿宋" w:hAnsi="仿宋" w:eastAsia="仿宋"/>
          <w:sz w:val="32"/>
          <w:szCs w:val="32"/>
        </w:rPr>
        <w:t>文物保护2070204</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16.38</w:t>
      </w:r>
      <w:r>
        <w:rPr>
          <w:rStyle w:val="19"/>
          <w:rFonts w:hint="eastAsia" w:ascii="仿宋" w:hAnsi="仿宋" w:eastAsia="仿宋"/>
          <w:b w:val="0"/>
          <w:bCs/>
          <w:sz w:val="32"/>
          <w:szCs w:val="32"/>
        </w:rPr>
        <w:t>万元，</w:t>
      </w:r>
      <w:r>
        <w:rPr>
          <w:rStyle w:val="19"/>
          <w:rFonts w:hint="eastAsia" w:ascii="仿宋" w:hAnsi="仿宋" w:eastAsia="仿宋"/>
          <w:sz w:val="32"/>
          <w:szCs w:val="32"/>
        </w:rPr>
        <w:t>博物馆2070205</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98.43</w:t>
      </w:r>
      <w:r>
        <w:rPr>
          <w:rStyle w:val="19"/>
          <w:rFonts w:hint="eastAsia" w:ascii="仿宋" w:hAnsi="仿宋" w:eastAsia="仿宋"/>
          <w:b w:val="0"/>
          <w:bCs/>
          <w:sz w:val="32"/>
          <w:szCs w:val="32"/>
        </w:rPr>
        <w:t>万元，</w:t>
      </w:r>
      <w:r>
        <w:rPr>
          <w:rStyle w:val="19"/>
          <w:rFonts w:hint="eastAsia" w:ascii="仿宋" w:hAnsi="仿宋" w:eastAsia="仿宋"/>
          <w:b/>
          <w:bCs w:val="0"/>
          <w:sz w:val="32"/>
          <w:szCs w:val="32"/>
          <w:lang w:eastAsia="zh-CN"/>
        </w:rPr>
        <w:t>一般行政管理事务</w:t>
      </w:r>
      <w:r>
        <w:rPr>
          <w:rStyle w:val="19"/>
          <w:rFonts w:hint="eastAsia" w:ascii="仿宋" w:hAnsi="仿宋" w:eastAsia="仿宋"/>
          <w:b/>
          <w:bCs w:val="0"/>
          <w:sz w:val="32"/>
          <w:szCs w:val="32"/>
          <w:lang w:val="en-US" w:eastAsia="zh-CN"/>
        </w:rPr>
        <w:t>2070302</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6.95万元</w:t>
      </w:r>
      <w:r>
        <w:rPr>
          <w:rStyle w:val="19"/>
          <w:rFonts w:hint="eastAsia" w:ascii="仿宋" w:hAnsi="仿宋" w:eastAsia="仿宋"/>
          <w:b/>
          <w:bCs w:val="0"/>
          <w:sz w:val="32"/>
          <w:szCs w:val="32"/>
          <w:lang w:val="en-US" w:eastAsia="zh-CN"/>
        </w:rPr>
        <w:t>，</w:t>
      </w:r>
      <w:r>
        <w:rPr>
          <w:rStyle w:val="19"/>
          <w:rFonts w:hint="eastAsia" w:ascii="仿宋" w:hAnsi="仿宋" w:eastAsia="仿宋"/>
          <w:b/>
          <w:bCs w:val="0"/>
          <w:sz w:val="32"/>
          <w:szCs w:val="32"/>
          <w:lang w:eastAsia="zh-CN"/>
        </w:rPr>
        <w:t>体育场馆</w:t>
      </w:r>
      <w:r>
        <w:rPr>
          <w:rStyle w:val="19"/>
          <w:rFonts w:hint="eastAsia" w:ascii="仿宋" w:hAnsi="仿宋" w:eastAsia="仿宋"/>
          <w:b/>
          <w:bCs w:val="0"/>
          <w:sz w:val="32"/>
          <w:szCs w:val="32"/>
          <w:lang w:val="en-US" w:eastAsia="zh-CN"/>
        </w:rPr>
        <w:t>2070307</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25万元</w:t>
      </w:r>
      <w:r>
        <w:rPr>
          <w:rStyle w:val="19"/>
          <w:rFonts w:hint="eastAsia" w:ascii="仿宋" w:hAnsi="仿宋" w:eastAsia="仿宋"/>
          <w:b w:val="0"/>
          <w:bCs/>
          <w:sz w:val="32"/>
          <w:szCs w:val="32"/>
        </w:rPr>
        <w:t>）</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pageBreakBefore w:val="0"/>
        <w:kinsoku/>
        <w:bidi w:val="0"/>
        <w:spacing w:line="500" w:lineRule="exact"/>
        <w:ind w:left="0" w:leftChars="0" w:right="0" w:firstLine="643" w:firstLineChars="200"/>
        <w:rPr>
          <w:rFonts w:ascii="仿宋" w:hAnsi="仿宋" w:eastAsia="仿宋"/>
          <w:b/>
          <w:color w:val="auto"/>
          <w:sz w:val="32"/>
          <w:szCs w:val="32"/>
          <w:highlight w:val="none"/>
        </w:rPr>
      </w:pPr>
      <w:r>
        <w:rPr>
          <w:rStyle w:val="19"/>
          <w:rFonts w:hint="eastAsia" w:ascii="仿宋" w:hAnsi="仿宋" w:eastAsia="仿宋"/>
          <w:bCs/>
          <w:sz w:val="32"/>
          <w:szCs w:val="32"/>
          <w:lang w:val="en-US" w:eastAsia="zh-CN"/>
        </w:rPr>
        <w:t>2</w:t>
      </w:r>
      <w:r>
        <w:rPr>
          <w:rStyle w:val="19"/>
          <w:rFonts w:ascii="仿宋" w:hAnsi="仿宋" w:eastAsia="仿宋"/>
          <w:bCs/>
          <w:sz w:val="32"/>
          <w:szCs w:val="32"/>
        </w:rPr>
        <w:t>.</w:t>
      </w:r>
      <w:r>
        <w:rPr>
          <w:rStyle w:val="19"/>
          <w:rFonts w:hint="eastAsia" w:ascii="仿宋" w:hAnsi="仿宋" w:eastAsia="仿宋"/>
          <w:bCs/>
          <w:sz w:val="32"/>
          <w:szCs w:val="32"/>
        </w:rPr>
        <w:t>社会保障和就业208</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91.48</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机关事业单位基本养老保险缴费支出2080505</w:t>
      </w:r>
      <w:r>
        <w:rPr>
          <w:rStyle w:val="19"/>
          <w:rFonts w:hint="eastAsia" w:ascii="仿宋" w:hAnsi="仿宋" w:eastAsia="仿宋"/>
          <w:b w:val="0"/>
          <w:bCs/>
          <w:sz w:val="32"/>
          <w:szCs w:val="32"/>
        </w:rPr>
        <w:t>支出决算数为</w:t>
      </w:r>
      <w:r>
        <w:rPr>
          <w:rStyle w:val="19"/>
          <w:rFonts w:hint="eastAsia" w:ascii="仿宋" w:hAnsi="仿宋" w:eastAsia="仿宋"/>
          <w:b w:val="0"/>
          <w:bCs/>
          <w:sz w:val="32"/>
          <w:szCs w:val="32"/>
          <w:lang w:val="en-US" w:eastAsia="zh-CN"/>
        </w:rPr>
        <w:t>60.9</w:t>
      </w:r>
      <w:r>
        <w:rPr>
          <w:rStyle w:val="19"/>
          <w:rFonts w:hint="eastAsia" w:ascii="仿宋" w:hAnsi="仿宋" w:eastAsia="仿宋"/>
          <w:b w:val="0"/>
          <w:bCs/>
          <w:sz w:val="32"/>
          <w:szCs w:val="32"/>
        </w:rPr>
        <w:t>万元，</w:t>
      </w:r>
      <w:r>
        <w:rPr>
          <w:rStyle w:val="19"/>
          <w:rFonts w:hint="eastAsia" w:ascii="仿宋" w:hAnsi="仿宋" w:eastAsia="仿宋"/>
          <w:b/>
          <w:bCs w:val="0"/>
          <w:sz w:val="32"/>
          <w:szCs w:val="32"/>
        </w:rPr>
        <w:t>机关事业单位职业年金缴费支出2080506</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30.58</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pageBreakBefore w:val="0"/>
        <w:kinsoku/>
        <w:bidi w:val="0"/>
        <w:spacing w:line="500" w:lineRule="exact"/>
        <w:ind w:left="0" w:leftChars="0" w:right="0" w:firstLine="643" w:firstLineChars="200"/>
        <w:rPr>
          <w:rStyle w:val="19"/>
          <w:rFonts w:hint="eastAsia" w:ascii="仿宋" w:hAnsi="仿宋" w:eastAsia="仿宋"/>
          <w:b w:val="0"/>
          <w:bCs/>
          <w:sz w:val="32"/>
          <w:szCs w:val="32"/>
        </w:rPr>
      </w:pPr>
      <w:r>
        <w:rPr>
          <w:rStyle w:val="19"/>
          <w:rFonts w:hint="eastAsia" w:ascii="仿宋" w:hAnsi="仿宋" w:eastAsia="仿宋"/>
          <w:bCs/>
          <w:sz w:val="32"/>
          <w:szCs w:val="32"/>
          <w:lang w:val="en-US" w:eastAsia="zh-CN"/>
        </w:rPr>
        <w:t>3</w:t>
      </w:r>
      <w:r>
        <w:rPr>
          <w:rStyle w:val="19"/>
          <w:rFonts w:ascii="仿宋" w:hAnsi="仿宋" w:eastAsia="仿宋"/>
          <w:bCs/>
          <w:sz w:val="32"/>
          <w:szCs w:val="32"/>
        </w:rPr>
        <w:t>.</w:t>
      </w:r>
      <w:r>
        <w:rPr>
          <w:rFonts w:hint="eastAsia" w:ascii="仿宋" w:hAnsi="仿宋" w:eastAsia="仿宋"/>
          <w:b/>
          <w:bCs/>
          <w:sz w:val="32"/>
          <w:szCs w:val="32"/>
        </w:rPr>
        <w:t>卫生健康210</w:t>
      </w:r>
      <w:r>
        <w:rPr>
          <w:rStyle w:val="19"/>
          <w:rFonts w:hint="eastAsia" w:ascii="仿宋" w:hAnsi="仿宋" w:eastAsia="仿宋"/>
          <w:b w:val="0"/>
          <w:bCs/>
          <w:sz w:val="32"/>
          <w:szCs w:val="32"/>
        </w:rPr>
        <w:t>支出决算</w:t>
      </w:r>
      <w:r>
        <w:rPr>
          <w:rStyle w:val="19"/>
          <w:rFonts w:hint="eastAsia" w:ascii="仿宋" w:hAnsi="仿宋" w:eastAsia="仿宋"/>
          <w:b w:val="0"/>
          <w:bCs/>
          <w:sz w:val="32"/>
          <w:szCs w:val="32"/>
          <w:lang w:eastAsia="zh-CN"/>
        </w:rPr>
        <w:t>数为</w:t>
      </w:r>
      <w:r>
        <w:rPr>
          <w:rStyle w:val="19"/>
          <w:rFonts w:hint="eastAsia" w:ascii="仿宋" w:hAnsi="仿宋" w:eastAsia="仿宋"/>
          <w:b w:val="0"/>
          <w:bCs/>
          <w:sz w:val="32"/>
          <w:szCs w:val="32"/>
          <w:lang w:val="en-US" w:eastAsia="zh-CN"/>
        </w:rPr>
        <w:t>37.24</w:t>
      </w:r>
      <w:r>
        <w:rPr>
          <w:rStyle w:val="19"/>
          <w:rFonts w:hint="eastAsia" w:ascii="仿宋" w:hAnsi="仿宋" w:eastAsia="仿宋"/>
          <w:b w:val="0"/>
          <w:bCs/>
          <w:sz w:val="32"/>
          <w:szCs w:val="32"/>
        </w:rPr>
        <w:t>万元（其中</w:t>
      </w:r>
      <w:r>
        <w:rPr>
          <w:rStyle w:val="19"/>
          <w:rFonts w:hint="eastAsia" w:ascii="仿宋" w:hAnsi="仿宋" w:eastAsia="仿宋"/>
          <w:b/>
          <w:bCs w:val="0"/>
          <w:sz w:val="32"/>
          <w:szCs w:val="32"/>
        </w:rPr>
        <w:t>行政单位医疗2101101</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15.92</w:t>
      </w:r>
      <w:r>
        <w:rPr>
          <w:rStyle w:val="19"/>
          <w:rFonts w:hint="eastAsia" w:ascii="仿宋" w:hAnsi="仿宋" w:eastAsia="仿宋"/>
          <w:b w:val="0"/>
          <w:bCs/>
          <w:sz w:val="32"/>
          <w:szCs w:val="32"/>
        </w:rPr>
        <w:t>万元，</w:t>
      </w:r>
      <w:r>
        <w:rPr>
          <w:rStyle w:val="19"/>
          <w:rFonts w:hint="eastAsia" w:ascii="仿宋" w:hAnsi="仿宋" w:eastAsia="仿宋"/>
          <w:b/>
          <w:bCs w:val="0"/>
          <w:sz w:val="32"/>
          <w:szCs w:val="32"/>
        </w:rPr>
        <w:t>公务员医疗补助2101103</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7.77</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bCs w:val="0"/>
          <w:sz w:val="32"/>
          <w:szCs w:val="32"/>
          <w:lang w:eastAsia="zh-CN"/>
        </w:rPr>
        <w:t>事业单位</w:t>
      </w:r>
      <w:r>
        <w:rPr>
          <w:rStyle w:val="19"/>
          <w:rFonts w:hint="eastAsia" w:ascii="仿宋" w:hAnsi="仿宋" w:eastAsia="仿宋"/>
          <w:b/>
          <w:bCs w:val="0"/>
          <w:sz w:val="32"/>
          <w:szCs w:val="32"/>
        </w:rPr>
        <w:t>医疗210110</w:t>
      </w:r>
      <w:r>
        <w:rPr>
          <w:rStyle w:val="19"/>
          <w:rFonts w:hint="eastAsia" w:ascii="仿宋" w:hAnsi="仿宋" w:eastAsia="仿宋"/>
          <w:b/>
          <w:bCs w:val="0"/>
          <w:sz w:val="32"/>
          <w:szCs w:val="32"/>
          <w:lang w:val="en-US" w:eastAsia="zh-CN"/>
        </w:rPr>
        <w:t>2</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12.83</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bCs w:val="0"/>
          <w:sz w:val="32"/>
          <w:szCs w:val="32"/>
          <w:lang w:eastAsia="zh-CN"/>
        </w:rPr>
        <w:t>其他行政事业单位</w:t>
      </w:r>
      <w:r>
        <w:rPr>
          <w:rStyle w:val="19"/>
          <w:rFonts w:hint="eastAsia" w:ascii="仿宋" w:hAnsi="仿宋" w:eastAsia="仿宋"/>
          <w:b/>
          <w:bCs w:val="0"/>
          <w:sz w:val="32"/>
          <w:szCs w:val="32"/>
        </w:rPr>
        <w:t>医疗21011</w:t>
      </w:r>
      <w:r>
        <w:rPr>
          <w:rStyle w:val="19"/>
          <w:rFonts w:hint="eastAsia" w:ascii="仿宋" w:hAnsi="仿宋" w:eastAsia="仿宋"/>
          <w:b/>
          <w:bCs w:val="0"/>
          <w:sz w:val="32"/>
          <w:szCs w:val="32"/>
          <w:lang w:val="en-US" w:eastAsia="zh-CN"/>
        </w:rPr>
        <w:t>99</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0.72</w:t>
      </w:r>
      <w:r>
        <w:rPr>
          <w:rStyle w:val="19"/>
          <w:rFonts w:hint="eastAsia" w:ascii="仿宋" w:hAnsi="仿宋" w:eastAsia="仿宋"/>
          <w:b w:val="0"/>
          <w:bCs/>
          <w:sz w:val="32"/>
          <w:szCs w:val="32"/>
        </w:rPr>
        <w:t>万元）</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rPr>
        <w:t>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pageBreakBefore w:val="0"/>
        <w:kinsoku/>
        <w:bidi w:val="0"/>
        <w:spacing w:line="500" w:lineRule="exact"/>
        <w:ind w:left="0" w:leftChars="0" w:right="0" w:firstLine="643" w:firstLineChars="200"/>
        <w:rPr>
          <w:rStyle w:val="19"/>
          <w:rFonts w:hint="eastAsia" w:ascii="仿宋" w:hAnsi="仿宋" w:eastAsia="仿宋"/>
          <w:b w:val="0"/>
          <w:bCs/>
          <w:sz w:val="32"/>
          <w:szCs w:val="32"/>
        </w:rPr>
      </w:pPr>
      <w:r>
        <w:rPr>
          <w:rFonts w:hint="eastAsia" w:ascii="仿宋" w:hAnsi="仿宋" w:eastAsia="仿宋"/>
          <w:b/>
          <w:bCs/>
          <w:sz w:val="32"/>
          <w:szCs w:val="32"/>
          <w:lang w:val="en-US" w:eastAsia="zh-CN"/>
        </w:rPr>
        <w:t>4</w:t>
      </w:r>
      <w:r>
        <w:rPr>
          <w:rFonts w:hint="eastAsia" w:ascii="仿宋" w:hAnsi="仿宋" w:eastAsia="仿宋"/>
          <w:b/>
          <w:bCs/>
          <w:sz w:val="32"/>
          <w:szCs w:val="32"/>
        </w:rPr>
        <w:t>.</w:t>
      </w:r>
      <w:r>
        <w:rPr>
          <w:rFonts w:hint="eastAsia" w:ascii="仿宋" w:hAnsi="仿宋" w:eastAsia="仿宋"/>
          <w:b/>
          <w:sz w:val="32"/>
          <w:szCs w:val="32"/>
        </w:rPr>
        <w:t>住房保障</w:t>
      </w:r>
      <w:r>
        <w:rPr>
          <w:rFonts w:hint="eastAsia" w:ascii="仿宋" w:hAnsi="仿宋" w:eastAsia="仿宋"/>
          <w:b/>
          <w:sz w:val="32"/>
          <w:szCs w:val="32"/>
          <w:lang w:val="en-US" w:eastAsia="zh-CN"/>
        </w:rPr>
        <w:t>221</w:t>
      </w:r>
      <w:r>
        <w:rPr>
          <w:rFonts w:hint="eastAsia" w:ascii="仿宋" w:hAnsi="仿宋" w:eastAsia="仿宋"/>
          <w:b/>
          <w:sz w:val="32"/>
          <w:szCs w:val="32"/>
        </w:rPr>
        <w:t>支出：住房公积金2210201</w:t>
      </w:r>
      <w:r>
        <w:rPr>
          <w:rStyle w:val="19"/>
          <w:rFonts w:hint="eastAsia" w:ascii="仿宋" w:hAnsi="仿宋" w:eastAsia="仿宋"/>
          <w:b w:val="0"/>
          <w:bCs/>
          <w:sz w:val="32"/>
          <w:szCs w:val="32"/>
        </w:rPr>
        <w:t>支出决算数</w:t>
      </w:r>
      <w:r>
        <w:rPr>
          <w:rStyle w:val="19"/>
          <w:rFonts w:hint="eastAsia" w:ascii="仿宋" w:hAnsi="仿宋" w:eastAsia="仿宋"/>
          <w:b w:val="0"/>
          <w:bCs/>
          <w:sz w:val="32"/>
          <w:szCs w:val="32"/>
          <w:lang w:eastAsia="zh-CN"/>
        </w:rPr>
        <w:t>为</w:t>
      </w:r>
      <w:r>
        <w:rPr>
          <w:rStyle w:val="19"/>
          <w:rFonts w:hint="eastAsia" w:ascii="仿宋" w:hAnsi="仿宋" w:eastAsia="仿宋"/>
          <w:b w:val="0"/>
          <w:bCs/>
          <w:sz w:val="32"/>
          <w:szCs w:val="32"/>
          <w:lang w:val="en-US" w:eastAsia="zh-CN"/>
        </w:rPr>
        <w:t>50.75</w:t>
      </w:r>
      <w:r>
        <w:rPr>
          <w:rStyle w:val="19"/>
          <w:rFonts w:hint="eastAsia" w:ascii="仿宋" w:hAnsi="仿宋" w:eastAsia="仿宋"/>
          <w:b w:val="0"/>
          <w:bCs/>
          <w:sz w:val="32"/>
          <w:szCs w:val="32"/>
        </w:rPr>
        <w:t>万元，完成预算100</w:t>
      </w:r>
      <w:r>
        <w:rPr>
          <w:rStyle w:val="19"/>
          <w:rFonts w:ascii="仿宋" w:hAnsi="仿宋" w:eastAsia="仿宋"/>
          <w:b w:val="0"/>
          <w:bCs/>
          <w:sz w:val="32"/>
          <w:szCs w:val="32"/>
        </w:rPr>
        <w:t>%</w:t>
      </w:r>
      <w:r>
        <w:rPr>
          <w:rStyle w:val="19"/>
          <w:rFonts w:hint="eastAsia" w:ascii="仿宋" w:hAnsi="仿宋" w:eastAsia="仿宋"/>
          <w:b w:val="0"/>
          <w:bCs/>
          <w:sz w:val="32"/>
          <w:szCs w:val="32"/>
        </w:rPr>
        <w:t>。</w:t>
      </w:r>
    </w:p>
    <w:p>
      <w:pPr>
        <w:pageBreakBefore w:val="0"/>
        <w:tabs>
          <w:tab w:val="right" w:pos="8306"/>
        </w:tabs>
        <w:kinsoku/>
        <w:bidi w:val="0"/>
        <w:spacing w:line="500" w:lineRule="exact"/>
        <w:ind w:left="0" w:leftChars="0" w:right="0" w:firstLine="640"/>
        <w:outlineLvl w:val="1"/>
        <w:rPr>
          <w:rStyle w:val="24"/>
          <w:color w:val="auto"/>
          <w:highlight w:val="none"/>
        </w:rPr>
      </w:pPr>
      <w:bookmarkStart w:id="62" w:name="_Toc1425"/>
      <w:bookmarkStart w:id="63" w:name="_Toc15396608"/>
      <w:bookmarkStart w:id="64"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4"/>
          <w:rFonts w:hint="eastAsia" w:ascii="黑体" w:hAnsi="黑体" w:eastAsia="黑体"/>
          <w:b w:val="0"/>
          <w:color w:val="auto"/>
          <w:highlight w:val="none"/>
        </w:rPr>
        <w:t>般公共预算财政拨款基本支出决算情况说明</w:t>
      </w:r>
      <w:bookmarkEnd w:id="62"/>
      <w:bookmarkEnd w:id="63"/>
      <w:bookmarkEnd w:id="64"/>
      <w:r>
        <w:rPr>
          <w:rStyle w:val="24"/>
          <w:rFonts w:ascii="黑体" w:hAnsi="黑体" w:eastAsia="黑体"/>
          <w:b w:val="0"/>
          <w:color w:val="auto"/>
          <w:highlight w:val="none"/>
        </w:rPr>
        <w:tab/>
      </w:r>
    </w:p>
    <w:p>
      <w:pPr>
        <w:pageBreakBefore w:val="0"/>
        <w:kinsoku/>
        <w:bidi w:val="0"/>
        <w:spacing w:line="500" w:lineRule="exact"/>
        <w:ind w:left="0" w:leftChars="0" w:right="0"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681.97</w:t>
      </w:r>
      <w:r>
        <w:rPr>
          <w:rFonts w:hint="eastAsia" w:ascii="仿宋" w:hAnsi="仿宋" w:eastAsia="仿宋"/>
          <w:color w:val="auto"/>
          <w:sz w:val="32"/>
          <w:szCs w:val="32"/>
          <w:highlight w:val="none"/>
        </w:rPr>
        <w:t>万元，其中：</w:t>
      </w:r>
    </w:p>
    <w:p>
      <w:pPr>
        <w:pageBreakBefore w:val="0"/>
        <w:kinsoku/>
        <w:bidi w:val="0"/>
        <w:spacing w:line="500" w:lineRule="exact"/>
        <w:ind w:left="0" w:leftChars="0" w:right="0"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644.42</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37.55</w:t>
      </w:r>
      <w:r>
        <w:rPr>
          <w:rFonts w:hint="eastAsia" w:ascii="仿宋" w:hAnsi="仿宋" w:eastAsia="仿宋"/>
          <w:color w:val="auto"/>
          <w:sz w:val="32"/>
          <w:szCs w:val="32"/>
          <w:highlight w:val="none"/>
        </w:rPr>
        <w:t>万元，主要包括：办公费、印刷费、水费、电费、邮电费、差旅费、维修（护）费、劳务费、委托业务费、公务用车运行维护费、其他交通费、其他商品和服务支出、办公设备购置、专用设备购置等。</w:t>
      </w:r>
    </w:p>
    <w:p>
      <w:pPr>
        <w:pageBreakBefore w:val="0"/>
        <w:kinsoku/>
        <w:bidi w:val="0"/>
        <w:spacing w:line="500" w:lineRule="exact"/>
        <w:ind w:left="0" w:leftChars="0" w:right="0" w:firstLine="640"/>
        <w:outlineLvl w:val="1"/>
        <w:rPr>
          <w:rStyle w:val="24"/>
          <w:rFonts w:ascii="黑体" w:hAnsi="黑体" w:eastAsia="黑体"/>
          <w:b w:val="0"/>
          <w:color w:val="auto"/>
          <w:highlight w:val="none"/>
        </w:rPr>
      </w:pPr>
      <w:bookmarkStart w:id="65" w:name="_Toc15377215"/>
      <w:bookmarkStart w:id="66" w:name="_Toc15396609"/>
      <w:bookmarkStart w:id="67" w:name="_Toc29583"/>
      <w:r>
        <w:rPr>
          <w:rFonts w:hint="eastAsia" w:ascii="黑体" w:eastAsia="黑体"/>
          <w:color w:val="auto"/>
          <w:sz w:val="32"/>
          <w:szCs w:val="32"/>
          <w:highlight w:val="none"/>
        </w:rPr>
        <w:t>七、</w:t>
      </w:r>
      <w:r>
        <w:rPr>
          <w:rStyle w:val="24"/>
          <w:rFonts w:hint="eastAsia" w:ascii="黑体" w:hAnsi="黑体" w:eastAsia="黑体"/>
          <w:b w:val="0"/>
          <w:color w:val="auto"/>
          <w:highlight w:val="none"/>
        </w:rPr>
        <w:t>财政拨款</w:t>
      </w:r>
      <w:r>
        <w:rPr>
          <w:rStyle w:val="24"/>
          <w:rFonts w:hint="eastAsia" w:ascii="黑体" w:hAnsi="黑体" w:eastAsia="黑体"/>
          <w:color w:val="auto"/>
          <w:highlight w:val="none"/>
        </w:rPr>
        <w:t>“</w:t>
      </w:r>
      <w:r>
        <w:rPr>
          <w:rStyle w:val="24"/>
          <w:rFonts w:hint="eastAsia" w:ascii="黑体" w:hAnsi="黑体" w:eastAsia="黑体"/>
          <w:b w:val="0"/>
          <w:color w:val="auto"/>
          <w:highlight w:val="none"/>
        </w:rPr>
        <w:t>三公”经费支出决算情况说明</w:t>
      </w:r>
      <w:bookmarkEnd w:id="65"/>
      <w:bookmarkEnd w:id="66"/>
      <w:bookmarkEnd w:id="67"/>
    </w:p>
    <w:p>
      <w:pPr>
        <w:pageBreakBefore w:val="0"/>
        <w:kinsoku/>
        <w:bidi w:val="0"/>
        <w:spacing w:line="500" w:lineRule="exact"/>
        <w:ind w:left="0" w:leftChars="0" w:right="0" w:firstLine="640"/>
        <w:outlineLvl w:val="2"/>
        <w:rPr>
          <w:rFonts w:ascii="仿宋" w:hAnsi="仿宋" w:eastAsia="仿宋"/>
          <w:b/>
          <w:color w:val="auto"/>
          <w:sz w:val="32"/>
          <w:szCs w:val="32"/>
          <w:highlight w:val="none"/>
        </w:rPr>
      </w:pPr>
      <w:bookmarkStart w:id="68" w:name="_Toc15377216"/>
      <w:r>
        <w:rPr>
          <w:rFonts w:hint="eastAsia" w:ascii="仿宋" w:hAnsi="仿宋" w:eastAsia="仿宋"/>
          <w:b/>
          <w:color w:val="auto"/>
          <w:sz w:val="32"/>
          <w:szCs w:val="32"/>
          <w:highlight w:val="none"/>
        </w:rPr>
        <w:t>（一）“三公”经费财政拨款支出决算总体情况说明</w:t>
      </w:r>
      <w:bookmarkEnd w:id="68"/>
    </w:p>
    <w:p>
      <w:pPr>
        <w:keepNext w:val="0"/>
        <w:keepLines w:val="0"/>
        <w:pageBreakBefore w:val="0"/>
        <w:widowControl w:val="0"/>
        <w:kinsoku/>
        <w:wordWrap/>
        <w:overflowPunct/>
        <w:topLinePunct w:val="0"/>
        <w:autoSpaceDE/>
        <w:autoSpaceDN/>
        <w:bidi w:val="0"/>
        <w:adjustRightInd/>
        <w:snapToGrid/>
        <w:spacing w:line="500" w:lineRule="exact"/>
        <w:ind w:firstLine="640"/>
        <w:textAlignment w:val="auto"/>
        <w:rPr>
          <w:rFonts w:ascii="仿宋" w:hAnsi="仿宋" w:eastAsia="仿宋"/>
          <w:b/>
          <w:color w:val="auto"/>
          <w:sz w:val="32"/>
          <w:szCs w:val="32"/>
          <w:highlight w:val="none"/>
        </w:rPr>
      </w:pPr>
      <w:bookmarkStart w:id="69" w:name="_Toc15377217"/>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_GB2312" w:hAnsi="宋体" w:eastAsia="仿宋_GB2312" w:cs="宋体"/>
          <w:color w:val="auto"/>
          <w:kern w:val="0"/>
          <w:sz w:val="32"/>
          <w:szCs w:val="32"/>
        </w:rPr>
        <w:t>较</w:t>
      </w:r>
      <w:r>
        <w:rPr>
          <w:rFonts w:hint="eastAsia" w:ascii="仿宋_GB2312" w:hAnsi="宋体" w:eastAsia="仿宋_GB2312" w:cs="宋体"/>
          <w:color w:val="auto"/>
          <w:kern w:val="0"/>
          <w:sz w:val="32"/>
          <w:szCs w:val="32"/>
          <w:lang w:eastAsia="zh-CN"/>
        </w:rPr>
        <w:t>2024年</w:t>
      </w:r>
      <w:r>
        <w:rPr>
          <w:rFonts w:hint="eastAsia" w:ascii="仿宋_GB2312" w:hAnsi="宋体" w:eastAsia="仿宋_GB2312" w:cs="宋体"/>
          <w:color w:val="auto"/>
          <w:kern w:val="0"/>
          <w:sz w:val="32"/>
          <w:szCs w:val="32"/>
        </w:rPr>
        <w:t>决算</w:t>
      </w:r>
      <w:r>
        <w:rPr>
          <w:rFonts w:hint="eastAsia" w:ascii="仿宋_GB2312" w:hAnsi="宋体" w:eastAsia="仿宋_GB2312" w:cs="宋体"/>
          <w:color w:val="auto"/>
          <w:kern w:val="0"/>
          <w:sz w:val="32"/>
          <w:szCs w:val="32"/>
          <w:lang w:eastAsia="zh-CN"/>
        </w:rPr>
        <w:t>减少了</w:t>
      </w:r>
      <w:r>
        <w:rPr>
          <w:rFonts w:hint="eastAsia" w:ascii="仿宋_GB2312" w:hAnsi="宋体" w:eastAsia="仿宋_GB2312" w:cs="宋体"/>
          <w:color w:val="auto"/>
          <w:kern w:val="0"/>
          <w:sz w:val="32"/>
          <w:szCs w:val="32"/>
          <w:lang w:val="en-US" w:eastAsia="zh-CN"/>
        </w:rPr>
        <w:t>2.09</w:t>
      </w:r>
      <w:r>
        <w:rPr>
          <w:rFonts w:hint="eastAsia" w:ascii="仿宋_GB2312" w:hAnsi="宋体" w:eastAsia="仿宋_GB2312" w:cs="宋体"/>
          <w:color w:val="auto"/>
          <w:kern w:val="0"/>
          <w:sz w:val="32"/>
          <w:szCs w:val="32"/>
          <w:lang w:eastAsia="zh-CN"/>
        </w:rPr>
        <w:t>%，</w:t>
      </w:r>
      <w:r>
        <w:rPr>
          <w:rFonts w:hint="eastAsia" w:ascii="仿宋_GB2312" w:hAnsi="仿宋" w:eastAsia="仿宋_GB2312" w:cs="Times New Roman"/>
          <w:sz w:val="32"/>
          <w:szCs w:val="32"/>
        </w:rPr>
        <w:t>主要原因为</w:t>
      </w:r>
      <w:r>
        <w:rPr>
          <w:rFonts w:hint="eastAsia" w:ascii="仿宋_GB2312" w:hAnsi="仿宋" w:eastAsia="仿宋_GB2312" w:cs="Times New Roman"/>
          <w:sz w:val="32"/>
          <w:szCs w:val="32"/>
          <w:lang w:eastAsia="zh-CN"/>
        </w:rPr>
        <w:t>厉行节约</w:t>
      </w:r>
      <w:r>
        <w:rPr>
          <w:rFonts w:hint="eastAsia" w:ascii="仿宋_GB2312" w:hAnsi="仿宋" w:eastAsia="仿宋_GB2312" w:cs="Times New Roman"/>
          <w:sz w:val="32"/>
          <w:szCs w:val="32"/>
        </w:rPr>
        <w:t>。</w:t>
      </w:r>
    </w:p>
    <w:p>
      <w:pPr>
        <w:pageBreakBefore w:val="0"/>
        <w:kinsoku/>
        <w:bidi w:val="0"/>
        <w:spacing w:line="500" w:lineRule="exact"/>
        <w:ind w:left="0" w:leftChars="0" w:right="0"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bookmarkEnd w:id="69"/>
    </w:p>
    <w:p>
      <w:pPr>
        <w:pageBreakBefore w:val="0"/>
        <w:kinsoku/>
        <w:bidi w:val="0"/>
        <w:spacing w:line="500" w:lineRule="exact"/>
        <w:ind w:left="0" w:leftChars="0" w:right="0" w:firstLine="640"/>
      </w:pPr>
      <w:r>
        <w:drawing>
          <wp:anchor distT="0" distB="0" distL="114300" distR="114300" simplePos="0" relativeHeight="251672576" behindDoc="0" locked="0" layoutInCell="1" allowOverlap="1">
            <wp:simplePos x="0" y="0"/>
            <wp:positionH relativeFrom="column">
              <wp:posOffset>-52070</wp:posOffset>
            </wp:positionH>
            <wp:positionV relativeFrom="paragraph">
              <wp:posOffset>421640</wp:posOffset>
            </wp:positionV>
            <wp:extent cx="3475990" cy="2024380"/>
            <wp:effectExtent l="4445" t="4445" r="5715" b="9525"/>
            <wp:wrapSquare wrapText="bothSides"/>
            <wp:docPr id="11" name="图表 10"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 w:hAnsi="仿宋" w:eastAsia="仿宋"/>
          <w:color w:val="auto"/>
          <w:sz w:val="32"/>
          <w:szCs w:val="32"/>
          <w:highlight w:val="none"/>
          <w:lang w:eastAsia="zh-CN"/>
        </w:rPr>
        <w:t>2025年</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r>
        <w:rPr>
          <w:rFonts w:hint="eastAsia"/>
          <w:lang w:val="en-US" w:eastAsia="zh-CN"/>
        </w:rPr>
        <w:t xml:space="preserve"> </w:t>
      </w:r>
    </w:p>
    <w:p>
      <w:pPr>
        <w:pageBreakBefore w:val="0"/>
        <w:kinsoku/>
        <w:bidi w:val="0"/>
        <w:spacing w:line="500" w:lineRule="exact"/>
        <w:ind w:left="0" w:leftChars="0" w:right="0" w:firstLine="640"/>
      </w:pPr>
      <w:r>
        <w:rPr>
          <w:rFonts w:hint="eastAsia" w:ascii="仿宋" w:hAnsi="仿宋" w:eastAsia="仿宋"/>
          <w:color w:val="auto"/>
          <w:sz w:val="32"/>
          <w:szCs w:val="32"/>
          <w:highlight w:val="none"/>
        </w:rPr>
        <w:t>（图7：“三公”经费财政拨款支出结构）（饼状图）</w:t>
      </w:r>
    </w:p>
    <w:p>
      <w:pPr>
        <w:pageBreakBefore w:val="0"/>
        <w:kinsoku/>
        <w:bidi w:val="0"/>
        <w:spacing w:line="500" w:lineRule="exact"/>
        <w:ind w:left="0" w:leftChars="0" w:right="0" w:firstLine="64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w:t>
      </w:r>
    </w:p>
    <w:p>
      <w:pPr>
        <w:pageBreakBefore w:val="0"/>
        <w:kinsoku/>
        <w:bidi w:val="0"/>
        <w:spacing w:line="500" w:lineRule="exact"/>
        <w:ind w:left="0" w:leftChars="0" w:right="0"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hAnsi="宋体" w:eastAsia="仿宋_GB2312" w:cs="宋体"/>
          <w:color w:val="auto"/>
          <w:kern w:val="0"/>
          <w:sz w:val="32"/>
          <w:szCs w:val="32"/>
        </w:rPr>
        <w:t>较</w:t>
      </w:r>
      <w:r>
        <w:rPr>
          <w:rFonts w:hint="eastAsia" w:ascii="仿宋_GB2312" w:hAnsi="宋体" w:eastAsia="仿宋_GB2312" w:cs="宋体"/>
          <w:color w:val="auto"/>
          <w:kern w:val="0"/>
          <w:sz w:val="32"/>
          <w:szCs w:val="32"/>
          <w:lang w:eastAsia="zh-CN"/>
        </w:rPr>
        <w:t>2024年</w:t>
      </w:r>
      <w:r>
        <w:rPr>
          <w:rFonts w:hint="eastAsia" w:ascii="仿宋_GB2312" w:hAnsi="宋体" w:eastAsia="仿宋_GB2312" w:cs="宋体"/>
          <w:color w:val="auto"/>
          <w:kern w:val="0"/>
          <w:sz w:val="32"/>
          <w:szCs w:val="32"/>
        </w:rPr>
        <w:t>决算</w:t>
      </w:r>
      <w:r>
        <w:rPr>
          <w:rFonts w:hint="eastAsia" w:ascii="仿宋_GB2312" w:hAnsi="宋体" w:eastAsia="仿宋_GB2312" w:cs="宋体"/>
          <w:color w:val="auto"/>
          <w:kern w:val="0"/>
          <w:sz w:val="32"/>
          <w:szCs w:val="32"/>
          <w:lang w:eastAsia="zh-CN"/>
        </w:rPr>
        <w:t>减少了</w:t>
      </w:r>
      <w:r>
        <w:rPr>
          <w:rFonts w:hint="eastAsia" w:ascii="仿宋_GB2312" w:hAnsi="宋体" w:eastAsia="仿宋_GB2312" w:cs="宋体"/>
          <w:color w:val="auto"/>
          <w:kern w:val="0"/>
          <w:sz w:val="32"/>
          <w:szCs w:val="32"/>
          <w:lang w:val="en-US" w:eastAsia="zh-CN"/>
        </w:rPr>
        <w:t>2.09</w:t>
      </w:r>
      <w:r>
        <w:rPr>
          <w:rFonts w:hint="eastAsia" w:ascii="仿宋_GB2312" w:hAnsi="宋体" w:eastAsia="仿宋_GB2312" w:cs="宋体"/>
          <w:color w:val="auto"/>
          <w:kern w:val="0"/>
          <w:sz w:val="32"/>
          <w:szCs w:val="32"/>
          <w:lang w:eastAsia="zh-CN"/>
        </w:rPr>
        <w:t>%，</w:t>
      </w:r>
      <w:r>
        <w:rPr>
          <w:rFonts w:hint="eastAsia" w:ascii="仿宋_GB2312" w:hAnsi="仿宋" w:eastAsia="仿宋_GB2312" w:cs="Times New Roman"/>
          <w:sz w:val="32"/>
          <w:szCs w:val="32"/>
        </w:rPr>
        <w:t>主要原因为</w:t>
      </w:r>
      <w:r>
        <w:rPr>
          <w:rFonts w:hint="eastAsia" w:ascii="仿宋_GB2312" w:hAnsi="仿宋" w:eastAsia="仿宋_GB2312" w:cs="Times New Roman"/>
          <w:sz w:val="32"/>
          <w:szCs w:val="32"/>
          <w:lang w:eastAsia="zh-CN"/>
        </w:rPr>
        <w:t>厉行节约</w:t>
      </w:r>
      <w:r>
        <w:rPr>
          <w:rFonts w:hint="eastAsia" w:ascii="仿宋_GB2312" w:hAnsi="仿宋" w:eastAsia="仿宋_GB2312" w:cs="Times New Roman"/>
          <w:sz w:val="32"/>
          <w:szCs w:val="32"/>
        </w:rPr>
        <w:t>。</w:t>
      </w:r>
    </w:p>
    <w:p>
      <w:pPr>
        <w:pageBreakBefore w:val="0"/>
        <w:kinsoku/>
        <w:bidi w:val="0"/>
        <w:spacing w:line="500" w:lineRule="exact"/>
        <w:ind w:left="0" w:leftChars="0" w:right="0"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万元，主要用于…。截至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辆，其中：</w:t>
      </w:r>
      <w:r>
        <w:rPr>
          <w:rFonts w:hint="eastAsia" w:ascii="仿宋_GB2312" w:eastAsia="仿宋_GB2312"/>
          <w:color w:val="auto"/>
          <w:sz w:val="32"/>
          <w:szCs w:val="32"/>
          <w:highlight w:val="none"/>
          <w:lang w:eastAsia="zh-CN"/>
        </w:rPr>
        <w:t>大中型客车</w:t>
      </w:r>
      <w:r>
        <w:rPr>
          <w:rFonts w:hint="eastAsia" w:ascii="仿宋_GB2312" w:eastAsia="仿宋_GB2312"/>
          <w:color w:val="auto"/>
          <w:sz w:val="32"/>
          <w:szCs w:val="32"/>
          <w:highlight w:val="none"/>
          <w:lang w:val="en-US" w:eastAsia="zh-CN"/>
        </w:rPr>
        <w:t>2辆，</w:t>
      </w:r>
      <w:r>
        <w:rPr>
          <w:rFonts w:hint="eastAsia" w:ascii="仿宋_GB2312" w:eastAsia="仿宋_GB2312"/>
          <w:color w:val="auto"/>
          <w:sz w:val="32"/>
          <w:szCs w:val="32"/>
          <w:highlight w:val="none"/>
        </w:rPr>
        <w:t>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客车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p>
    <w:p>
      <w:pPr>
        <w:pageBreakBefore w:val="0"/>
        <w:kinsoku/>
        <w:bidi w:val="0"/>
        <w:spacing w:line="500" w:lineRule="exact"/>
        <w:ind w:left="0" w:leftChars="0" w:right="0" w:firstLine="640"/>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单位日常工作的开展、下乡、项目检查</w:t>
      </w:r>
      <w:r>
        <w:rPr>
          <w:rFonts w:hint="eastAsia" w:ascii="仿宋_GB2312" w:eastAsia="仿宋_GB2312"/>
          <w:color w:val="auto"/>
          <w:sz w:val="32"/>
          <w:szCs w:val="32"/>
          <w:highlight w:val="none"/>
        </w:rPr>
        <w:t>等所需的公务用车燃料费、维修费、过路过桥费、保险费等支出。</w:t>
      </w:r>
    </w:p>
    <w:p>
      <w:pPr>
        <w:pageBreakBefore w:val="0"/>
        <w:kinsoku/>
        <w:bidi w:val="0"/>
        <w:spacing w:line="500" w:lineRule="exact"/>
        <w:ind w:left="0" w:leftChars="0" w:right="0" w:firstLine="640"/>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2024年</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下降</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r>
        <w:rPr>
          <w:rFonts w:hint="eastAsia" w:ascii="仿宋_GB2312" w:eastAsia="仿宋_GB2312"/>
          <w:color w:val="auto"/>
          <w:sz w:val="32"/>
          <w:szCs w:val="32"/>
          <w:highlight w:val="none"/>
        </w:rPr>
        <w:t>。其中：</w:t>
      </w:r>
    </w:p>
    <w:p>
      <w:pPr>
        <w:pageBreakBefore w:val="0"/>
        <w:kinsoku/>
        <w:bidi w:val="0"/>
        <w:spacing w:line="500" w:lineRule="exact"/>
        <w:ind w:left="0" w:leftChars="0" w:right="0"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万元，主要用于……(执行公务、开展业务活动开支的交通费、住宿费、用餐费等)。国内公务接待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万元，具体内容包括：…（接待具体项目、金额）。</w:t>
      </w:r>
    </w:p>
    <w:p>
      <w:pPr>
        <w:pageBreakBefore w:val="0"/>
        <w:kinsoku/>
        <w:bidi w:val="0"/>
        <w:spacing w:line="500" w:lineRule="exact"/>
        <w:ind w:left="0" w:leftChars="0" w:right="0" w:firstLine="643" w:firstLineChars="200"/>
        <w:rPr>
          <w:rFonts w:hint="eastAsia" w:ascii="黑体" w:eastAsia="黑体"/>
          <w:color w:val="auto"/>
          <w:sz w:val="32"/>
          <w:szCs w:val="32"/>
          <w:highlight w:val="none"/>
          <w:lang w:val="en-US" w:eastAsia="zh-CN"/>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万元，主要用于接待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（具体项目）</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外事接待</w:t>
      </w:r>
      <w:r>
        <w:rPr>
          <w:rFonts w:ascii="仿宋_GB2312" w:eastAsia="仿宋_GB2312"/>
          <w:color w:val="auto"/>
          <w:sz w:val="32"/>
          <w:szCs w:val="32"/>
          <w:highlight w:val="none"/>
        </w:rPr>
        <w:t>**</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w:t>
      </w:r>
      <w:r>
        <w:rPr>
          <w:rFonts w:hint="eastAsia" w:ascii="仿宋_GB2312" w:eastAsia="仿宋_GB2312"/>
          <w:color w:val="auto"/>
          <w:sz w:val="32"/>
          <w:szCs w:val="32"/>
          <w:highlight w:val="none"/>
          <w:lang w:eastAsia="zh-CN"/>
        </w:rPr>
        <w:t>次（不包括陪同人员）</w:t>
      </w:r>
      <w:r>
        <w:rPr>
          <w:rFonts w:hint="eastAsia" w:ascii="仿宋_GB2312" w:eastAsia="仿宋_GB2312"/>
          <w:color w:val="auto"/>
          <w:sz w:val="32"/>
          <w:szCs w:val="32"/>
          <w:highlight w:val="none"/>
        </w:rPr>
        <w:t>，共计支出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bookmarkStart w:id="70" w:name="_Toc15377218"/>
      <w:bookmarkStart w:id="71" w:name="_Toc15396610"/>
    </w:p>
    <w:p>
      <w:pPr>
        <w:pageBreakBefore w:val="0"/>
        <w:kinsoku/>
        <w:bidi w:val="0"/>
        <w:spacing w:line="500" w:lineRule="exact"/>
        <w:ind w:left="0" w:leftChars="0" w:right="0" w:firstLine="640"/>
        <w:outlineLvl w:val="1"/>
        <w:rPr>
          <w:rStyle w:val="24"/>
          <w:rFonts w:ascii="黑体" w:hAnsi="黑体" w:eastAsia="黑体"/>
          <w:color w:val="auto"/>
          <w:highlight w:val="none"/>
        </w:rPr>
      </w:pPr>
      <w:bookmarkStart w:id="72" w:name="_Toc30899"/>
      <w:r>
        <w:rPr>
          <w:rFonts w:hint="eastAsia" w:ascii="黑体" w:eastAsia="黑体"/>
          <w:color w:val="auto"/>
          <w:sz w:val="32"/>
          <w:szCs w:val="32"/>
          <w:highlight w:val="none"/>
        </w:rPr>
        <w:t>八、</w:t>
      </w:r>
      <w:r>
        <w:rPr>
          <w:rStyle w:val="24"/>
          <w:rFonts w:hint="eastAsia" w:ascii="黑体" w:hAnsi="黑体" w:eastAsia="黑体"/>
          <w:b w:val="0"/>
          <w:color w:val="auto"/>
          <w:highlight w:val="none"/>
        </w:rPr>
        <w:t>政府性基金预算支出决算情况说明</w:t>
      </w:r>
      <w:bookmarkEnd w:id="70"/>
      <w:bookmarkEnd w:id="71"/>
      <w:bookmarkEnd w:id="72"/>
    </w:p>
    <w:p>
      <w:pPr>
        <w:pageBreakBefore w:val="0"/>
        <w:kinsoku/>
        <w:bidi w:val="0"/>
        <w:spacing w:line="500" w:lineRule="exact"/>
        <w:ind w:left="0" w:leftChars="0" w:right="0" w:firstLine="640"/>
        <w:rPr>
          <w:rFonts w:ascii="仿宋_GB2312" w:eastAsia="仿宋_GB2312"/>
          <w:color w:val="auto"/>
          <w:sz w:val="32"/>
          <w:szCs w:val="32"/>
          <w:highlight w:val="none"/>
        </w:rPr>
      </w:pPr>
      <w:bookmarkStart w:id="73" w:name="_Toc24990"/>
      <w:bookmarkStart w:id="74" w:name="_Toc15396611"/>
      <w:bookmarkStart w:id="75" w:name="_Toc15377219"/>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万元。主要原因是我单位没有</w:t>
      </w:r>
      <w:r>
        <w:rPr>
          <w:rFonts w:hint="eastAsia" w:ascii="仿宋_GB2312" w:eastAsia="仿宋_GB2312"/>
          <w:color w:val="auto"/>
          <w:sz w:val="32"/>
          <w:szCs w:val="32"/>
          <w:highlight w:val="none"/>
          <w:lang w:eastAsia="zh-CN"/>
        </w:rPr>
        <w:t>使用</w:t>
      </w:r>
      <w:r>
        <w:rPr>
          <w:rFonts w:hint="eastAsia" w:ascii="仿宋_GB2312" w:eastAsia="仿宋_GB2312"/>
          <w:color w:val="auto"/>
          <w:sz w:val="32"/>
          <w:szCs w:val="32"/>
          <w:highlight w:val="none"/>
        </w:rPr>
        <w:t>政府性基金预算安排的支出，故本项无数据。</w:t>
      </w:r>
    </w:p>
    <w:p>
      <w:pPr>
        <w:pageBreakBefore w:val="0"/>
        <w:numPr>
          <w:ilvl w:val="0"/>
          <w:numId w:val="2"/>
        </w:numPr>
        <w:kinsoku/>
        <w:bidi w:val="0"/>
        <w:spacing w:line="500" w:lineRule="exact"/>
        <w:ind w:left="0" w:leftChars="0" w:right="0" w:firstLine="640"/>
        <w:outlineLvl w:val="1"/>
        <w:rPr>
          <w:rStyle w:val="24"/>
          <w:rFonts w:ascii="黑体" w:hAnsi="黑体" w:eastAsia="黑体"/>
          <w:b w:val="0"/>
          <w:color w:val="auto"/>
          <w:highlight w:val="none"/>
        </w:rPr>
      </w:pPr>
      <w:r>
        <w:rPr>
          <w:rStyle w:val="24"/>
          <w:rFonts w:hint="eastAsia" w:ascii="黑体" w:hAnsi="黑体" w:eastAsia="黑体"/>
          <w:b w:val="0"/>
          <w:color w:val="auto"/>
          <w:highlight w:val="none"/>
        </w:rPr>
        <w:t>国有资本经营预算支出决算情况说明</w:t>
      </w:r>
      <w:bookmarkEnd w:id="73"/>
      <w:bookmarkEnd w:id="74"/>
      <w:bookmarkEnd w:id="75"/>
    </w:p>
    <w:p>
      <w:pPr>
        <w:pageBreakBefore w:val="0"/>
        <w:kinsoku/>
        <w:bidi w:val="0"/>
        <w:spacing w:line="500" w:lineRule="exact"/>
        <w:ind w:left="0" w:leftChars="0" w:right="0" w:firstLine="640"/>
        <w:rPr>
          <w:rFonts w:ascii="微软雅黑" w:hAnsi="微软雅黑" w:eastAsia="微软雅黑" w:cs="微软雅黑"/>
          <w:color w:val="auto"/>
          <w:sz w:val="44"/>
          <w:szCs w:val="44"/>
          <w:highlight w:val="none"/>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国有资本经营预算财政拨款支出0万元。主要原因是我单位没有使用国有资本经营预算安排的支出，故本项无数据。</w:t>
      </w:r>
    </w:p>
    <w:p>
      <w:pPr>
        <w:pageBreakBefore w:val="0"/>
        <w:numPr>
          <w:ilvl w:val="0"/>
          <w:numId w:val="2"/>
        </w:numPr>
        <w:kinsoku/>
        <w:bidi w:val="0"/>
        <w:spacing w:line="500" w:lineRule="exact"/>
        <w:ind w:left="0" w:leftChars="0" w:right="0" w:firstLine="640"/>
        <w:outlineLvl w:val="1"/>
        <w:rPr>
          <w:rStyle w:val="24"/>
          <w:rFonts w:hint="eastAsia" w:ascii="黑体" w:hAnsi="黑体" w:eastAsia="黑体"/>
          <w:b w:val="0"/>
          <w:color w:val="auto"/>
          <w:highlight w:val="none"/>
        </w:rPr>
      </w:pPr>
      <w:bookmarkStart w:id="76" w:name="_Toc15396612"/>
      <w:bookmarkStart w:id="77" w:name="_Toc15377221"/>
      <w:bookmarkStart w:id="78" w:name="_Toc19655"/>
      <w:r>
        <w:rPr>
          <w:rStyle w:val="24"/>
          <w:rFonts w:hint="eastAsia" w:ascii="黑体" w:hAnsi="黑体" w:eastAsia="黑体"/>
          <w:b w:val="0"/>
          <w:color w:val="auto"/>
          <w:highlight w:val="none"/>
        </w:rPr>
        <w:t>其他重要事项的情况说明</w:t>
      </w:r>
      <w:bookmarkEnd w:id="76"/>
      <w:bookmarkEnd w:id="77"/>
      <w:bookmarkEnd w:id="78"/>
    </w:p>
    <w:p>
      <w:pPr>
        <w:pageBreakBefore w:val="0"/>
        <w:kinsoku/>
        <w:bidi w:val="0"/>
        <w:spacing w:line="500" w:lineRule="exact"/>
        <w:ind w:left="0" w:leftChars="0" w:right="0" w:firstLine="643" w:firstLineChars="200"/>
        <w:outlineLvl w:val="2"/>
        <w:rPr>
          <w:rFonts w:ascii="仿宋" w:hAnsi="仿宋" w:eastAsia="仿宋"/>
          <w:color w:val="auto"/>
          <w:sz w:val="32"/>
          <w:szCs w:val="32"/>
          <w:highlight w:val="none"/>
        </w:rPr>
      </w:pPr>
      <w:bookmarkStart w:id="79" w:name="_Toc15377222"/>
      <w:r>
        <w:rPr>
          <w:rFonts w:hint="eastAsia" w:ascii="仿宋" w:hAnsi="仿宋" w:eastAsia="仿宋"/>
          <w:b/>
          <w:color w:val="auto"/>
          <w:sz w:val="32"/>
          <w:szCs w:val="32"/>
          <w:highlight w:val="none"/>
        </w:rPr>
        <w:t>（一）机关运行经费支出情况</w:t>
      </w:r>
      <w:bookmarkEnd w:id="79"/>
    </w:p>
    <w:p>
      <w:pPr>
        <w:keepNext w:val="0"/>
        <w:keepLines w:val="0"/>
        <w:pageBreakBefore w:val="0"/>
        <w:kinsoku/>
        <w:bidi w:val="0"/>
        <w:spacing w:line="500" w:lineRule="exact"/>
        <w:ind w:left="0" w:leftChars="0"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23.02</w:t>
      </w:r>
      <w:r>
        <w:rPr>
          <w:rFonts w:hint="eastAsia" w:ascii="仿宋_GB2312" w:eastAsia="仿宋_GB2312"/>
          <w:color w:val="auto"/>
          <w:sz w:val="32"/>
          <w:szCs w:val="32"/>
          <w:highlight w:val="none"/>
        </w:rPr>
        <w:t>万元，比</w:t>
      </w:r>
      <w:r>
        <w:rPr>
          <w:rFonts w:hint="eastAsia" w:ascii="仿宋_GB2312" w:eastAsia="仿宋_GB2312"/>
          <w:color w:val="auto"/>
          <w:sz w:val="32"/>
          <w:szCs w:val="32"/>
          <w:highlight w:val="none"/>
          <w:lang w:eastAsia="zh-CN"/>
        </w:rPr>
        <w:t>2024年减少</w:t>
      </w:r>
      <w:r>
        <w:rPr>
          <w:rFonts w:hint="eastAsia" w:ascii="仿宋_GB2312" w:eastAsia="仿宋_GB2312"/>
          <w:color w:val="auto"/>
          <w:sz w:val="32"/>
          <w:szCs w:val="32"/>
          <w:highlight w:val="none"/>
          <w:lang w:val="en-US" w:eastAsia="zh-CN"/>
        </w:rPr>
        <w:t>1556.85</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98.54</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厉行节约。</w:t>
      </w:r>
    </w:p>
    <w:p>
      <w:pPr>
        <w:pageBreakBefore w:val="0"/>
        <w:kinsoku/>
        <w:autoSpaceDE w:val="0"/>
        <w:autoSpaceDN w:val="0"/>
        <w:bidi w:val="0"/>
        <w:adjustRightInd w:val="0"/>
        <w:spacing w:line="500" w:lineRule="exact"/>
        <w:ind w:left="0" w:leftChars="0" w:right="0" w:firstLine="643" w:firstLineChars="200"/>
        <w:jc w:val="left"/>
        <w:outlineLvl w:val="2"/>
        <w:rPr>
          <w:rFonts w:ascii="仿宋" w:hAnsi="仿宋" w:eastAsia="仿宋"/>
          <w:b/>
          <w:color w:val="auto"/>
          <w:sz w:val="32"/>
          <w:szCs w:val="32"/>
          <w:highlight w:val="none"/>
        </w:rPr>
      </w:pPr>
      <w:bookmarkStart w:id="80" w:name="_Toc15377223"/>
      <w:r>
        <w:rPr>
          <w:rFonts w:hint="eastAsia" w:ascii="仿宋" w:hAnsi="仿宋" w:eastAsia="仿宋"/>
          <w:b/>
          <w:color w:val="auto"/>
          <w:sz w:val="32"/>
          <w:szCs w:val="32"/>
          <w:highlight w:val="none"/>
        </w:rPr>
        <w:t>（二）政府采购支出情况</w:t>
      </w:r>
      <w:bookmarkEnd w:id="80"/>
    </w:p>
    <w:p>
      <w:pPr>
        <w:keepNext w:val="0"/>
        <w:keepLines w:val="0"/>
        <w:pageBreakBefore w:val="0"/>
        <w:kinsoku/>
        <w:bidi w:val="0"/>
        <w:spacing w:line="500" w:lineRule="exact"/>
        <w:ind w:left="0" w:leftChars="0" w:firstLine="640" w:firstLineChars="200"/>
        <w:rPr>
          <w:rFonts w:ascii="仿宋_GB2312" w:eastAsia="仿宋_GB2312"/>
          <w:color w:val="0000FF"/>
          <w:sz w:val="32"/>
          <w:szCs w:val="32"/>
          <w:highlight w:val="none"/>
        </w:rPr>
      </w:pPr>
      <w:bookmarkStart w:id="81" w:name="_Toc15377224"/>
      <w:r>
        <w:rPr>
          <w:rFonts w:hint="eastAsia" w:ascii="仿宋_GB2312" w:eastAsia="仿宋_GB2312"/>
          <w:color w:val="auto"/>
          <w:sz w:val="32"/>
          <w:szCs w:val="32"/>
          <w:highlight w:val="none"/>
          <w:lang w:eastAsia="zh-CN"/>
        </w:rPr>
        <w:t>2025年</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104.3</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均为</w:t>
      </w:r>
      <w:r>
        <w:rPr>
          <w:rFonts w:hint="eastAsia" w:ascii="仿宋_GB2312" w:eastAsia="仿宋_GB2312"/>
          <w:color w:val="auto"/>
          <w:sz w:val="32"/>
          <w:szCs w:val="32"/>
          <w:highlight w:val="none"/>
        </w:rPr>
        <w:t>政府采购服务支出。</w:t>
      </w:r>
    </w:p>
    <w:p>
      <w:pPr>
        <w:pageBreakBefore w:val="0"/>
        <w:kinsoku/>
        <w:autoSpaceDE w:val="0"/>
        <w:autoSpaceDN w:val="0"/>
        <w:bidi w:val="0"/>
        <w:adjustRightInd w:val="0"/>
        <w:spacing w:line="500" w:lineRule="exact"/>
        <w:ind w:left="0" w:leftChars="0" w:right="0"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bookmarkEnd w:id="81"/>
    </w:p>
    <w:p>
      <w:pPr>
        <w:pageBreakBefore w:val="0"/>
        <w:kinsoku/>
        <w:autoSpaceDE w:val="0"/>
        <w:autoSpaceDN w:val="0"/>
        <w:bidi w:val="0"/>
        <w:adjustRightInd w:val="0"/>
        <w:spacing w:line="500" w:lineRule="exact"/>
        <w:ind w:left="0" w:leftChars="0" w:right="0"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2025年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我单位</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均为</w:t>
      </w:r>
      <w:r>
        <w:rPr>
          <w:rFonts w:hint="eastAsia" w:ascii="仿宋_GB2312" w:eastAsia="仿宋_GB2312"/>
          <w:color w:val="auto"/>
          <w:sz w:val="32"/>
          <w:szCs w:val="32"/>
          <w:highlight w:val="none"/>
        </w:rPr>
        <w:t>应急保障用车。</w:t>
      </w:r>
    </w:p>
    <w:p>
      <w:pPr>
        <w:pageBreakBefore w:val="0"/>
        <w:kinsoku/>
        <w:autoSpaceDE w:val="0"/>
        <w:autoSpaceDN w:val="0"/>
        <w:bidi w:val="0"/>
        <w:adjustRightInd w:val="0"/>
        <w:spacing w:line="500" w:lineRule="exact"/>
        <w:ind w:left="0" w:leftChars="0" w:right="0"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pPr>
        <w:pageBreakBefore w:val="0"/>
        <w:widowControl/>
        <w:kinsoku/>
        <w:bidi w:val="0"/>
        <w:spacing w:line="500" w:lineRule="exact"/>
        <w:ind w:left="0" w:leftChars="0" w:right="0"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度预算编制阶段，组织对</w:t>
      </w:r>
      <w:r>
        <w:rPr>
          <w:rFonts w:hint="eastAsia" w:ascii="仿宋_GB2312" w:hAnsi="仿宋_GB2312" w:eastAsia="仿宋_GB2312" w:cs="仿宋_GB2312"/>
          <w:color w:val="auto"/>
          <w:sz w:val="32"/>
          <w:szCs w:val="32"/>
          <w:highlight w:val="none"/>
          <w:lang w:val="en-US" w:eastAsia="zh-CN"/>
        </w:rPr>
        <w:t>所有</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开展了预算事前绩效评估及</w:t>
      </w:r>
      <w:r>
        <w:rPr>
          <w:rFonts w:hint="eastAsia" w:ascii="仿宋_GB2312" w:hAnsi="仿宋_GB2312" w:eastAsia="仿宋_GB2312" w:cs="仿宋_GB2312"/>
          <w:color w:val="auto"/>
          <w:sz w:val="32"/>
          <w:szCs w:val="32"/>
          <w:highlight w:val="none"/>
        </w:rPr>
        <w:t>编制了绩效目标，预算执行过程中，选取小金县图书馆及青少年活动中心建设项目</w:t>
      </w:r>
      <w:r>
        <w:rPr>
          <w:rFonts w:hint="eastAsia" w:ascii="仿宋_GB2312" w:hAnsi="仿宋_GB2312" w:eastAsia="仿宋_GB2312" w:cs="仿宋_GB2312"/>
          <w:color w:val="auto"/>
          <w:sz w:val="32"/>
          <w:szCs w:val="32"/>
          <w:highlight w:val="none"/>
          <w:lang w:eastAsia="zh-CN"/>
        </w:rPr>
        <w:t>及小金县四姑娘山镇城乡基础设施提升项目等</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个项目开展绩效监控。</w:t>
      </w:r>
    </w:p>
    <w:p>
      <w:pPr>
        <w:pageBreakBefore w:val="0"/>
        <w:widowControl/>
        <w:kinsoku/>
        <w:bidi w:val="0"/>
        <w:spacing w:line="500" w:lineRule="exact"/>
        <w:ind w:left="0" w:leftChars="0" w:right="0"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度一般公共预算全面开展绩效自评，形成</w:t>
      </w:r>
      <w:r>
        <w:rPr>
          <w:rFonts w:hint="eastAsia" w:ascii="仿宋_GB2312" w:hAnsi="仿宋_GB2312" w:eastAsia="仿宋_GB2312" w:cs="仿宋_GB2312"/>
          <w:color w:val="auto"/>
          <w:sz w:val="32"/>
          <w:szCs w:val="32"/>
          <w:highlight w:val="none"/>
          <w:lang w:eastAsia="zh-CN"/>
        </w:rPr>
        <w:t>小金县文化广播电视体育和旅游局</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rPr>
        <w:t>部门整体绩效自评报告</w:t>
      </w:r>
      <w:r>
        <w:rPr>
          <w:rFonts w:hint="eastAsia" w:ascii="仿宋_GB2312" w:hAnsi="仿宋_GB2312" w:eastAsia="仿宋_GB2312" w:cs="仿宋_GB2312"/>
          <w:color w:val="auto"/>
          <w:sz w:val="32"/>
          <w:szCs w:val="32"/>
          <w:highlight w:val="none"/>
          <w:lang w:eastAsia="zh-CN"/>
        </w:rPr>
        <w:t>、戏曲进乡村等专项预算项目绩效自评报告</w:t>
      </w:r>
      <w:r>
        <w:rPr>
          <w:rFonts w:hint="eastAsia" w:ascii="仿宋_GB2312" w:hAnsi="仿宋_GB2312" w:eastAsia="仿宋_GB2312" w:cs="仿宋_GB2312"/>
          <w:color w:val="auto"/>
          <w:sz w:val="32"/>
          <w:szCs w:val="32"/>
          <w:highlight w:val="none"/>
        </w:rPr>
        <w:t>，其中，部门整体绩效自评得分为</w:t>
      </w:r>
      <w:r>
        <w:rPr>
          <w:rFonts w:hint="eastAsia" w:ascii="仿宋_GB2312" w:hAnsi="仿宋_GB2312" w:eastAsia="仿宋_GB2312" w:cs="仿宋_GB2312"/>
          <w:color w:val="auto"/>
          <w:sz w:val="32"/>
          <w:szCs w:val="32"/>
          <w:highlight w:val="none"/>
          <w:lang w:val="en-US" w:eastAsia="zh-CN"/>
        </w:rPr>
        <w:t>91.81</w:t>
      </w:r>
      <w:r>
        <w:rPr>
          <w:rFonts w:hint="eastAsia" w:ascii="仿宋_GB2312" w:hAnsi="仿宋_GB2312" w:eastAsia="仿宋_GB2312" w:cs="仿宋_GB2312"/>
          <w:color w:val="auto"/>
          <w:sz w:val="32"/>
          <w:szCs w:val="32"/>
          <w:highlight w:val="none"/>
        </w:rPr>
        <w:t>分，绩效自评</w:t>
      </w:r>
      <w:r>
        <w:rPr>
          <w:rFonts w:hint="eastAsia" w:ascii="仿宋_GB2312" w:hAnsi="仿宋_GB2312" w:eastAsia="仿宋_GB2312" w:cs="仿宋_GB2312"/>
          <w:color w:val="auto"/>
          <w:sz w:val="32"/>
          <w:szCs w:val="32"/>
          <w:highlight w:val="none"/>
          <w:lang w:eastAsia="zh-CN"/>
        </w:rPr>
        <w:t>综</w:t>
      </w:r>
      <w:r>
        <w:rPr>
          <w:rFonts w:hint="eastAsia" w:ascii="仿宋_GB2312" w:hAnsi="仿宋_GB2312" w:eastAsia="仿宋_GB2312" w:cs="仿宋_GB2312"/>
          <w:color w:val="auto"/>
          <w:sz w:val="32"/>
          <w:szCs w:val="32"/>
          <w:highlight w:val="none"/>
        </w:rPr>
        <w:t>述：</w:t>
      </w:r>
      <w:r>
        <w:rPr>
          <w:rFonts w:hint="eastAsia" w:ascii="仿宋_GB2312" w:hAnsi="仿宋_GB2312" w:eastAsia="仿宋_GB2312" w:cs="仿宋_GB2312"/>
          <w:color w:val="auto"/>
          <w:sz w:val="32"/>
          <w:szCs w:val="32"/>
          <w:highlight w:val="none"/>
          <w:lang w:eastAsia="zh-CN"/>
        </w:rPr>
        <w:t>从绩效评价来看县文广体旅局整体绩效目标依据充分、整体绩效目标与部门履职相符，项目绩效目标编制工作较为合理；预算编制较为合理</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组织管理机构健全，规章制度完善；资金使用基本执行行政单位财务制度；预算执行、预算管理、资产管理，职责履行绩效评价目标实现较为理想，达到预期目的。</w:t>
      </w:r>
      <w:r>
        <w:rPr>
          <w:rFonts w:hint="eastAsia" w:ascii="仿宋_GB2312" w:hAnsi="仿宋_GB2312" w:eastAsia="仿宋_GB2312" w:cs="仿宋_GB2312"/>
          <w:color w:val="auto"/>
          <w:sz w:val="32"/>
          <w:szCs w:val="32"/>
          <w:highlight w:val="none"/>
        </w:rPr>
        <w:t>组织对</w:t>
      </w:r>
      <w:r>
        <w:rPr>
          <w:rFonts w:hint="eastAsia" w:ascii="仿宋_GB2312" w:hAnsi="仿宋_GB2312" w:eastAsia="仿宋_GB2312" w:cs="仿宋_GB2312"/>
          <w:color w:val="auto"/>
          <w:sz w:val="32"/>
          <w:szCs w:val="32"/>
          <w:highlight w:val="none"/>
          <w:lang w:eastAsia="zh-CN"/>
        </w:rPr>
        <w:t>戏曲进乡村、两馆免开、</w:t>
      </w:r>
      <w:r>
        <w:rPr>
          <w:rFonts w:hint="eastAsia" w:ascii="仿宋_GB2312" w:hAnsi="仿宋_GB2312" w:eastAsia="仿宋_GB2312" w:cs="仿宋_GB2312"/>
          <w:color w:val="auto"/>
          <w:sz w:val="32"/>
          <w:szCs w:val="32"/>
          <w:highlight w:val="none"/>
          <w:lang w:val="en-US" w:eastAsia="zh-CN"/>
        </w:rPr>
        <w:t>中央文化人才、户户通、体育馆免开、博物馆纪念馆等7个</w:t>
      </w:r>
      <w:r>
        <w:rPr>
          <w:rFonts w:hint="eastAsia" w:ascii="仿宋_GB2312" w:hAnsi="宋体" w:eastAsia="仿宋_GB2312" w:cs="Times New Roman"/>
          <w:kern w:val="2"/>
          <w:sz w:val="32"/>
          <w:szCs w:val="32"/>
          <w:lang w:val="zh-CN" w:eastAsia="zh-CN" w:bidi="ar-SA"/>
        </w:rPr>
        <w:t>项目进行了</w:t>
      </w:r>
      <w:r>
        <w:rPr>
          <w:rFonts w:hint="eastAsia" w:ascii="仿宋_GB2312" w:hAnsi="仿宋_GB2312" w:eastAsia="仿宋_GB2312" w:cs="仿宋_GB2312"/>
          <w:color w:val="auto"/>
          <w:sz w:val="32"/>
          <w:szCs w:val="32"/>
          <w:highlight w:val="none"/>
        </w:rPr>
        <w:t>专项预算项目绩效自评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绩效自评综述：</w:t>
      </w:r>
      <w:r>
        <w:rPr>
          <w:rFonts w:hint="eastAsia" w:ascii="仿宋_GB2312" w:hAnsi="仿宋_GB2312" w:eastAsia="仿宋_GB2312" w:cs="仿宋_GB2312"/>
          <w:color w:val="auto"/>
          <w:sz w:val="32"/>
          <w:szCs w:val="32"/>
          <w:highlight w:val="none"/>
          <w:lang w:eastAsia="zh-CN"/>
        </w:rPr>
        <w:t>所有项目资金，严格按照工程进度进行报账处理，</w:t>
      </w:r>
      <w:r>
        <w:rPr>
          <w:rFonts w:hint="eastAsia" w:ascii="仿宋_GB2312" w:hAnsi="仿宋_GB2312" w:eastAsia="仿宋_GB2312" w:cs="仿宋_GB2312"/>
          <w:color w:val="auto"/>
          <w:sz w:val="32"/>
          <w:szCs w:val="32"/>
          <w:highlight w:val="none"/>
          <w:lang w:val="en-US" w:eastAsia="zh-CN"/>
        </w:rPr>
        <w:t>严格执行</w:t>
      </w:r>
      <w:r>
        <w:rPr>
          <w:rFonts w:hint="eastAsia" w:ascii="仿宋_GB2312" w:hAnsi="仿宋_GB2312" w:eastAsia="仿宋_GB2312" w:cs="仿宋_GB2312"/>
          <w:color w:val="auto"/>
          <w:sz w:val="32"/>
          <w:szCs w:val="32"/>
          <w:highlight w:val="none"/>
          <w:lang w:val="zh-CN" w:eastAsia="zh-CN"/>
        </w:rPr>
        <w:t>财务管理</w:t>
      </w:r>
      <w:r>
        <w:rPr>
          <w:rFonts w:hint="eastAsia" w:ascii="仿宋_GB2312" w:hAnsi="仿宋_GB2312" w:eastAsia="仿宋_GB2312" w:cs="仿宋_GB2312"/>
          <w:color w:val="auto"/>
          <w:sz w:val="32"/>
          <w:szCs w:val="32"/>
          <w:highlight w:val="none"/>
          <w:lang w:val="en-US" w:eastAsia="zh-CN"/>
        </w:rPr>
        <w:t>报账</w:t>
      </w:r>
      <w:r>
        <w:rPr>
          <w:rFonts w:hint="eastAsia" w:ascii="仿宋_GB2312" w:hAnsi="仿宋_GB2312" w:eastAsia="仿宋_GB2312" w:cs="仿宋_GB2312"/>
          <w:color w:val="auto"/>
          <w:sz w:val="32"/>
          <w:szCs w:val="32"/>
          <w:highlight w:val="none"/>
          <w:lang w:val="zh-CN" w:eastAsia="zh-CN"/>
        </w:rPr>
        <w:t>制度，</w:t>
      </w:r>
      <w:r>
        <w:rPr>
          <w:rFonts w:hint="eastAsia" w:ascii="仿宋_GB2312" w:hAnsi="仿宋_GB2312" w:eastAsia="仿宋_GB2312" w:cs="仿宋_GB2312"/>
          <w:color w:val="auto"/>
          <w:sz w:val="32"/>
          <w:szCs w:val="32"/>
          <w:highlight w:val="none"/>
          <w:lang w:val="en-US" w:eastAsia="zh-CN"/>
        </w:rPr>
        <w:t>建立资金支付台账</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en-US" w:eastAsia="zh-CN"/>
        </w:rPr>
        <w:t>准确保障资金支付安全合理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绩效自评报告详见附件。（如不涉及，可根据实际修改表述。）</w:t>
      </w:r>
      <w:r>
        <w:rPr>
          <w:rFonts w:ascii="仿宋_GB2312" w:eastAsia="仿宋_GB2312"/>
          <w:b/>
          <w:color w:val="auto"/>
          <w:sz w:val="32"/>
          <w:szCs w:val="32"/>
          <w:highlight w:val="none"/>
        </w:rPr>
        <w:br w:type="page"/>
      </w:r>
    </w:p>
    <w:p>
      <w:pPr>
        <w:pageBreakBefore w:val="0"/>
        <w:numPr>
          <w:ilvl w:val="0"/>
          <w:numId w:val="3"/>
        </w:numPr>
        <w:kinsoku/>
        <w:bidi w:val="0"/>
        <w:spacing w:line="500" w:lineRule="exact"/>
        <w:ind w:left="0" w:leftChars="0" w:right="0" w:firstLine="660" w:firstLineChars="150"/>
        <w:jc w:val="center"/>
        <w:outlineLvl w:val="0"/>
        <w:rPr>
          <w:rStyle w:val="23"/>
          <w:rFonts w:ascii="黑体" w:hAnsi="黑体" w:eastAsia="黑体"/>
          <w:b w:val="0"/>
          <w:color w:val="auto"/>
          <w:highlight w:val="none"/>
        </w:rPr>
      </w:pPr>
      <w:bookmarkStart w:id="82" w:name="_Toc11452"/>
      <w:bookmarkStart w:id="83" w:name="_Toc15396613"/>
      <w:bookmarkStart w:id="84" w:name="_Toc15377225"/>
      <w:r>
        <w:rPr>
          <w:rFonts w:hint="eastAsia" w:ascii="黑体" w:hAnsi="黑体" w:eastAsia="黑体"/>
          <w:color w:val="auto"/>
          <w:sz w:val="44"/>
          <w:szCs w:val="44"/>
          <w:highlight w:val="none"/>
        </w:rPr>
        <w:t>名</w:t>
      </w:r>
      <w:r>
        <w:rPr>
          <w:rStyle w:val="23"/>
          <w:rFonts w:hint="eastAsia" w:ascii="黑体" w:hAnsi="黑体" w:eastAsia="黑体"/>
          <w:b w:val="0"/>
          <w:color w:val="auto"/>
          <w:highlight w:val="none"/>
        </w:rPr>
        <w:t>词解释</w:t>
      </w:r>
      <w:bookmarkEnd w:id="82"/>
      <w:bookmarkEnd w:id="83"/>
      <w:bookmarkEnd w:id="84"/>
    </w:p>
    <w:p>
      <w:pPr>
        <w:pageBreakBefore w:val="0"/>
        <w:kinsoku/>
        <w:bidi w:val="0"/>
        <w:spacing w:line="500" w:lineRule="exact"/>
        <w:ind w:left="0" w:leftChars="0" w:right="0"/>
        <w:jc w:val="left"/>
        <w:rPr>
          <w:rFonts w:ascii="宋体"/>
          <w:b/>
          <w:color w:val="auto"/>
          <w:sz w:val="44"/>
          <w:szCs w:val="44"/>
          <w:highlight w:val="none"/>
        </w:rPr>
      </w:pP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1.财政拨款收入：本科目核算行政单位从同级财政部门取得的财政预算资金。</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2.事业收入：本科目核算事业单位开展专业业务活动及其辅助活动取得的收入。</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3.经营收入：本科目核算事业单位在专业业务活动及其辅助活动之外开展非独立核算经营活动取得的收入。</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4.其他收入：事业单位本科目核算事业单位除财政补助收入、事业收入、上级补助收入、附属单位上缴收入、经营收入以外的各项收入；行政单位本科核算行政单位取得的除财政拨款收入以外的其他各项收入。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 xml:space="preserve">6.年初结转和结余：指以前年度尚未完成、结转到本年按有关规定继续使用的资金。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7.结余分配：指事业单位按照事业单位会计制度的规定从非财政补助结余中分配的事业基金和职工福利基金等。</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rPr>
        <w:t>8、年末结转和结余：指单位按有关规定结转到下年或以后年度继续使用的资金。</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9.一般公共服务支出：反映政府提供一般公共服务的支出。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.文化体育与传媒支出：反映政府在文化、体育、广播影视、新闻出版等方面的支出。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1</w:t>
      </w:r>
      <w:r>
        <w:rPr>
          <w:rFonts w:hint="eastAsia" w:ascii="仿宋_GB2312" w:eastAsia="仿宋_GB2312"/>
          <w:sz w:val="32"/>
          <w:szCs w:val="32"/>
        </w:rPr>
        <w:t>.社会保障和就业支出：反映政府在社会保障与就业方面的支出。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2</w:t>
      </w:r>
      <w:r>
        <w:rPr>
          <w:rFonts w:hint="eastAsia" w:ascii="仿宋_GB2312" w:eastAsia="仿宋_GB2312"/>
          <w:sz w:val="32"/>
          <w:szCs w:val="32"/>
        </w:rPr>
        <w:t>.医疗卫生与计划生育支出：反映政府医疗卫生与计划生育管理方面的支出。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.住房保障支出：集中反映政府用于住房方面的支出。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.基本支出：指为保障机构正常运转、完成日常工作任务而发生的人员支出和公用支出。</w:t>
      </w:r>
    </w:p>
    <w:p>
      <w:pPr>
        <w:keepNext w:val="0"/>
        <w:keepLines w:val="0"/>
        <w:pageBreakBefore w:val="0"/>
        <w:kinsoku/>
        <w:bidi w:val="0"/>
        <w:spacing w:line="500" w:lineRule="exact"/>
        <w:ind w:left="0" w:leftChars="0" w:firstLine="640" w:firstLineChars="200"/>
        <w:rPr>
          <w:rFonts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 xml:space="preserve">.项目支出：指在基本支出之外为完成特定行政任务和事业发展目标所发生的支出。 </w:t>
      </w:r>
    </w:p>
    <w:p>
      <w:pPr>
        <w:pStyle w:val="33"/>
        <w:keepNext w:val="0"/>
        <w:keepLines w:val="0"/>
        <w:pageBreakBefore w:val="0"/>
        <w:kinsoku/>
        <w:bidi w:val="0"/>
        <w:spacing w:line="500" w:lineRule="exact"/>
        <w:ind w:left="0" w:leftChars="0"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keepNext w:val="0"/>
        <w:keepLines w:val="0"/>
        <w:pageBreakBefore w:val="0"/>
        <w:kinsoku/>
        <w:bidi w:val="0"/>
        <w:spacing w:line="500" w:lineRule="exact"/>
        <w:ind w:left="0" w:leftChars="0" w:firstLine="640" w:firstLineChars="200"/>
        <w:rPr>
          <w:rFonts w:ascii="黑体" w:hAnsi="黑体" w:eastAsia="黑体"/>
          <w:color w:val="auto"/>
          <w:sz w:val="44"/>
          <w:szCs w:val="44"/>
        </w:rPr>
      </w:pPr>
      <w:r>
        <w:rPr>
          <w:rFonts w:hint="eastAsia" w:ascii="仿宋_GB2312" w:eastAsia="仿宋_GB2312"/>
          <w:color w:val="auto"/>
          <w:sz w:val="32"/>
          <w:szCs w:val="32"/>
          <w:lang w:val="en-US" w:eastAsia="zh-CN"/>
        </w:rPr>
        <w:t>17</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kinsoku/>
        <w:bidi w:val="0"/>
        <w:spacing w:line="500" w:lineRule="exact"/>
        <w:ind w:left="0" w:leftChars="0" w:firstLine="640" w:firstLineChars="200"/>
        <w:rPr>
          <w:rFonts w:ascii="仿宋_GB2312" w:eastAsia="仿宋_GB2312"/>
          <w:color w:val="auto"/>
          <w:sz w:val="32"/>
          <w:szCs w:val="32"/>
          <w:highlight w:val="none"/>
        </w:rPr>
      </w:pPr>
    </w:p>
    <w:p>
      <w:pPr>
        <w:pageBreakBefore w:val="0"/>
        <w:kinsoku/>
        <w:bidi w:val="0"/>
        <w:spacing w:line="500" w:lineRule="exact"/>
        <w:ind w:left="0" w:leftChars="0" w:right="0" w:firstLine="640" w:firstLineChars="200"/>
        <w:rPr>
          <w:rFonts w:ascii="仿宋_GB2312" w:eastAsia="仿宋_GB2312"/>
          <w:color w:val="auto"/>
          <w:sz w:val="32"/>
          <w:szCs w:val="32"/>
          <w:highlight w:val="none"/>
        </w:rPr>
      </w:pPr>
    </w:p>
    <w:p>
      <w:pPr>
        <w:pageBreakBefore w:val="0"/>
        <w:kinsoku/>
        <w:bidi w:val="0"/>
        <w:spacing w:line="500" w:lineRule="exact"/>
        <w:ind w:left="0" w:leftChars="0" w:right="0"/>
        <w:jc w:val="center"/>
        <w:outlineLvl w:val="0"/>
        <w:rPr>
          <w:rFonts w:hint="eastAsia" w:ascii="黑体" w:hAnsi="黑体" w:eastAsia="黑体"/>
          <w:color w:val="auto"/>
          <w:sz w:val="44"/>
          <w:szCs w:val="44"/>
          <w:highlight w:val="none"/>
        </w:rPr>
      </w:pPr>
      <w:bookmarkStart w:id="85" w:name="_Toc15396614"/>
      <w:bookmarkStart w:id="86" w:name="_Toc12031"/>
      <w:bookmarkStart w:id="87" w:name="_Toc15377226"/>
    </w:p>
    <w:p>
      <w:pPr>
        <w:pageBreakBefore w:val="0"/>
        <w:kinsoku/>
        <w:bidi w:val="0"/>
        <w:spacing w:line="500" w:lineRule="exact"/>
        <w:ind w:left="0" w:leftChars="0" w:right="0"/>
        <w:jc w:val="both"/>
        <w:outlineLvl w:val="0"/>
        <w:rPr>
          <w:rFonts w:hint="eastAsia" w:ascii="黑体" w:hAnsi="黑体" w:eastAsia="黑体"/>
          <w:color w:val="auto"/>
          <w:sz w:val="44"/>
          <w:szCs w:val="44"/>
          <w:highlight w:val="none"/>
        </w:rPr>
      </w:pPr>
    </w:p>
    <w:p>
      <w:pPr>
        <w:pageBreakBefore w:val="0"/>
        <w:kinsoku/>
        <w:bidi w:val="0"/>
        <w:spacing w:line="500" w:lineRule="exact"/>
        <w:ind w:left="0" w:leftChars="0" w:right="0"/>
        <w:jc w:val="center"/>
        <w:outlineLvl w:val="0"/>
        <w:rPr>
          <w:rFonts w:hint="eastAsia" w:ascii="黑体" w:hAnsi="黑体" w:eastAsia="黑体"/>
          <w:color w:val="auto"/>
          <w:sz w:val="44"/>
          <w:szCs w:val="44"/>
          <w:highlight w:val="none"/>
        </w:rPr>
      </w:pPr>
    </w:p>
    <w:p>
      <w:pPr>
        <w:pageBreakBefore w:val="0"/>
        <w:numPr>
          <w:ilvl w:val="0"/>
          <w:numId w:val="3"/>
        </w:numPr>
        <w:kinsoku/>
        <w:bidi w:val="0"/>
        <w:spacing w:line="500" w:lineRule="exact"/>
        <w:ind w:left="0" w:leftChars="0" w:right="0" w:firstLine="660" w:firstLineChars="150"/>
        <w:jc w:val="center"/>
        <w:outlineLvl w:val="0"/>
        <w:rPr>
          <w:rStyle w:val="23"/>
          <w:rFonts w:hint="eastAsia" w:ascii="黑体" w:hAnsi="黑体" w:eastAsia="黑体"/>
          <w:b w:val="0"/>
          <w:color w:val="auto"/>
          <w:highlight w:val="none"/>
        </w:rPr>
      </w:pPr>
      <w:r>
        <w:rPr>
          <w:rStyle w:val="23"/>
          <w:rFonts w:hint="eastAsia" w:ascii="黑体" w:hAnsi="黑体" w:eastAsia="黑体"/>
          <w:b w:val="0"/>
          <w:color w:val="auto"/>
          <w:highlight w:val="none"/>
        </w:rPr>
        <w:t>附件</w:t>
      </w:r>
      <w:bookmarkEnd w:id="85"/>
      <w:bookmarkEnd w:id="86"/>
    </w:p>
    <w:p>
      <w:pPr>
        <w:pStyle w:val="7"/>
        <w:rPr>
          <w:rFonts w:hint="default" w:eastAsia="黑体"/>
          <w:sz w:val="32"/>
          <w:szCs w:val="32"/>
          <w:lang w:val="en-US" w:eastAsia="zh-CN"/>
        </w:rPr>
      </w:pPr>
      <w:r>
        <w:rPr>
          <w:rStyle w:val="23"/>
          <w:rFonts w:hint="eastAsia" w:ascii="黑体" w:hAnsi="黑体" w:eastAsia="黑体"/>
          <w:b w:val="0"/>
          <w:color w:val="auto"/>
          <w:sz w:val="32"/>
          <w:szCs w:val="32"/>
          <w:highlight w:val="none"/>
          <w:lang w:eastAsia="zh-CN"/>
        </w:rPr>
        <w:t>附件</w:t>
      </w:r>
      <w:r>
        <w:rPr>
          <w:rStyle w:val="23"/>
          <w:rFonts w:hint="eastAsia" w:ascii="黑体" w:hAnsi="黑体" w:eastAsia="黑体"/>
          <w:b w:val="0"/>
          <w:color w:val="auto"/>
          <w:sz w:val="32"/>
          <w:szCs w:val="32"/>
          <w:highlight w:val="none"/>
          <w:lang w:val="en-US" w:eastAsia="zh-CN"/>
        </w:rPr>
        <w:t>1</w:t>
      </w:r>
    </w:p>
    <w:p>
      <w:pPr>
        <w:pageBreakBefore w:val="0"/>
        <w:numPr>
          <w:ilvl w:val="0"/>
          <w:numId w:val="0"/>
        </w:numPr>
        <w:kinsoku/>
        <w:bidi w:val="0"/>
        <w:spacing w:line="500" w:lineRule="exact"/>
        <w:ind w:leftChars="150" w:right="0" w:rightChars="0"/>
        <w:jc w:val="both"/>
        <w:outlineLvl w:val="0"/>
        <w:rPr>
          <w:rFonts w:hint="eastAsia" w:ascii="方正小标宋简体" w:hAnsi="方正小标宋简体" w:eastAsia="方正小标宋简体" w:cs="方正小标宋简体"/>
          <w:b w:val="0"/>
          <w:bCs/>
          <w:spacing w:val="-20"/>
          <w:sz w:val="44"/>
          <w:szCs w:val="44"/>
          <w:highlight w:val="none"/>
          <w:lang w:eastAsia="zh-CN"/>
        </w:rPr>
      </w:pPr>
    </w:p>
    <w:p>
      <w:pPr>
        <w:pageBreakBefore w:val="0"/>
        <w:numPr>
          <w:ilvl w:val="0"/>
          <w:numId w:val="0"/>
        </w:numPr>
        <w:kinsoku/>
        <w:bidi w:val="0"/>
        <w:spacing w:line="500" w:lineRule="exact"/>
        <w:ind w:leftChars="150" w:right="0" w:rightChars="0" w:firstLine="800" w:firstLineChars="200"/>
        <w:jc w:val="both"/>
        <w:outlineLvl w:val="0"/>
        <w:rPr>
          <w:rFonts w:hint="eastAsia" w:ascii="方正小标宋简体" w:hAnsi="方正小标宋简体" w:eastAsia="方正小标宋简体" w:cs="方正小标宋简体"/>
          <w:b w:val="0"/>
          <w:bCs/>
          <w:spacing w:val="-20"/>
          <w:sz w:val="44"/>
          <w:szCs w:val="44"/>
          <w:highlight w:val="none"/>
          <w:lang w:eastAsia="zh-CN"/>
        </w:rPr>
      </w:pPr>
      <w:r>
        <w:rPr>
          <w:rFonts w:hint="eastAsia" w:ascii="方正小标宋简体" w:hAnsi="方正小标宋简体" w:eastAsia="方正小标宋简体" w:cs="方正小标宋简体"/>
          <w:b w:val="0"/>
          <w:bCs/>
          <w:spacing w:val="-20"/>
          <w:sz w:val="44"/>
          <w:szCs w:val="44"/>
          <w:highlight w:val="none"/>
          <w:lang w:eastAsia="zh-CN"/>
        </w:rPr>
        <w:t>小金县文化广播电视体育和旅游局</w:t>
      </w:r>
    </w:p>
    <w:p>
      <w:pPr>
        <w:keepNext w:val="0"/>
        <w:keepLines w:val="0"/>
        <w:pageBreakBefore w:val="0"/>
        <w:widowControl w:val="0"/>
        <w:kinsoku/>
        <w:wordWrap/>
        <w:overflowPunct/>
        <w:topLinePunct w:val="0"/>
        <w:autoSpaceDE/>
        <w:autoSpaceDN/>
        <w:bidi w:val="0"/>
        <w:adjustRightInd/>
        <w:snapToGrid/>
        <w:spacing w:line="666" w:lineRule="exact"/>
        <w:ind w:firstLine="0" w:firstLineChars="0"/>
        <w:jc w:val="center"/>
        <w:textAlignment w:val="auto"/>
        <w:rPr>
          <w:rFonts w:hint="default" w:ascii="方正小标宋简体" w:hAnsi="方正小标宋简体" w:eastAsia="方正小标宋简体" w:cs="方正小标宋简体"/>
          <w:b w:val="0"/>
          <w:bCs/>
          <w:spacing w:val="-20"/>
          <w:sz w:val="44"/>
          <w:szCs w:val="44"/>
          <w:highlight w:val="none"/>
        </w:rPr>
      </w:pPr>
      <w:r>
        <w:rPr>
          <w:rFonts w:hint="eastAsia" w:ascii="方正小标宋简体" w:hAnsi="方正小标宋简体" w:eastAsia="方正小标宋简体" w:cs="方正小标宋简体"/>
          <w:b w:val="0"/>
          <w:bCs/>
          <w:spacing w:val="-20"/>
          <w:sz w:val="44"/>
          <w:szCs w:val="44"/>
          <w:highlight w:val="none"/>
          <w:lang w:val="en-US" w:eastAsia="zh-CN"/>
        </w:rPr>
        <w:t>2025年</w:t>
      </w:r>
      <w:r>
        <w:rPr>
          <w:rFonts w:hint="default" w:ascii="方正小标宋简体" w:hAnsi="方正小标宋简体" w:eastAsia="方正小标宋简体" w:cs="方正小标宋简体"/>
          <w:b w:val="0"/>
          <w:bCs/>
          <w:spacing w:val="-20"/>
          <w:sz w:val="44"/>
          <w:szCs w:val="44"/>
          <w:highlight w:val="none"/>
        </w:rPr>
        <w:t>部门</w:t>
      </w:r>
      <w:r>
        <w:rPr>
          <w:rFonts w:hint="default" w:ascii="方正小标宋简体" w:hAnsi="方正小标宋简体" w:eastAsia="方正小标宋简体" w:cs="方正小标宋简体"/>
          <w:b w:val="0"/>
          <w:bCs/>
          <w:spacing w:val="-20"/>
          <w:sz w:val="44"/>
          <w:szCs w:val="44"/>
          <w:highlight w:val="none"/>
          <w:lang w:eastAsia="zh-CN"/>
        </w:rPr>
        <w:t>预算</w:t>
      </w:r>
      <w:r>
        <w:rPr>
          <w:rFonts w:hint="default" w:ascii="方正小标宋简体" w:hAnsi="方正小标宋简体" w:eastAsia="方正小标宋简体" w:cs="方正小标宋简体"/>
          <w:b w:val="0"/>
          <w:bCs/>
          <w:spacing w:val="-20"/>
          <w:sz w:val="44"/>
          <w:szCs w:val="44"/>
          <w:highlight w:val="none"/>
        </w:rPr>
        <w:t>绩效</w:t>
      </w:r>
      <w:r>
        <w:rPr>
          <w:rFonts w:hint="eastAsia" w:ascii="方正小标宋简体" w:hAnsi="方正小标宋简体" w:eastAsia="方正小标宋简体" w:cs="方正小标宋简体"/>
          <w:b w:val="0"/>
          <w:bCs/>
          <w:spacing w:val="-20"/>
          <w:sz w:val="44"/>
          <w:szCs w:val="44"/>
          <w:highlight w:val="none"/>
          <w:lang w:eastAsia="zh-CN"/>
        </w:rPr>
        <w:t>评价</w:t>
      </w:r>
      <w:r>
        <w:rPr>
          <w:rFonts w:hint="default" w:ascii="方正小标宋简体" w:hAnsi="方正小标宋简体" w:eastAsia="方正小标宋简体" w:cs="方正小标宋简体"/>
          <w:b w:val="0"/>
          <w:bCs/>
          <w:spacing w:val="-20"/>
          <w:sz w:val="44"/>
          <w:szCs w:val="44"/>
          <w:highlight w:val="none"/>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0"/>
          <w:sz w:val="32"/>
          <w:szCs w:val="32"/>
          <w:highlight w:val="none"/>
          <w:shd w:val="clear" w:color="auto" w:fill="FFFFFF"/>
          <w:lang w:val="zh-CN"/>
        </w:rPr>
        <w:t>（一）机构组成。</w:t>
      </w:r>
      <w:r>
        <w:rPr>
          <w:rFonts w:hint="eastAsia" w:ascii="仿宋_GB2312" w:hAnsi="仿宋_GB2312" w:eastAsia="仿宋_GB2312" w:cs="仿宋_GB2312"/>
          <w:color w:val="auto"/>
          <w:kern w:val="0"/>
          <w:sz w:val="32"/>
          <w:szCs w:val="32"/>
          <w:highlight w:val="none"/>
          <w:shd w:val="clear" w:color="auto" w:fill="FFFFFF"/>
          <w:lang w:val="zh-CN" w:eastAsia="zh-CN"/>
        </w:rPr>
        <w:t>小金县文化广播电视体育和旅游局是小金县的政府组成部门，</w:t>
      </w:r>
      <w:r>
        <w:rPr>
          <w:rFonts w:hint="eastAsia" w:ascii="仿宋_GB2312" w:hAnsi="仿宋_GB2312" w:eastAsia="仿宋_GB2312" w:cs="仿宋_GB2312"/>
          <w:color w:val="auto"/>
          <w:sz w:val="32"/>
          <w:szCs w:val="32"/>
          <w:highlight w:val="none"/>
        </w:rPr>
        <w:t>负责全县文化、体育、旅游、广电相关工作。内设6股1室，分别是办公室、文化股、公共服务和体育股、产业发展和资源开发股、市场管理和宣传营销股、政策法规和规划指导股（行政审批股）、广播电视股。所属股所级事业单位6个，分别是文化馆、图书馆、文物管理所、业余体校、小金县红军长征两河口会议纪念馆、文化旅游事务服务中心。</w:t>
      </w:r>
    </w:p>
    <w:p>
      <w:pPr>
        <w:pStyle w:val="17"/>
        <w:keepNext w:val="0"/>
        <w:keepLines w:val="0"/>
        <w:pageBreakBefore w:val="0"/>
        <w:widowControl/>
        <w:kinsoku/>
        <w:wordWrap/>
        <w:overflowPunct/>
        <w:topLinePunct w:val="0"/>
        <w:autoSpaceDE/>
        <w:autoSpaceDN/>
        <w:bidi w:val="0"/>
        <w:spacing w:before="0" w:beforeAutospacing="0" w:after="0" w:afterAutospacing="0" w:line="576" w:lineRule="exact"/>
        <w:ind w:firstLine="643"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0"/>
          <w:sz w:val="32"/>
          <w:szCs w:val="32"/>
          <w:highlight w:val="none"/>
          <w:shd w:val="clear" w:color="auto" w:fill="FFFFFF"/>
          <w:lang w:val="zh-CN" w:eastAsia="zh-CN" w:bidi="ar-SA"/>
        </w:rPr>
        <w:t>（二）机构职能。</w:t>
      </w:r>
      <w:r>
        <w:rPr>
          <w:rFonts w:hint="eastAsia" w:ascii="仿宋_GB2312" w:hAnsi="仿宋_GB2312" w:eastAsia="仿宋_GB2312" w:cs="仿宋_GB2312"/>
          <w:color w:val="auto"/>
          <w:sz w:val="32"/>
          <w:szCs w:val="32"/>
          <w:highlight w:val="none"/>
        </w:rPr>
        <w:t>县文</w:t>
      </w:r>
      <w:r>
        <w:rPr>
          <w:rFonts w:hint="eastAsia" w:ascii="仿宋_GB2312" w:hAnsi="仿宋_GB2312" w:eastAsia="仿宋_GB2312" w:cs="仿宋_GB2312"/>
          <w:color w:val="auto"/>
          <w:sz w:val="32"/>
          <w:szCs w:val="32"/>
          <w:highlight w:val="none"/>
          <w:lang w:eastAsia="zh-CN"/>
        </w:rPr>
        <w:t>广</w:t>
      </w:r>
      <w:r>
        <w:rPr>
          <w:rFonts w:hint="eastAsia" w:ascii="仿宋_GB2312" w:hAnsi="仿宋_GB2312" w:eastAsia="仿宋_GB2312" w:cs="仿宋_GB2312"/>
          <w:color w:val="auto"/>
          <w:sz w:val="32"/>
          <w:szCs w:val="32"/>
          <w:highlight w:val="none"/>
        </w:rPr>
        <w:t>体旅局贯彻落实党中央关于文化、体育、旅游工作的方针政策和省委、州委、县委的决策部署，在履行职责的过程中坚持和加强党对文化、体育、旅游、广播电视工作的集中统一领导。主要职责是：</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cs="仿宋_GB2312"/>
          <w:color w:val="auto"/>
          <w:sz w:val="32"/>
          <w:szCs w:val="32"/>
          <w:highlight w:val="none"/>
          <w:lang w:eastAsia="zh-CN"/>
        </w:rPr>
        <w:t>拟定</w:t>
      </w:r>
      <w:r>
        <w:rPr>
          <w:rFonts w:hint="eastAsia" w:ascii="仿宋_GB2312" w:hAnsi="仿宋_GB2312" w:eastAsia="仿宋_GB2312" w:cs="仿宋_GB2312"/>
          <w:color w:val="auto"/>
          <w:sz w:val="32"/>
          <w:szCs w:val="32"/>
          <w:highlight w:val="none"/>
        </w:rPr>
        <w:t>文化、体育和旅游政策措施，负责本部门依法行政工作。推进文化、体育和旅游产业融合发展。</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2.组织实施全县文化、体育和旅游资源的普查、保护与利用；管理全县性重大文化、体育和旅游活动，组织全县重点文化、体育、旅游设施建设。组织实施全县文化、体育和旅游整体形象推广。</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弘扬优秀传统文化，推动本地特色文化传承发展。指导管理文艺事业，把握正确的创作导向，推动文化艺术创作生产，扶持体现社会主义核心价值观、具有导向性代表性示范性的文化艺术作品，推动各门类艺术、各艺术品种发展。负责非物质文化遗产保护工作，推动非物质文化遗产的保护、传承、普及、弘扬和振兴。管理和指导全县文物保护、利用和考古工作，组织开展文物资源调查工作。协调、指导和监督全县文物安全工作，履行文物行政督察职能。负责全县世界文化遗产保护和管理监督工作，协同相关部门组织开展世界文化与自然遗产、历史文化名城（镇、村）申报和监督管理工作。负责全县文物和博物馆公共服务体系建设。</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4.负责公共文化、体育事业发展，推进全县公共文化体育服务体系建设和旅游公共服务建设，深入实施惠民工程，统筹推进文化、体育、旅游基本公共服务标准化、均等化。</w:t>
      </w:r>
    </w:p>
    <w:p>
      <w:pPr>
        <w:keepNext w:val="0"/>
        <w:keepLines w:val="0"/>
        <w:pageBreakBefore w:val="0"/>
        <w:kinsoku/>
        <w:wordWrap/>
        <w:topLinePunct w:val="0"/>
        <w:autoSpaceDE/>
        <w:autoSpaceDN/>
        <w:bidi w:val="0"/>
        <w:spacing w:line="576"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负责文化、体育和旅游行业信息化、标准化建设。推进文化和旅游科技创新。负责全县体育科研、技术攻关和成果推广。</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负责拟订全县群众体育发展规划并组织实施。贯彻落实全民健身计划，建立和完善全民健身服务体系，指导和开展群众性体育活动。负责挖掘、传承、保护全县少数民族传统体育项目。负责拟订青少年（学校）体育工作发展规划并组织实施。负责青少年体育锻炼标准的组织实施，指导各级各类体育学校的建设和青少年业余训练及相关活动。</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推动全县文化、体育和旅游市场发展，对全县文化、体育和旅游市场依法进行行业监管，依法规范文化、体育和旅游市场。推进文化、体育和旅游行业信用体系建设。负责全县旅游景区管理机构、文旅企业的行业管理和标准化建设。</w:t>
      </w:r>
    </w:p>
    <w:p>
      <w:pPr>
        <w:keepNext w:val="0"/>
        <w:keepLines w:val="0"/>
        <w:pageBreakBefore w:val="0"/>
        <w:widowControl/>
        <w:kinsoku/>
        <w:wordWrap/>
        <w:topLinePunct w:val="0"/>
        <w:autoSpaceDE/>
        <w:autoSpaceDN/>
        <w:bidi w:val="0"/>
        <w:spacing w:line="576" w:lineRule="exac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统筹规范文化和体育市场综合行政执法，组织查处全县性、跨区域文化和体育等违法行为。</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负责文化、体育和旅游行业安全生产工作的综合协调与监督管理，制定职责范围内的安全生产年度监督检查计划并组织实施。依法履行行业职业健康监管职责，承担职责范围内生态环境保护、公共机构节能减排、审批服务便民化等工作。</w:t>
      </w:r>
    </w:p>
    <w:p>
      <w:pPr>
        <w:keepNext w:val="0"/>
        <w:keepLines w:val="0"/>
        <w:pageBreakBefore w:val="0"/>
        <w:kinsoku/>
        <w:wordWrap/>
        <w:topLinePunct w:val="0"/>
        <w:autoSpaceDE/>
        <w:autoSpaceDN/>
        <w:bidi w:val="0"/>
        <w:adjustRightInd w:val="0"/>
        <w:snapToGrid w:val="0"/>
        <w:spacing w:line="576" w:lineRule="exact"/>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 拟订全县广播电视事业、广播电视产业发展规划，组织实施公共服务重大公益工程及公益活动，推动产业发展。拟订全县广播电视、网络视听节目服务管理的政策措施，加强广播电视阵地建设。负责利用广播电视加强党和政府的声音传播力，抢占舆论高地，强化舆论反制，巩固意识形态阵地。负责广播电视节目传输覆盖、监测和安全播出的监督管理，指导、推进应急广播体系建设负责对全县各类广播电视机构进行业务指导和行业监管，会同有关部门对网络视听节目服务机构进行管理。</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小金文化软实力，建设体育强县，努力开创文化、体育和旅游工作新局面。</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10.与县科学技术和农业畜牧水务局职责分工。</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会同县科学技术和农业畜牧水务局建立健全协同配合机制，推动乡村旅游工作。县科学技术和农业畜牧水务局负责休闲农业推动工作。</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11.与县综合行政执法局职责分工。</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与县综合行政执法局要做到各司其职、无缝对接。县综合行政执法局负责统一组织、统一指挥、统一协调旅游执法类执法工作。</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负责旅游执法日常监督工作。必要时，</w:t>
      </w:r>
      <w:r>
        <w:rPr>
          <w:rFonts w:hint="eastAsia" w:ascii="仿宋_GB2312" w:hAnsi="仿宋_GB2312" w:eastAsia="仿宋_GB2312" w:cs="仿宋_GB2312"/>
          <w:color w:val="auto"/>
          <w:sz w:val="32"/>
          <w:szCs w:val="32"/>
          <w:highlight w:val="none"/>
          <w:lang w:eastAsia="zh-CN"/>
        </w:rPr>
        <w:t>县文化体育和旅游局</w:t>
      </w:r>
      <w:r>
        <w:rPr>
          <w:rFonts w:hint="eastAsia" w:ascii="仿宋_GB2312" w:hAnsi="仿宋_GB2312" w:eastAsia="仿宋_GB2312" w:cs="仿宋_GB2312"/>
          <w:color w:val="auto"/>
          <w:sz w:val="32"/>
          <w:szCs w:val="32"/>
          <w:highlight w:val="none"/>
        </w:rPr>
        <w:t>可以提请县综合行政执法局，以县综合执法机构名义部署开展相关旅游执法工作。</w:t>
      </w:r>
    </w:p>
    <w:p>
      <w:pPr>
        <w:keepNext w:val="0"/>
        <w:keepLines w:val="0"/>
        <w:pageBreakBefore w:val="0"/>
        <w:kinsoku/>
        <w:wordWrap/>
        <w:topLinePunct w:val="0"/>
        <w:autoSpaceDE/>
        <w:autoSpaceDN/>
        <w:bidi w:val="0"/>
        <w:spacing w:line="576" w:lineRule="exact"/>
        <w:ind w:firstLine="640" w:firstLineChars="200"/>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仿宋_GB2312" w:eastAsia="仿宋_GB2312" w:cs="仿宋_GB2312"/>
          <w:color w:val="auto"/>
          <w:sz w:val="32"/>
          <w:szCs w:val="32"/>
          <w:highlight w:val="none"/>
        </w:rPr>
        <w:t>12.完成县委、县政府交办的其他任务。</w:t>
      </w:r>
    </w:p>
    <w:p>
      <w:pPr>
        <w:pStyle w:val="34"/>
        <w:keepNext w:val="0"/>
        <w:keepLines w:val="0"/>
        <w:pageBreakBefore w:val="0"/>
        <w:widowControl/>
        <w:kinsoku/>
        <w:wordWrap/>
        <w:overflowPunct w:val="0"/>
        <w:topLinePunct w:val="0"/>
        <w:autoSpaceDE/>
        <w:autoSpaceDN/>
        <w:bidi w:val="0"/>
        <w:snapToGrid w:val="0"/>
        <w:spacing w:line="576" w:lineRule="exact"/>
        <w:ind w:firstLine="64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kern w:val="0"/>
          <w:sz w:val="32"/>
          <w:szCs w:val="32"/>
          <w:highlight w:val="none"/>
          <w:shd w:val="clear" w:color="auto" w:fill="FFFFFF"/>
          <w:lang w:val="zh-CN"/>
        </w:rPr>
        <w:t>（三）人员概况。</w:t>
      </w:r>
      <w:r>
        <w:rPr>
          <w:rFonts w:hint="eastAsia" w:ascii="仿宋_GB2312" w:hAnsi="仿宋_GB2312" w:eastAsia="仿宋_GB2312" w:cs="仿宋_GB2312"/>
          <w:color w:val="auto"/>
          <w:sz w:val="32"/>
          <w:szCs w:val="32"/>
          <w:highlight w:val="none"/>
        </w:rPr>
        <w:t>截至</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rPr>
        <w:t>末，</w:t>
      </w:r>
      <w:r>
        <w:rPr>
          <w:rFonts w:hint="eastAsia" w:ascii="仿宋_GB2312" w:hAnsi="仿宋_GB2312" w:eastAsia="仿宋_GB2312" w:cs="仿宋_GB2312"/>
          <w:color w:val="auto"/>
          <w:sz w:val="32"/>
          <w:szCs w:val="32"/>
          <w:highlight w:val="none"/>
          <w:lang w:eastAsia="zh-CN"/>
        </w:rPr>
        <w:t>县文化广播电视体育和旅游局</w:t>
      </w:r>
      <w:r>
        <w:rPr>
          <w:rFonts w:hint="eastAsia" w:ascii="仿宋" w:hAnsi="仿宋" w:eastAsia="仿宋" w:cs="仿宋_GB2312"/>
          <w:sz w:val="32"/>
          <w:szCs w:val="32"/>
          <w:highlight w:val="none"/>
        </w:rPr>
        <w:t>实有人数为</w:t>
      </w:r>
      <w:r>
        <w:rPr>
          <w:rFonts w:hint="eastAsia" w:ascii="仿宋" w:hAnsi="仿宋" w:eastAsia="仿宋" w:cs="仿宋_GB2312"/>
          <w:sz w:val="32"/>
          <w:szCs w:val="32"/>
          <w:highlight w:val="none"/>
          <w:lang w:val="en-US" w:eastAsia="zh-CN"/>
        </w:rPr>
        <w:t>32</w:t>
      </w:r>
      <w:r>
        <w:rPr>
          <w:rFonts w:hint="eastAsia" w:ascii="仿宋" w:hAnsi="仿宋" w:eastAsia="仿宋" w:cs="仿宋_GB2312"/>
          <w:sz w:val="32"/>
          <w:szCs w:val="32"/>
          <w:highlight w:val="none"/>
        </w:rPr>
        <w:t>人</w:t>
      </w:r>
      <w:r>
        <w:rPr>
          <w:rFonts w:hint="eastAsia" w:ascii="仿宋" w:hAnsi="仿宋" w:eastAsia="仿宋" w:cs="仿宋_GB2312"/>
          <w:sz w:val="32"/>
          <w:szCs w:val="32"/>
          <w:highlight w:val="none"/>
          <w:lang w:eastAsia="zh-CN"/>
        </w:rPr>
        <w:t>。</w:t>
      </w:r>
      <w:r>
        <w:rPr>
          <w:rFonts w:hint="eastAsia" w:ascii="仿宋_GB2312" w:hAnsi="仿宋_GB2312" w:eastAsia="仿宋_GB2312" w:cs="仿宋_GB2312"/>
          <w:color w:val="auto"/>
          <w:sz w:val="32"/>
          <w:szCs w:val="32"/>
          <w:highlight w:val="none"/>
        </w:rPr>
        <w:t>设定行政编10名，事业编</w:t>
      </w:r>
      <w:r>
        <w:rPr>
          <w:rFonts w:hint="eastAsia" w:ascii="仿宋_GB2312" w:hAnsi="仿宋_GB2312" w:eastAsia="仿宋_GB2312" w:cs="仿宋_GB2312"/>
          <w:color w:val="auto"/>
          <w:sz w:val="32"/>
          <w:szCs w:val="32"/>
          <w:highlight w:val="none"/>
          <w:lang w:val="en-US" w:eastAsia="zh-CN"/>
        </w:rPr>
        <w:t>21</w:t>
      </w:r>
      <w:r>
        <w:rPr>
          <w:rFonts w:hint="eastAsia" w:ascii="仿宋_GB2312" w:hAnsi="仿宋_GB2312" w:eastAsia="仿宋_GB2312" w:cs="仿宋_GB2312"/>
          <w:color w:val="auto"/>
          <w:sz w:val="32"/>
          <w:szCs w:val="32"/>
          <w:highlight w:val="none"/>
        </w:rPr>
        <w:t>名，工勤人员1名，共计</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rPr>
        <w:t>名。实有行政人员</w:t>
      </w:r>
      <w:r>
        <w:rPr>
          <w:rFonts w:hint="eastAsia" w:ascii="仿宋_GB2312" w:hAnsi="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名</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事业人员</w:t>
      </w:r>
      <w:r>
        <w:rPr>
          <w:rFonts w:hint="eastAsia" w:ascii="仿宋_GB2312"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工勤人员</w:t>
      </w: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名，</w:t>
      </w:r>
      <w:r>
        <w:rPr>
          <w:rFonts w:hint="eastAsia" w:ascii="仿宋_GB2312" w:hAnsi="仿宋_GB2312" w:eastAsia="仿宋_GB2312" w:cs="仿宋_GB2312"/>
          <w:color w:val="auto"/>
          <w:sz w:val="32"/>
          <w:szCs w:val="32"/>
          <w:highlight w:val="none"/>
          <w:lang w:val="zh-CN"/>
        </w:rPr>
        <w:t>本年度年末实有人数为</w:t>
      </w:r>
      <w:r>
        <w:rPr>
          <w:rFonts w:hint="eastAsia" w:ascii="仿宋_GB2312" w:hAnsi="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lang w:val="zh-CN"/>
        </w:rPr>
        <w:t>人</w:t>
      </w:r>
      <w:r>
        <w:rPr>
          <w:rFonts w:hint="eastAsia" w:ascii="仿宋_GB2312" w:hAnsi="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比上年增加-</w:t>
      </w: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人，变动原因为</w:t>
      </w:r>
      <w:r>
        <w:rPr>
          <w:rFonts w:hint="eastAsia" w:ascii="仿宋_GB2312" w:hAnsi="仿宋_GB2312" w:eastAsia="仿宋_GB2312" w:cs="仿宋_GB2312"/>
          <w:color w:val="auto"/>
          <w:sz w:val="32"/>
          <w:szCs w:val="32"/>
          <w:highlight w:val="none"/>
          <w:lang w:val="en-US" w:eastAsia="zh-CN"/>
        </w:rPr>
        <w:t>机构改革，人员分流，人员变动</w:t>
      </w:r>
      <w:r>
        <w:rPr>
          <w:rFonts w:hint="eastAsia" w:ascii="仿宋_GB2312" w:hAnsi="仿宋_GB2312" w:eastAsia="仿宋_GB2312" w:cs="仿宋_GB2312"/>
          <w:color w:val="auto"/>
          <w:sz w:val="32"/>
          <w:szCs w:val="32"/>
          <w:highlight w:val="none"/>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黑体" w:hAnsi="黑体" w:eastAsia="黑体" w:cs="黑体"/>
          <w:b/>
          <w:bCs/>
          <w:color w:val="auto"/>
          <w:kern w:val="0"/>
          <w:sz w:val="32"/>
          <w:szCs w:val="32"/>
          <w:highlight w:val="none"/>
          <w:shd w:val="clear" w:color="auto" w:fill="FFFFFF"/>
          <w:lang w:val="zh-CN"/>
        </w:rPr>
      </w:pPr>
      <w:r>
        <w:rPr>
          <w:rFonts w:hint="eastAsia" w:ascii="黑体" w:hAnsi="黑体" w:eastAsia="黑体" w:cs="黑体"/>
          <w:b/>
          <w:bCs/>
          <w:color w:val="auto"/>
          <w:kern w:val="0"/>
          <w:sz w:val="32"/>
          <w:szCs w:val="32"/>
          <w:highlight w:val="none"/>
          <w:shd w:val="clear" w:color="auto" w:fill="FFFFFF"/>
          <w:lang w:val="zh-CN"/>
        </w:rPr>
        <w:t>二、</w:t>
      </w:r>
      <w:r>
        <w:rPr>
          <w:rFonts w:hint="eastAsia" w:ascii="黑体" w:hAnsi="黑体" w:eastAsia="黑体" w:cs="黑体"/>
          <w:b/>
          <w:bCs/>
          <w:color w:val="auto"/>
          <w:kern w:val="0"/>
          <w:sz w:val="32"/>
          <w:szCs w:val="32"/>
          <w:highlight w:val="none"/>
          <w:shd w:val="clear" w:color="auto" w:fill="FFFFFF"/>
          <w:lang w:val="zh-CN" w:eastAsia="zh-CN"/>
        </w:rPr>
        <w:t>部门</w:t>
      </w:r>
      <w:r>
        <w:rPr>
          <w:rFonts w:hint="eastAsia" w:ascii="黑体" w:hAnsi="黑体" w:eastAsia="黑体" w:cs="黑体"/>
          <w:b/>
          <w:bCs/>
          <w:color w:val="auto"/>
          <w:kern w:val="0"/>
          <w:sz w:val="32"/>
          <w:szCs w:val="32"/>
          <w:highlight w:val="none"/>
          <w:shd w:val="clear" w:color="auto" w:fill="FFFFFF"/>
          <w:lang w:val="zh-CN"/>
        </w:rPr>
        <w:t>资金收支情况</w:t>
      </w:r>
    </w:p>
    <w:p>
      <w:pPr>
        <w:keepNext w:val="0"/>
        <w:keepLines w:val="0"/>
        <w:pageBreakBefore w:val="0"/>
        <w:widowControl/>
        <w:kinsoku/>
        <w:wordWrap/>
        <w:overflowPunct/>
        <w:topLinePunct w:val="0"/>
        <w:autoSpaceDE/>
        <w:autoSpaceDN/>
        <w:bidi w:val="0"/>
        <w:adjustRightInd w:val="0"/>
        <w:snapToGrid w:val="0"/>
        <w:spacing w:line="576" w:lineRule="exact"/>
        <w:ind w:firstLine="720"/>
        <w:jc w:val="left"/>
        <w:textAlignment w:val="auto"/>
        <w:rPr>
          <w:rFonts w:hint="eastAsia" w:ascii="仿宋_GB2312" w:hAnsi="仿宋_GB2312" w:eastAsia="仿宋_GB2312" w:cs="仿宋_GB2312"/>
          <w:b/>
          <w:bCs/>
          <w:color w:val="auto"/>
          <w:kern w:val="0"/>
          <w:sz w:val="32"/>
          <w:szCs w:val="32"/>
          <w:highlight w:val="none"/>
          <w:shd w:val="clear" w:color="auto" w:fill="FFFFFF"/>
          <w:lang w:val="en-US"/>
        </w:rPr>
      </w:pPr>
      <w:r>
        <w:rPr>
          <w:rFonts w:hint="eastAsia" w:ascii="仿宋_GB2312" w:hAnsi="仿宋_GB2312" w:eastAsia="仿宋_GB2312" w:cs="仿宋_GB2312"/>
          <w:b/>
          <w:bCs/>
          <w:color w:val="auto"/>
          <w:kern w:val="0"/>
          <w:sz w:val="32"/>
          <w:szCs w:val="32"/>
          <w:highlight w:val="none"/>
          <w:shd w:val="clear" w:color="auto" w:fill="FFFFFF"/>
          <w:lang w:val="zh-CN"/>
        </w:rPr>
        <w:t>（一）支出情况。</w:t>
      </w:r>
      <w:r>
        <w:rPr>
          <w:rFonts w:hint="eastAsia" w:ascii="仿宋_GB2312" w:hAnsi="仿宋_GB2312" w:eastAsia="仿宋_GB2312" w:cs="仿宋_GB2312"/>
          <w:color w:val="auto"/>
          <w:sz w:val="32"/>
          <w:szCs w:val="32"/>
          <w:highlight w:val="none"/>
          <w:lang w:eastAsia="zh-CN"/>
        </w:rPr>
        <w:t>县文化广播电视体育和旅游局</w:t>
      </w: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年初预算支出收入总额为</w:t>
      </w:r>
      <w:r>
        <w:rPr>
          <w:rFonts w:hint="eastAsia" w:ascii="仿宋_GB2312" w:hAnsi="仿宋_GB2312" w:cs="仿宋_GB2312"/>
          <w:color w:val="auto"/>
          <w:sz w:val="32"/>
          <w:szCs w:val="32"/>
          <w:highlight w:val="none"/>
          <w:lang w:val="en-US" w:eastAsia="zh-CN"/>
        </w:rPr>
        <w:t>494.38</w:t>
      </w:r>
      <w:r>
        <w:rPr>
          <w:rFonts w:hint="eastAsia" w:ascii="仿宋_GB2312" w:hAnsi="仿宋_GB2312" w:eastAsia="仿宋_GB2312" w:cs="仿宋_GB2312"/>
          <w:color w:val="auto"/>
          <w:sz w:val="32"/>
          <w:szCs w:val="32"/>
          <w:highlight w:val="none"/>
          <w:lang w:val="en-US" w:eastAsia="zh-CN"/>
        </w:rPr>
        <w:t>万元，均为一般公共预算财政拨款收入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决算报表收入总额为</w:t>
      </w:r>
      <w:r>
        <w:rPr>
          <w:rFonts w:hint="eastAsia" w:ascii="仿宋_GB2312" w:hAnsi="仿宋_GB2312" w:cs="仿宋_GB2312"/>
          <w:color w:val="auto"/>
          <w:sz w:val="32"/>
          <w:szCs w:val="32"/>
          <w:highlight w:val="none"/>
          <w:lang w:val="en-US" w:eastAsia="zh-CN"/>
        </w:rPr>
        <w:t>3199.83</w:t>
      </w:r>
      <w:r>
        <w:rPr>
          <w:rFonts w:hint="eastAsia" w:ascii="仿宋_GB2312" w:hAnsi="仿宋_GB2312" w:eastAsia="仿宋_GB2312" w:cs="仿宋_GB2312"/>
          <w:color w:val="auto"/>
          <w:sz w:val="32"/>
          <w:szCs w:val="32"/>
          <w:highlight w:val="none"/>
          <w:lang w:val="en-US" w:eastAsia="zh-CN"/>
        </w:rPr>
        <w:t>万元，均为一般公共预算财政拨款收入</w:t>
      </w:r>
      <w:r>
        <w:rPr>
          <w:rFonts w:hint="eastAsia" w:ascii="仿宋_GB2312" w:hAnsi="仿宋_GB2312" w:eastAsia="仿宋_GB2312" w:cs="仿宋_GB2312"/>
          <w:color w:val="auto"/>
          <w:sz w:val="32"/>
          <w:szCs w:val="32"/>
          <w:highlight w:val="none"/>
        </w:rPr>
        <w:t>。</w:t>
      </w:r>
    </w:p>
    <w:p>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b/>
          <w:bCs/>
          <w:color w:val="auto"/>
          <w:kern w:val="0"/>
          <w:sz w:val="32"/>
          <w:szCs w:val="32"/>
          <w:highlight w:val="none"/>
          <w:shd w:val="clear" w:color="auto" w:fill="FFFFFF"/>
          <w:lang w:val="zh-CN"/>
        </w:rPr>
        <w:t>（二）支出情况。</w:t>
      </w:r>
      <w:r>
        <w:rPr>
          <w:rFonts w:hint="eastAsia" w:ascii="仿宋_GB2312" w:hAnsi="仿宋_GB2312" w:eastAsia="仿宋_GB2312" w:cs="仿宋_GB2312"/>
          <w:color w:val="auto"/>
          <w:sz w:val="32"/>
          <w:szCs w:val="32"/>
          <w:highlight w:val="none"/>
          <w:lang w:eastAsia="zh-CN"/>
        </w:rPr>
        <w:t>县文化广播电视体育和旅游局</w:t>
      </w: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年初预算支出总额为</w:t>
      </w:r>
      <w:r>
        <w:rPr>
          <w:rFonts w:hint="eastAsia" w:ascii="仿宋_GB2312" w:hAnsi="仿宋_GB2312" w:cs="仿宋_GB2312"/>
          <w:color w:val="auto"/>
          <w:sz w:val="32"/>
          <w:szCs w:val="32"/>
          <w:highlight w:val="none"/>
          <w:lang w:val="en-US" w:eastAsia="zh-CN"/>
        </w:rPr>
        <w:t>494.38</w:t>
      </w:r>
      <w:r>
        <w:rPr>
          <w:rFonts w:hint="eastAsia" w:ascii="仿宋_GB2312" w:hAnsi="仿宋_GB2312" w:eastAsia="仿宋_GB2312" w:cs="仿宋_GB2312"/>
          <w:color w:val="auto"/>
          <w:sz w:val="32"/>
          <w:szCs w:val="32"/>
          <w:highlight w:val="none"/>
          <w:lang w:val="en-US" w:eastAsia="zh-CN"/>
        </w:rPr>
        <w:t>万元，其中</w:t>
      </w:r>
      <w:r>
        <w:rPr>
          <w:rFonts w:hint="eastAsia" w:ascii="仿宋_GB2312" w:hAnsi="仿宋_GB2312" w:eastAsia="仿宋_GB2312" w:cs="仿宋_GB2312"/>
          <w:color w:val="auto"/>
          <w:sz w:val="32"/>
          <w:szCs w:val="32"/>
          <w:highlight w:val="none"/>
          <w:lang w:eastAsia="zh-CN"/>
        </w:rPr>
        <w:t>文化旅游体育与传媒支出：</w:t>
      </w:r>
      <w:r>
        <w:rPr>
          <w:rFonts w:hint="eastAsia" w:ascii="仿宋_GB2312" w:hAnsi="仿宋_GB2312" w:cs="仿宋_GB2312"/>
          <w:color w:val="auto"/>
          <w:sz w:val="32"/>
          <w:szCs w:val="32"/>
          <w:highlight w:val="none"/>
          <w:lang w:val="en-US" w:eastAsia="zh-CN"/>
        </w:rPr>
        <w:t>308.01</w:t>
      </w:r>
      <w:r>
        <w:rPr>
          <w:rFonts w:hint="eastAsia" w:ascii="仿宋_GB2312" w:hAnsi="仿宋_GB2312" w:eastAsia="仿宋_GB2312" w:cs="仿宋_GB2312"/>
          <w:color w:val="auto"/>
          <w:sz w:val="32"/>
          <w:szCs w:val="32"/>
          <w:highlight w:val="none"/>
          <w:lang w:val="en-US" w:eastAsia="zh-CN"/>
        </w:rPr>
        <w:t>万元；</w:t>
      </w:r>
      <w:r>
        <w:rPr>
          <w:rFonts w:hint="eastAsia" w:ascii="仿宋_GB2312" w:hAnsi="仿宋_GB2312" w:eastAsia="仿宋_GB2312" w:cs="仿宋_GB2312"/>
          <w:color w:val="auto"/>
          <w:sz w:val="32"/>
          <w:szCs w:val="32"/>
          <w:highlight w:val="none"/>
        </w:rPr>
        <w:t>社会保障和就业</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98.21</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卫生健康</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39.04</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住房保障</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49.11</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决算报表支出总额为</w:t>
      </w:r>
      <w:r>
        <w:rPr>
          <w:rFonts w:hint="eastAsia" w:ascii="仿宋_GB2312" w:hAnsi="仿宋_GB2312" w:cs="仿宋_GB2312"/>
          <w:color w:val="auto"/>
          <w:sz w:val="32"/>
          <w:szCs w:val="32"/>
          <w:highlight w:val="none"/>
          <w:lang w:val="en-US" w:eastAsia="zh-CN"/>
        </w:rPr>
        <w:t>3199.83</w:t>
      </w:r>
      <w:r>
        <w:rPr>
          <w:rFonts w:hint="eastAsia" w:ascii="仿宋_GB2312" w:hAnsi="仿宋_GB2312" w:eastAsia="仿宋_GB2312" w:cs="仿宋_GB2312"/>
          <w:color w:val="auto"/>
          <w:sz w:val="32"/>
          <w:szCs w:val="32"/>
          <w:highlight w:val="none"/>
          <w:lang w:val="en-US" w:eastAsia="zh-CN"/>
        </w:rPr>
        <w:t>万元，其中</w:t>
      </w:r>
      <w:r>
        <w:rPr>
          <w:rFonts w:hint="eastAsia" w:ascii="仿宋_GB2312" w:hAnsi="仿宋_GB2312" w:eastAsia="仿宋_GB2312" w:cs="仿宋_GB2312"/>
          <w:color w:val="auto"/>
          <w:sz w:val="32"/>
          <w:szCs w:val="32"/>
          <w:highlight w:val="none"/>
          <w:lang w:eastAsia="zh-CN"/>
        </w:rPr>
        <w:t>文化旅游体育与传媒支出：</w:t>
      </w:r>
      <w:r>
        <w:rPr>
          <w:rFonts w:hint="eastAsia" w:ascii="仿宋_GB2312" w:hAnsi="仿宋_GB2312" w:cs="仿宋_GB2312"/>
          <w:color w:val="auto"/>
          <w:sz w:val="32"/>
          <w:szCs w:val="32"/>
          <w:highlight w:val="none"/>
          <w:lang w:val="en-US" w:eastAsia="zh-CN"/>
        </w:rPr>
        <w:t>3020.35</w:t>
      </w:r>
      <w:r>
        <w:rPr>
          <w:rFonts w:hint="eastAsia" w:ascii="仿宋_GB2312" w:hAnsi="仿宋_GB2312" w:eastAsia="仿宋_GB2312" w:cs="仿宋_GB2312"/>
          <w:color w:val="auto"/>
          <w:sz w:val="32"/>
          <w:szCs w:val="32"/>
          <w:highlight w:val="none"/>
          <w:lang w:val="en-US" w:eastAsia="zh-CN"/>
        </w:rPr>
        <w:t>万元；</w:t>
      </w:r>
      <w:r>
        <w:rPr>
          <w:rFonts w:hint="eastAsia" w:ascii="仿宋_GB2312" w:hAnsi="仿宋_GB2312" w:eastAsia="仿宋_GB2312" w:cs="仿宋_GB2312"/>
          <w:color w:val="auto"/>
          <w:sz w:val="32"/>
          <w:szCs w:val="32"/>
          <w:highlight w:val="none"/>
        </w:rPr>
        <w:t>社会保障和就业</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91.48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卫生健康</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37.24</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住房保障</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50.75</w:t>
      </w:r>
      <w:r>
        <w:rPr>
          <w:rFonts w:hint="eastAsia" w:ascii="仿宋_GB2312" w:hAnsi="仿宋_GB2312" w:eastAsia="仿宋_GB2312" w:cs="仿宋_GB2312"/>
          <w:color w:val="auto"/>
          <w:sz w:val="32"/>
          <w:szCs w:val="32"/>
          <w:highlight w:val="none"/>
        </w:rPr>
        <w:t>万元。</w:t>
      </w:r>
    </w:p>
    <w:p>
      <w:pPr>
        <w:keepNext w:val="0"/>
        <w:keepLines w:val="0"/>
        <w:pageBreakBefore w:val="0"/>
        <w:widowControl/>
        <w:kinsoku/>
        <w:wordWrap/>
        <w:overflowPunct/>
        <w:topLinePunct w:val="0"/>
        <w:autoSpaceDE/>
        <w:autoSpaceDN/>
        <w:bidi w:val="0"/>
        <w:adjustRightInd w:val="0"/>
        <w:snapToGrid w:val="0"/>
        <w:spacing w:line="576" w:lineRule="exact"/>
        <w:ind w:firstLine="720"/>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仿宋_GB2312" w:hAnsi="仿宋_GB2312" w:eastAsia="仿宋_GB2312" w:cs="仿宋_GB2312"/>
          <w:b/>
          <w:bCs/>
          <w:color w:val="auto"/>
          <w:kern w:val="0"/>
          <w:sz w:val="32"/>
          <w:szCs w:val="32"/>
          <w:highlight w:val="none"/>
          <w:shd w:val="clear" w:color="auto" w:fill="FFFFFF"/>
          <w:lang w:val="zh-CN"/>
        </w:rPr>
        <w:t>（三）</w:t>
      </w:r>
      <w:r>
        <w:rPr>
          <w:rFonts w:hint="eastAsia" w:ascii="仿宋_GB2312" w:hAnsi="仿宋_GB2312" w:eastAsia="仿宋_GB2312" w:cs="仿宋_GB2312"/>
          <w:b/>
          <w:color w:val="auto"/>
          <w:sz w:val="32"/>
          <w:szCs w:val="32"/>
          <w:highlight w:val="none"/>
        </w:rPr>
        <w:t>结余分配和结转结余情况</w:t>
      </w:r>
      <w:r>
        <w:rPr>
          <w:rFonts w:hint="eastAsia" w:ascii="仿宋_GB2312" w:hAnsi="仿宋_GB2312" w:eastAsia="仿宋_GB2312" w:cs="仿宋_GB2312"/>
          <w:b/>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t>县文化广播电视体育和旅游局</w:t>
      </w: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决算报表调整后年初</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结转和结余为0</w:t>
      </w:r>
      <w:r>
        <w:rPr>
          <w:rFonts w:hint="eastAsia" w:ascii="仿宋_GB2312" w:hAnsi="仿宋_GB2312" w:eastAsia="仿宋_GB2312" w:cs="仿宋_GB2312"/>
          <w:color w:val="auto"/>
          <w:sz w:val="32"/>
          <w:szCs w:val="32"/>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黑体" w:hAnsi="黑体" w:eastAsia="黑体" w:cs="黑体"/>
          <w:b/>
          <w:bCs/>
          <w:color w:val="auto"/>
          <w:kern w:val="0"/>
          <w:sz w:val="32"/>
          <w:szCs w:val="32"/>
          <w:highlight w:val="none"/>
          <w:shd w:val="clear" w:color="auto" w:fill="FFFFFF"/>
          <w:lang w:val="zh-CN"/>
        </w:rPr>
      </w:pPr>
      <w:r>
        <w:rPr>
          <w:rFonts w:hint="eastAsia" w:ascii="黑体" w:hAnsi="黑体" w:eastAsia="黑体" w:cs="黑体"/>
          <w:b/>
          <w:bCs/>
          <w:color w:val="auto"/>
          <w:kern w:val="0"/>
          <w:sz w:val="32"/>
          <w:szCs w:val="32"/>
          <w:highlight w:val="none"/>
          <w:shd w:val="clear" w:color="auto" w:fill="FFFFFF"/>
          <w:lang w:val="zh-CN"/>
        </w:rPr>
        <w:t>三、部门</w:t>
      </w:r>
      <w:r>
        <w:rPr>
          <w:rFonts w:hint="eastAsia" w:ascii="黑体" w:hAnsi="黑体" w:eastAsia="黑体" w:cs="黑体"/>
          <w:b/>
          <w:bCs/>
          <w:color w:val="auto"/>
          <w:kern w:val="0"/>
          <w:sz w:val="32"/>
          <w:szCs w:val="32"/>
          <w:highlight w:val="none"/>
          <w:shd w:val="clear" w:color="auto" w:fill="FFFFFF"/>
          <w:lang w:val="zh-CN" w:eastAsia="zh-CN"/>
        </w:rPr>
        <w:t>预算</w:t>
      </w:r>
      <w:r>
        <w:rPr>
          <w:rFonts w:hint="eastAsia" w:ascii="黑体" w:hAnsi="黑体" w:eastAsia="黑体" w:cs="黑体"/>
          <w:b/>
          <w:bCs/>
          <w:color w:val="auto"/>
          <w:kern w:val="0"/>
          <w:sz w:val="32"/>
          <w:szCs w:val="32"/>
          <w:highlight w:val="none"/>
          <w:shd w:val="clear" w:color="auto" w:fill="FFFFFF"/>
          <w:lang w:val="zh-CN"/>
        </w:rPr>
        <w:t>绩效</w:t>
      </w:r>
      <w:r>
        <w:rPr>
          <w:rFonts w:hint="eastAsia" w:ascii="黑体" w:hAnsi="黑体" w:eastAsia="黑体" w:cs="黑体"/>
          <w:b/>
          <w:bCs/>
          <w:color w:val="auto"/>
          <w:kern w:val="0"/>
          <w:sz w:val="32"/>
          <w:szCs w:val="32"/>
          <w:highlight w:val="none"/>
          <w:shd w:val="clear" w:color="auto" w:fill="FFFFFF"/>
          <w:lang w:val="zh-CN" w:eastAsia="zh-CN"/>
        </w:rPr>
        <w:t>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（一）部门预算总体绩效分析。</w:t>
      </w:r>
      <w:r>
        <w:rPr>
          <w:rFonts w:hint="eastAsia" w:ascii="仿宋_GB2312" w:hAnsi="仿宋_GB2312" w:eastAsia="仿宋_GB2312" w:cs="仿宋_GB2312"/>
          <w:color w:val="auto"/>
          <w:kern w:val="0"/>
          <w:sz w:val="32"/>
          <w:szCs w:val="32"/>
          <w:highlight w:val="none"/>
          <w:shd w:val="clear" w:color="auto" w:fill="FFFFFF"/>
          <w:lang w:val="zh-CN"/>
        </w:rPr>
        <w:t>县文广体旅局财政预算绩效评价指标体系共分三级，其中：一级指标</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项：总体绩效和项目绩效。二级指标</w:t>
      </w:r>
      <w:r>
        <w:rPr>
          <w:rFonts w:hint="eastAsia" w:ascii="仿宋_GB2312" w:hAnsi="仿宋_GB2312" w:eastAsia="仿宋_GB2312" w:cs="仿宋_GB2312"/>
          <w:color w:val="auto"/>
          <w:kern w:val="0"/>
          <w:sz w:val="32"/>
          <w:szCs w:val="32"/>
          <w:highlight w:val="none"/>
          <w:shd w:val="clear" w:color="auto" w:fill="FFFFFF"/>
          <w:lang w:val="en-US" w:eastAsia="zh-CN"/>
        </w:rPr>
        <w:t>8</w:t>
      </w:r>
      <w:r>
        <w:rPr>
          <w:rFonts w:hint="eastAsia" w:ascii="仿宋_GB2312" w:hAnsi="仿宋_GB2312" w:eastAsia="仿宋_GB2312" w:cs="仿宋_GB2312"/>
          <w:color w:val="auto"/>
          <w:kern w:val="0"/>
          <w:sz w:val="32"/>
          <w:szCs w:val="32"/>
          <w:highlight w:val="none"/>
          <w:shd w:val="clear" w:color="auto" w:fill="FFFFFF"/>
          <w:lang w:val="zh-CN"/>
        </w:rPr>
        <w:t>项：包括履职效能、预算管理、财务管理、资产管理、采购管理、项目决策、项目执行、目标实现。三级明细指标</w:t>
      </w:r>
      <w:r>
        <w:rPr>
          <w:rFonts w:hint="eastAsia" w:ascii="仿宋_GB2312" w:hAnsi="仿宋_GB2312" w:eastAsia="仿宋_GB2312" w:cs="仿宋_GB2312"/>
          <w:color w:val="auto"/>
          <w:kern w:val="0"/>
          <w:sz w:val="32"/>
          <w:szCs w:val="32"/>
          <w:highlight w:val="none"/>
          <w:shd w:val="clear" w:color="auto" w:fill="FFFFFF"/>
          <w:lang w:val="en-US" w:eastAsia="zh-CN"/>
        </w:rPr>
        <w:t>23</w:t>
      </w:r>
      <w:r>
        <w:rPr>
          <w:rFonts w:hint="eastAsia" w:ascii="仿宋_GB2312" w:hAnsi="仿宋_GB2312" w:eastAsia="仿宋_GB2312" w:cs="仿宋_GB2312"/>
          <w:color w:val="auto"/>
          <w:kern w:val="0"/>
          <w:sz w:val="32"/>
          <w:szCs w:val="32"/>
          <w:highlight w:val="none"/>
          <w:shd w:val="clear" w:color="auto" w:fill="FFFFFF"/>
          <w:lang w:val="zh-CN"/>
        </w:rPr>
        <w:t>项。满分分值</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分。评价计分采取百分制，评价结果分为优、良、中、差四个等级：综合评价得分90分</w:t>
      </w:r>
      <w:r>
        <w:rPr>
          <w:rFonts w:hint="eastAsia" w:ascii="仿宋_GB2312" w:hAnsi="仿宋_GB2312" w:cs="仿宋_GB2312"/>
          <w:color w:val="auto"/>
          <w:kern w:val="0"/>
          <w:sz w:val="32"/>
          <w:szCs w:val="32"/>
          <w:highlight w:val="none"/>
          <w:shd w:val="clear" w:color="auto" w:fill="FFFFFF"/>
          <w:lang w:val="zh-CN"/>
        </w:rPr>
        <w:t>以上</w:t>
      </w:r>
      <w:r>
        <w:rPr>
          <w:rFonts w:hint="eastAsia" w:ascii="仿宋_GB2312" w:hAnsi="仿宋_GB2312" w:eastAsia="仿宋_GB2312" w:cs="仿宋_GB2312"/>
          <w:color w:val="auto"/>
          <w:kern w:val="0"/>
          <w:sz w:val="32"/>
          <w:szCs w:val="32"/>
          <w:highlight w:val="none"/>
          <w:shd w:val="clear" w:color="auto" w:fill="FFFFFF"/>
          <w:lang w:val="zh-CN"/>
        </w:rPr>
        <w:t>（含90分），绩效级别评定为优；综合评价得分80-90分（含80分），绩效级别评定为良；综合评价得分60-80分（含</w:t>
      </w:r>
      <w:r>
        <w:rPr>
          <w:rFonts w:hint="eastAsia" w:ascii="仿宋_GB2312" w:hAnsi="仿宋_GB2312" w:cs="仿宋_GB2312"/>
          <w:color w:val="auto"/>
          <w:kern w:val="0"/>
          <w:sz w:val="32"/>
          <w:szCs w:val="32"/>
          <w:highlight w:val="none"/>
          <w:shd w:val="clear" w:color="auto" w:fill="FFFFFF"/>
          <w:lang w:val="en-US" w:eastAsia="zh-CN"/>
        </w:rPr>
        <w:t>60</w:t>
      </w:r>
      <w:r>
        <w:rPr>
          <w:rFonts w:hint="eastAsia" w:ascii="仿宋_GB2312" w:hAnsi="仿宋_GB2312" w:eastAsia="仿宋_GB2312" w:cs="仿宋_GB2312"/>
          <w:color w:val="auto"/>
          <w:kern w:val="0"/>
          <w:sz w:val="32"/>
          <w:szCs w:val="32"/>
          <w:highlight w:val="none"/>
          <w:shd w:val="clear" w:color="auto" w:fill="FFFFFF"/>
          <w:lang w:val="zh-CN"/>
        </w:rPr>
        <w:t>分），绩效级别评定为中；综合评价得分60分以下，绩效级别评定为差。经评价，</w:t>
      </w:r>
      <w:r>
        <w:rPr>
          <w:rFonts w:hint="eastAsia" w:ascii="仿宋_GB2312" w:hAnsi="仿宋_GB2312" w:cs="仿宋_GB2312"/>
          <w:color w:val="auto"/>
          <w:kern w:val="0"/>
          <w:sz w:val="32"/>
          <w:szCs w:val="32"/>
          <w:highlight w:val="none"/>
          <w:shd w:val="clear" w:color="auto" w:fill="FFFFFF"/>
          <w:lang w:val="zh-CN"/>
        </w:rPr>
        <w:t>2025年</w:t>
      </w:r>
      <w:r>
        <w:rPr>
          <w:rFonts w:hint="eastAsia" w:ascii="仿宋_GB2312" w:hAnsi="仿宋_GB2312" w:eastAsia="仿宋_GB2312" w:cs="仿宋_GB2312"/>
          <w:color w:val="auto"/>
          <w:kern w:val="0"/>
          <w:sz w:val="32"/>
          <w:szCs w:val="32"/>
          <w:highlight w:val="none"/>
          <w:shd w:val="clear" w:color="auto" w:fill="FFFFFF"/>
          <w:lang w:val="zh-CN"/>
        </w:rPr>
        <w:t>度绩效</w:t>
      </w:r>
      <w:r>
        <w:rPr>
          <w:rFonts w:hint="eastAsia" w:ascii="仿宋_GB2312" w:hAnsi="仿宋_GB2312" w:eastAsia="仿宋_GB2312" w:cs="仿宋_GB2312"/>
          <w:i w:val="0"/>
          <w:iCs w:val="0"/>
          <w:caps w:val="0"/>
          <w:color w:val="auto"/>
          <w:spacing w:val="0"/>
          <w:sz w:val="32"/>
          <w:szCs w:val="32"/>
          <w:highlight w:val="none"/>
          <w:shd w:val="clear" w:fill="FFFFFF"/>
          <w:lang w:eastAsia="zh-CN"/>
        </w:rPr>
        <w:t>自评得分</w:t>
      </w:r>
      <w:r>
        <w:rPr>
          <w:rFonts w:hint="eastAsia" w:ascii="仿宋_GB2312" w:hAnsi="仿宋_GB2312" w:cs="仿宋_GB2312"/>
          <w:i w:val="0"/>
          <w:iCs w:val="0"/>
          <w:caps w:val="0"/>
          <w:color w:val="auto"/>
          <w:spacing w:val="0"/>
          <w:sz w:val="32"/>
          <w:szCs w:val="32"/>
          <w:highlight w:val="none"/>
          <w:shd w:val="clear" w:fill="FFFFFF"/>
          <w:lang w:val="en-US" w:eastAsia="zh-CN"/>
        </w:rPr>
        <w:t>89.35</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分，</w:t>
      </w:r>
      <w:r>
        <w:rPr>
          <w:rFonts w:hint="eastAsia" w:ascii="仿宋_GB2312" w:hAnsi="仿宋_GB2312" w:eastAsia="仿宋_GB2312" w:cs="仿宋_GB2312"/>
          <w:i w:val="0"/>
          <w:iCs w:val="0"/>
          <w:caps w:val="0"/>
          <w:color w:val="auto"/>
          <w:spacing w:val="0"/>
          <w:sz w:val="32"/>
          <w:szCs w:val="32"/>
          <w:highlight w:val="none"/>
          <w:shd w:val="clear" w:fill="FFFFFF"/>
        </w:rPr>
        <w:t>绩效总体评价为“</w:t>
      </w:r>
      <w:r>
        <w:rPr>
          <w:rFonts w:hint="eastAsia" w:ascii="仿宋_GB2312" w:hAnsi="仿宋_GB2312" w:cs="仿宋_GB2312"/>
          <w:i w:val="0"/>
          <w:iCs w:val="0"/>
          <w:caps w:val="0"/>
          <w:color w:val="auto"/>
          <w:spacing w:val="0"/>
          <w:sz w:val="32"/>
          <w:szCs w:val="32"/>
          <w:highlight w:val="none"/>
          <w:shd w:val="clear" w:fill="FFFFFF"/>
          <w:lang w:eastAsia="zh-CN"/>
        </w:rPr>
        <w:t>良</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color w:val="auto"/>
          <w:kern w:val="0"/>
          <w:sz w:val="32"/>
          <w:szCs w:val="32"/>
          <w:highlight w:val="none"/>
          <w:shd w:val="clear" w:color="auto" w:fill="FFFFFF"/>
          <w:lang w:val="zh-CN"/>
        </w:rPr>
        <w:t>具体分析情况见附表</w:t>
      </w:r>
      <w:r>
        <w:rPr>
          <w:rFonts w:hint="eastAsia" w:ascii="仿宋_GB2312" w:hAnsi="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en-US" w:eastAsia="zh-CN"/>
        </w:rPr>
        <w:t>：部门预算绩效评价指标体系</w:t>
      </w:r>
      <w:r>
        <w:rPr>
          <w:rFonts w:hint="eastAsia" w:ascii="仿宋_GB2312" w:hAnsi="仿宋_GB2312" w:eastAsia="仿宋_GB2312" w:cs="仿宋_GB2312"/>
          <w:color w:val="auto"/>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zh-CN"/>
        </w:rPr>
        <w:t>履职效能。部门整体绩效目标中选定3-5个核心职能目标，对职能目标完成效果情况绩效分析。</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重点工作完成情况履职效果：</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小金县文广体旅局</w:t>
      </w:r>
      <w:r>
        <w:rPr>
          <w:rFonts w:hint="eastAsia" w:ascii="仿宋_GB2312" w:hAnsi="仿宋_GB2312" w:eastAsia="仿宋_GB2312" w:cs="仿宋_GB2312"/>
          <w:sz w:val="32"/>
          <w:szCs w:val="32"/>
          <w:highlight w:val="none"/>
        </w:rPr>
        <w:t>深入贯彻习近平总书记关于文旅产业高质量发展的重要论述，全面落实省委、州委及县委部署要求，锚定“国际户外运动旅游目的地”建设目标，践行“以文塑旅、以旅彰文”理念，树牢“五大思维”、坚持“五大路径”，深化“文旅+百业”“百业+文旅”融合模式，全力构建“一心两翼五廊五区”发展格局，推动文旅融合从“点上突破”向“全域提质”迈进，为县域经济高质量发展注入强劲动能。2025年小金县全年共接待游客6458925人次，实现旅游收入490991.88万元，分别同比增长13.62%，12.73%全县文旅基础设施持续完善，特色业态不断丰富，品牌影响力显著提升，</w:t>
      </w:r>
      <w:r>
        <w:rPr>
          <w:rFonts w:hint="eastAsia" w:ascii="仿宋_GB2312" w:hAnsi="仿宋_GB2312" w:eastAsia="仿宋_GB2312" w:cs="仿宋_GB2312"/>
          <w:sz w:val="32"/>
          <w:szCs w:val="32"/>
          <w:highlight w:val="none"/>
          <w:lang w:val="en-US" w:eastAsia="zh-CN"/>
        </w:rPr>
        <w:t>各项工作稳步推进、亮点纷呈。</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本项扣分为</w:t>
      </w:r>
      <w:r>
        <w:rPr>
          <w:rFonts w:hint="eastAsia" w:ascii="仿宋_GB2312" w:hAnsi="仿宋_GB2312" w:cs="仿宋_GB2312"/>
          <w:color w:val="auto"/>
          <w:kern w:val="0"/>
          <w:sz w:val="32"/>
          <w:szCs w:val="32"/>
          <w:highlight w:val="none"/>
          <w:shd w:val="clear" w:color="auto" w:fill="FFFFFF"/>
          <w:lang w:val="en-US" w:eastAsia="zh-CN"/>
        </w:rPr>
        <w:t>0.5</w:t>
      </w:r>
      <w:r>
        <w:rPr>
          <w:rFonts w:hint="eastAsia" w:ascii="仿宋_GB2312" w:hAnsi="仿宋_GB2312" w:eastAsia="仿宋_GB2312" w:cs="仿宋_GB2312"/>
          <w:color w:val="auto"/>
          <w:kern w:val="0"/>
          <w:sz w:val="32"/>
          <w:szCs w:val="32"/>
          <w:highlight w:val="none"/>
          <w:shd w:val="clear" w:color="auto" w:fill="FFFFFF"/>
          <w:lang w:val="en-US" w:eastAsia="zh-CN"/>
        </w:rPr>
        <w:t>分，</w:t>
      </w:r>
      <w:r>
        <w:rPr>
          <w:rFonts w:hint="eastAsia" w:ascii="仿宋_GB2312" w:hAnsi="仿宋_GB2312" w:eastAsia="仿宋_GB2312" w:cs="仿宋_GB2312"/>
          <w:color w:val="auto"/>
          <w:sz w:val="32"/>
          <w:szCs w:val="32"/>
          <w:highlight w:val="none"/>
          <w:lang w:eastAsia="zh-CN"/>
        </w:rPr>
        <w:t>自评得分为</w:t>
      </w:r>
      <w:r>
        <w:rPr>
          <w:rFonts w:hint="eastAsia" w:ascii="仿宋_GB2312" w:hAnsi="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highlight w:val="none"/>
          <w:lang w:val="en-US" w:eastAsia="zh-CN"/>
        </w:rPr>
        <w:t>分。</w:t>
      </w:r>
    </w:p>
    <w:p>
      <w:pPr>
        <w:snapToGrid w:val="0"/>
        <w:spacing w:line="520" w:lineRule="exact"/>
        <w:ind w:firstLine="643" w:firstLineChars="200"/>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群众满意度履职效果：</w:t>
      </w:r>
      <w:r>
        <w:rPr>
          <w:rFonts w:hint="eastAsia" w:ascii="仿宋_GB2312" w:hAnsi="仿宋_GB2312" w:cs="仿宋_GB2312"/>
          <w:color w:val="auto"/>
          <w:kern w:val="0"/>
          <w:sz w:val="32"/>
          <w:szCs w:val="32"/>
          <w:highlight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eastAsia" w:ascii="仿宋_GB2312" w:hAnsi="仿宋" w:eastAsia="仿宋_GB2312" w:cs="Times New Roman"/>
          <w:sz w:val="32"/>
          <w:szCs w:val="32"/>
          <w:highlight w:val="none"/>
          <w:lang w:val="en-US" w:eastAsia="zh-CN"/>
        </w:rPr>
        <w:t>旅游服务</w:t>
      </w:r>
      <w:r>
        <w:rPr>
          <w:rFonts w:hint="eastAsia" w:ascii="仿宋_GB2312" w:hAnsi="仿宋" w:cs="Times New Roman"/>
          <w:sz w:val="32"/>
          <w:szCs w:val="32"/>
          <w:highlight w:val="none"/>
          <w:lang w:val="en-US" w:eastAsia="zh-CN"/>
        </w:rPr>
        <w:t>提质增效，</w:t>
      </w:r>
      <w:r>
        <w:rPr>
          <w:rFonts w:hint="eastAsia" w:ascii="仿宋_GB2312" w:hAnsi="仿宋" w:eastAsia="仿宋_GB2312" w:cs="Times New Roman"/>
          <w:sz w:val="32"/>
          <w:szCs w:val="32"/>
          <w:highlight w:val="none"/>
          <w:lang w:val="en-US" w:eastAsia="zh-CN"/>
        </w:rPr>
        <w:t>开放11条徒步登山线路，打造4条精品自驾线，</w:t>
      </w:r>
      <w:r>
        <w:rPr>
          <w:rFonts w:hint="eastAsia" w:ascii="仿宋_GB2312" w:hAnsi="仿宋" w:cs="Times New Roman"/>
          <w:sz w:val="32"/>
          <w:szCs w:val="32"/>
          <w:highlight w:val="none"/>
          <w:lang w:val="en-US" w:eastAsia="zh-CN"/>
        </w:rPr>
        <w:t>带动了群众增收，</w:t>
      </w:r>
      <w:r>
        <w:rPr>
          <w:rFonts w:hint="eastAsia" w:ascii="仿宋_GB2312" w:hAnsi="仿宋" w:eastAsia="仿宋_GB2312" w:cs="Times New Roman"/>
          <w:sz w:val="32"/>
          <w:szCs w:val="32"/>
          <w:highlight w:val="none"/>
          <w:lang w:val="en-US" w:eastAsia="zh-CN"/>
        </w:rPr>
        <w:t>举办文化惠民活动30余场，戏曲下乡108场。非遗进景区吸引游客1.2万人次，开展东西部文化走亲活动。公共文化场馆免费开放，图书馆开展阅读活动百余场。</w:t>
      </w:r>
      <w:r>
        <w:rPr>
          <w:rFonts w:hint="eastAsia" w:ascii="仿宋_GB2312" w:hAnsi="仿宋_GB2312" w:eastAsia="仿宋_GB2312" w:cs="仿宋_GB2312"/>
          <w:color w:val="auto"/>
          <w:kern w:val="0"/>
          <w:sz w:val="32"/>
          <w:szCs w:val="32"/>
          <w:highlight w:val="none"/>
          <w:shd w:val="clear" w:color="auto" w:fill="FFFFFF"/>
          <w:lang w:val="en-US" w:eastAsia="zh-CN"/>
        </w:rPr>
        <w:t>丰富了群众的精神文化生活，推动全民健身，保障人民群众文化权益，促进社会和谐，弘扬红军长征精神，群众满意度较高。</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本项扣分为</w:t>
      </w:r>
      <w:r>
        <w:rPr>
          <w:rFonts w:hint="eastAsia" w:ascii="仿宋_GB2312" w:hAnsi="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en-US" w:eastAsia="zh-CN"/>
        </w:rPr>
        <w:t>分，</w:t>
      </w:r>
      <w:r>
        <w:rPr>
          <w:rFonts w:hint="eastAsia" w:ascii="仿宋_GB2312" w:hAnsi="仿宋_GB2312" w:eastAsia="仿宋_GB2312" w:cs="仿宋_GB2312"/>
          <w:color w:val="auto"/>
          <w:sz w:val="32"/>
          <w:szCs w:val="32"/>
          <w:highlight w:val="none"/>
          <w:lang w:eastAsia="zh-CN"/>
        </w:rPr>
        <w:t>自评得分为</w:t>
      </w: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资金使用规范性履职效果：</w:t>
      </w:r>
      <w:r>
        <w:rPr>
          <w:rFonts w:hint="eastAsia" w:ascii="仿宋_GB2312" w:hAnsi="仿宋_GB2312" w:eastAsia="仿宋_GB2312" w:cs="仿宋_GB2312"/>
          <w:color w:val="auto"/>
          <w:kern w:val="0"/>
          <w:sz w:val="32"/>
          <w:szCs w:val="32"/>
          <w:highlight w:val="none"/>
          <w:shd w:val="clear" w:color="auto" w:fill="FFFFFF"/>
          <w:lang w:val="en-US" w:eastAsia="zh-CN"/>
        </w:rPr>
        <w:t>严格执行财务制度和规定，严肃财经纪律，确保资金的合理使用和安全保障。</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本项扣分为0分，</w:t>
      </w:r>
      <w:r>
        <w:rPr>
          <w:rFonts w:hint="eastAsia" w:ascii="仿宋_GB2312" w:hAnsi="仿宋_GB2312" w:eastAsia="仿宋_GB2312" w:cs="仿宋_GB2312"/>
          <w:color w:val="auto"/>
          <w:sz w:val="32"/>
          <w:szCs w:val="32"/>
          <w:highlight w:val="none"/>
          <w:lang w:eastAsia="zh-CN"/>
        </w:rPr>
        <w:t>自评得分为</w:t>
      </w:r>
      <w:r>
        <w:rPr>
          <w:rFonts w:hint="eastAsia" w:ascii="仿宋_GB2312" w:hAnsi="仿宋_GB2312" w:eastAsia="仿宋_GB2312" w:cs="仿宋_GB2312"/>
          <w:color w:val="auto"/>
          <w:sz w:val="32"/>
          <w:szCs w:val="32"/>
          <w:highlight w:val="none"/>
          <w:lang w:val="en-US" w:eastAsia="zh-CN"/>
        </w:rPr>
        <w:t>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社会效益履职效果：</w:t>
      </w:r>
      <w:r>
        <w:rPr>
          <w:rFonts w:hint="eastAsia" w:ascii="仿宋_GB2312" w:hAnsi="仿宋_GB2312" w:eastAsia="仿宋_GB2312" w:cs="仿宋_GB2312"/>
          <w:color w:val="auto"/>
          <w:kern w:val="0"/>
          <w:sz w:val="32"/>
          <w:szCs w:val="32"/>
          <w:highlight w:val="none"/>
          <w:shd w:val="clear" w:color="auto" w:fill="FFFFFF"/>
          <w:lang w:val="en-US" w:eastAsia="zh-CN"/>
        </w:rPr>
        <w:t>丰富群众精神文化生活，提高群众身体素质，提高群众思想道德和文化素质，促进文化旅游，</w:t>
      </w:r>
      <w:r>
        <w:rPr>
          <w:rFonts w:hint="eastAsia" w:ascii="仿宋_GB2312" w:hAnsi="仿宋" w:cs="Times New Roman"/>
          <w:sz w:val="32"/>
          <w:szCs w:val="32"/>
          <w:highlight w:val="none"/>
          <w:lang w:val="en-US" w:eastAsia="zh-CN"/>
        </w:rPr>
        <w:t>带动了群众增收，</w:t>
      </w:r>
      <w:r>
        <w:rPr>
          <w:rFonts w:hint="eastAsia" w:ascii="仿宋_GB2312" w:hAnsi="仿宋_GB2312" w:eastAsia="仿宋_GB2312" w:cs="仿宋_GB2312"/>
          <w:color w:val="auto"/>
          <w:kern w:val="0"/>
          <w:sz w:val="32"/>
          <w:szCs w:val="32"/>
          <w:highlight w:val="none"/>
          <w:shd w:val="clear" w:color="auto" w:fill="FFFFFF"/>
          <w:lang w:val="en-US" w:eastAsia="zh-CN"/>
        </w:rPr>
        <w:t>丰富景区文化，提高游客的旅游体验。</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本项扣分为</w:t>
      </w:r>
      <w:r>
        <w:rPr>
          <w:rFonts w:hint="eastAsia" w:ascii="仿宋_GB2312" w:hAnsi="仿宋_GB2312" w:cs="仿宋_GB2312"/>
          <w:color w:val="auto"/>
          <w:kern w:val="0"/>
          <w:sz w:val="32"/>
          <w:szCs w:val="32"/>
          <w:highlight w:val="none"/>
          <w:shd w:val="clear" w:color="auto" w:fill="FFFFFF"/>
          <w:lang w:val="en-US" w:eastAsia="zh-CN"/>
        </w:rPr>
        <w:t>0.5</w:t>
      </w:r>
      <w:r>
        <w:rPr>
          <w:rFonts w:hint="eastAsia" w:ascii="仿宋_GB2312" w:hAnsi="仿宋_GB2312" w:eastAsia="仿宋_GB2312" w:cs="仿宋_GB2312"/>
          <w:color w:val="auto"/>
          <w:kern w:val="0"/>
          <w:sz w:val="32"/>
          <w:szCs w:val="32"/>
          <w:highlight w:val="none"/>
          <w:shd w:val="clear" w:color="auto" w:fill="FFFFFF"/>
          <w:lang w:val="en-US" w:eastAsia="zh-CN"/>
        </w:rPr>
        <w:t>分，</w:t>
      </w:r>
      <w:r>
        <w:rPr>
          <w:rFonts w:hint="eastAsia" w:ascii="仿宋_GB2312" w:hAnsi="仿宋_GB2312" w:eastAsia="仿宋_GB2312" w:cs="仿宋_GB2312"/>
          <w:color w:val="auto"/>
          <w:sz w:val="32"/>
          <w:szCs w:val="32"/>
          <w:highlight w:val="none"/>
          <w:lang w:eastAsia="zh-CN"/>
        </w:rPr>
        <w:t>自评得分为</w:t>
      </w:r>
      <w:r>
        <w:rPr>
          <w:rFonts w:hint="eastAsia" w:ascii="仿宋_GB2312" w:hAnsi="仿宋_GB2312" w:cs="仿宋_GB2312"/>
          <w:color w:val="auto"/>
          <w:sz w:val="32"/>
          <w:szCs w:val="32"/>
          <w:highlight w:val="none"/>
          <w:lang w:val="en-US" w:eastAsia="zh-CN"/>
        </w:rPr>
        <w:t>3.5</w:t>
      </w:r>
      <w:r>
        <w:rPr>
          <w:rFonts w:hint="eastAsia" w:ascii="仿宋_GB2312" w:hAnsi="仿宋_GB2312" w:eastAsia="仿宋_GB2312" w:cs="仿宋_GB2312"/>
          <w:color w:val="auto"/>
          <w:sz w:val="32"/>
          <w:szCs w:val="32"/>
          <w:highlight w:val="none"/>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综上，本单位履职效能自评得分为15分。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shd w:val="clear" w:color="auto" w:fill="FFFFFF"/>
          <w:lang w:val="zh-CN"/>
        </w:rPr>
        <w:t>预算管理。</w:t>
      </w:r>
      <w:r>
        <w:rPr>
          <w:rFonts w:hint="eastAsia" w:ascii="仿宋_GB2312" w:hAnsi="仿宋_GB2312" w:eastAsia="仿宋_GB2312" w:cs="仿宋_GB2312"/>
          <w:color w:val="auto"/>
          <w:kern w:val="0"/>
          <w:sz w:val="32"/>
          <w:szCs w:val="32"/>
          <w:highlight w:val="none"/>
          <w:shd w:val="clear" w:color="auto" w:fill="FFFFFF"/>
          <w:lang w:val="zh-CN"/>
        </w:rPr>
        <w:t>围绕预算编制质量、单位收入统筹、支出执行进度、预算年终结余、严控一般性支出进行绩效分析。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b/>
          <w:bCs/>
          <w:color w:val="auto"/>
          <w:kern w:val="2"/>
          <w:sz w:val="32"/>
          <w:szCs w:val="32"/>
          <w:highlight w:val="none"/>
          <w:lang w:val="en-US" w:eastAsia="zh-CN" w:bidi="ar-SA"/>
        </w:rPr>
        <w:t>1</w:t>
      </w:r>
      <w:r>
        <w:rPr>
          <w:rFonts w:hint="eastAsia" w:ascii="仿宋_GB2312" w:hAnsi="仿宋_GB2312" w:eastAsia="仿宋_GB2312" w:cs="仿宋_GB2312"/>
          <w:b/>
          <w:bCs/>
          <w:color w:val="auto"/>
          <w:kern w:val="2"/>
          <w:sz w:val="32"/>
          <w:szCs w:val="32"/>
          <w:highlight w:val="none"/>
          <w:lang w:val="zh-CN" w:eastAsia="zh-CN" w:bidi="ar-SA"/>
        </w:rPr>
        <w:t>）预算编制质量：</w:t>
      </w:r>
      <w:r>
        <w:rPr>
          <w:rFonts w:hint="eastAsia" w:ascii="仿宋_GB2312" w:hAnsi="仿宋_GB2312" w:eastAsia="仿宋_GB2312" w:cs="仿宋_GB2312"/>
          <w:color w:val="auto"/>
          <w:kern w:val="2"/>
          <w:sz w:val="32"/>
          <w:szCs w:val="32"/>
          <w:highlight w:val="none"/>
          <w:lang w:val="zh-CN" w:eastAsia="zh-CN" w:bidi="ar-SA"/>
        </w:rPr>
        <w:t>我</w:t>
      </w:r>
      <w:r>
        <w:rPr>
          <w:rFonts w:hint="eastAsia" w:ascii="仿宋_GB2312" w:hAnsi="仿宋_GB2312" w:eastAsia="仿宋_GB2312" w:cs="仿宋_GB2312"/>
          <w:color w:val="auto"/>
          <w:kern w:val="0"/>
          <w:sz w:val="32"/>
          <w:szCs w:val="32"/>
          <w:highlight w:val="none"/>
          <w:shd w:val="clear" w:color="auto" w:fill="FFFFFF"/>
          <w:lang w:val="zh-CN"/>
        </w:rPr>
        <w:t>局高度重视预算工作，遵循“规范统一、全面完整、及时有效、客观公正”的原则，严格按要求编制年初部门预算，不断提高预算编制的科学性、准确性、合理性，提高财政资金使用绩效，促进财政资金规范安全有效使用</w:t>
      </w:r>
      <w:r>
        <w:rPr>
          <w:rFonts w:hint="eastAsia" w:ascii="仿宋_GB2312" w:hAnsi="仿宋_GB2312" w:cs="仿宋_GB2312"/>
          <w:color w:val="auto"/>
          <w:kern w:val="0"/>
          <w:sz w:val="32"/>
          <w:szCs w:val="32"/>
          <w:highlight w:val="none"/>
          <w:shd w:val="clear" w:color="auto" w:fill="FFFFFF"/>
          <w:lang w:val="zh-CN"/>
        </w:rPr>
        <w:t>。</w:t>
      </w:r>
      <w:r>
        <w:rPr>
          <w:rFonts w:hint="eastAsia" w:ascii="仿宋_GB2312" w:hAnsi="仿宋_GB2312" w:cs="仿宋_GB2312"/>
          <w:color w:val="auto"/>
          <w:kern w:val="0"/>
          <w:sz w:val="32"/>
          <w:szCs w:val="32"/>
          <w:highlight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shd w:val="clear" w:color="auto" w:fill="FFFFFF"/>
          <w:lang w:val="en-US" w:eastAsia="zh-CN"/>
        </w:rPr>
        <w:t>，预算执行数为</w:t>
      </w:r>
      <w:r>
        <w:rPr>
          <w:rFonts w:hint="eastAsia" w:ascii="仿宋_GB2312" w:hAnsi="仿宋_GB2312" w:cs="仿宋_GB2312"/>
          <w:color w:val="auto"/>
          <w:kern w:val="0"/>
          <w:sz w:val="32"/>
          <w:szCs w:val="32"/>
          <w:highlight w:val="none"/>
          <w:shd w:val="clear" w:color="auto" w:fill="FFFFFF"/>
          <w:lang w:val="en-US" w:eastAsia="zh-CN"/>
        </w:rPr>
        <w:t>3199.83</w:t>
      </w:r>
      <w:r>
        <w:rPr>
          <w:rFonts w:hint="eastAsia" w:ascii="仿宋_GB2312" w:hAnsi="仿宋_GB2312" w:eastAsia="仿宋_GB2312" w:cs="仿宋_GB2312"/>
          <w:color w:val="auto"/>
          <w:kern w:val="0"/>
          <w:sz w:val="32"/>
          <w:szCs w:val="32"/>
          <w:highlight w:val="none"/>
          <w:shd w:val="clear" w:color="auto" w:fill="FFFFFF"/>
          <w:lang w:val="en-US" w:eastAsia="zh-CN"/>
        </w:rPr>
        <w:t>万元，年初预算数为</w:t>
      </w:r>
      <w:r>
        <w:rPr>
          <w:rFonts w:hint="eastAsia" w:ascii="仿宋_GB2312" w:hAnsi="仿宋_GB2312" w:cs="仿宋_GB2312"/>
          <w:color w:val="auto"/>
          <w:kern w:val="0"/>
          <w:sz w:val="32"/>
          <w:szCs w:val="32"/>
          <w:highlight w:val="none"/>
          <w:shd w:val="clear" w:color="auto" w:fill="FFFFFF"/>
          <w:lang w:val="en-US" w:eastAsia="zh-CN"/>
        </w:rPr>
        <w:t>494.38</w:t>
      </w:r>
      <w:r>
        <w:rPr>
          <w:rFonts w:hint="eastAsia" w:ascii="仿宋_GB2312" w:hAnsi="仿宋_GB2312" w:eastAsia="仿宋_GB2312" w:cs="仿宋_GB2312"/>
          <w:color w:val="auto"/>
          <w:kern w:val="0"/>
          <w:sz w:val="32"/>
          <w:szCs w:val="32"/>
          <w:highlight w:val="none"/>
          <w:shd w:val="clear" w:color="auto" w:fill="FFFFFF"/>
          <w:lang w:val="en-US" w:eastAsia="zh-CN"/>
        </w:rPr>
        <w:t>万元，</w:t>
      </w:r>
      <w:r>
        <w:rPr>
          <w:rFonts w:hint="eastAsia" w:ascii="仿宋_GB2312" w:hAnsi="仿宋_GB2312" w:cs="仿宋_GB2312"/>
          <w:color w:val="auto"/>
          <w:kern w:val="0"/>
          <w:sz w:val="32"/>
          <w:szCs w:val="32"/>
          <w:highlight w:val="none"/>
          <w:shd w:val="clear" w:color="auto" w:fill="FFFFFF"/>
          <w:lang w:val="en-US" w:eastAsia="zh-CN"/>
        </w:rPr>
        <w:t>主要原因为一次性项目较多且未做预算，</w:t>
      </w:r>
      <w:r>
        <w:rPr>
          <w:rFonts w:hint="eastAsia" w:ascii="仿宋_GB2312" w:hAnsi="仿宋_GB2312" w:eastAsia="仿宋_GB2312" w:cs="仿宋_GB2312"/>
          <w:color w:val="auto"/>
          <w:kern w:val="0"/>
          <w:sz w:val="32"/>
          <w:szCs w:val="32"/>
          <w:highlight w:val="none"/>
          <w:shd w:val="clear" w:color="auto" w:fill="FFFFFF"/>
          <w:lang w:val="en-US" w:eastAsia="zh-CN"/>
        </w:rPr>
        <w:t>财政拨款预算偏离度较大，此项不得分；无资产配置预算及政府采购预算，此项得分为4分。</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该项指标最终得4分。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b/>
          <w:bCs/>
          <w:color w:val="auto"/>
          <w:kern w:val="2"/>
          <w:sz w:val="32"/>
          <w:szCs w:val="32"/>
          <w:highlight w:val="none"/>
          <w:lang w:val="en-US" w:eastAsia="zh-CN" w:bidi="ar-SA"/>
        </w:rPr>
        <w:t>2</w:t>
      </w:r>
      <w:r>
        <w:rPr>
          <w:rFonts w:hint="eastAsia" w:ascii="仿宋_GB2312" w:hAnsi="仿宋_GB2312" w:eastAsia="仿宋_GB2312" w:cs="仿宋_GB2312"/>
          <w:b/>
          <w:bCs/>
          <w:color w:val="auto"/>
          <w:kern w:val="2"/>
          <w:sz w:val="32"/>
          <w:szCs w:val="32"/>
          <w:highlight w:val="none"/>
          <w:lang w:val="zh-CN" w:eastAsia="zh-CN" w:bidi="ar-SA"/>
        </w:rPr>
        <w:t>）单位收入统筹：</w:t>
      </w:r>
      <w:r>
        <w:rPr>
          <w:rFonts w:hint="eastAsia" w:ascii="仿宋_GB2312" w:hAnsi="仿宋_GB2312" w:eastAsia="仿宋_GB2312" w:cs="仿宋_GB2312"/>
          <w:color w:val="auto"/>
          <w:kern w:val="0"/>
          <w:sz w:val="32"/>
          <w:szCs w:val="32"/>
          <w:highlight w:val="none"/>
          <w:shd w:val="clear" w:color="auto" w:fill="FFFFFF"/>
          <w:lang w:val="zh-CN"/>
        </w:rPr>
        <w:t>我单位</w:t>
      </w:r>
      <w:r>
        <w:rPr>
          <w:rFonts w:hint="eastAsia" w:ascii="仿宋_GB2312" w:hAnsi="仿宋_GB2312" w:cs="仿宋_GB2312"/>
          <w:color w:val="auto"/>
          <w:kern w:val="0"/>
          <w:sz w:val="32"/>
          <w:szCs w:val="32"/>
          <w:highlight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shd w:val="clear" w:color="auto" w:fill="FFFFFF"/>
          <w:lang w:val="en-US" w:eastAsia="zh-CN"/>
        </w:rPr>
        <w:t>没有单位收入。</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kern w:val="0"/>
          <w:sz w:val="32"/>
          <w:szCs w:val="32"/>
          <w:highlight w:val="none"/>
          <w:shd w:val="clear" w:color="auto" w:fill="FFFFFF"/>
          <w:lang w:val="en-US" w:eastAsia="zh-CN"/>
        </w:rPr>
        <w:t>本项扣分为0分，得分为4分。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b/>
          <w:bCs/>
          <w:color w:val="auto"/>
          <w:kern w:val="2"/>
          <w:sz w:val="32"/>
          <w:szCs w:val="32"/>
          <w:highlight w:val="none"/>
          <w:lang w:val="en-US" w:eastAsia="zh-CN" w:bidi="ar-SA"/>
        </w:rPr>
        <w:t>3</w:t>
      </w:r>
      <w:r>
        <w:rPr>
          <w:rFonts w:hint="eastAsia" w:ascii="仿宋_GB2312" w:hAnsi="仿宋_GB2312" w:eastAsia="仿宋_GB2312" w:cs="仿宋_GB2312"/>
          <w:b/>
          <w:bCs/>
          <w:color w:val="auto"/>
          <w:kern w:val="2"/>
          <w:sz w:val="32"/>
          <w:szCs w:val="32"/>
          <w:highlight w:val="none"/>
          <w:lang w:val="zh-CN" w:eastAsia="zh-CN" w:bidi="ar-SA"/>
        </w:rPr>
        <w:t>）支出执行进度：</w:t>
      </w:r>
      <w:r>
        <w:rPr>
          <w:rFonts w:hint="eastAsia" w:ascii="仿宋_GB2312" w:hAnsi="仿宋_GB2312" w:eastAsia="仿宋_GB2312" w:cs="仿宋_GB2312"/>
          <w:color w:val="auto"/>
          <w:sz w:val="32"/>
          <w:szCs w:val="32"/>
          <w:highlight w:val="none"/>
          <w:lang w:val="en-US" w:eastAsia="zh-CN"/>
        </w:rPr>
        <w:t>部门1-6月预算执行数为</w:t>
      </w:r>
      <w:r>
        <w:rPr>
          <w:rFonts w:hint="eastAsia" w:ascii="仿宋_GB2312" w:hAnsi="仿宋_GB2312" w:cs="仿宋_GB2312"/>
          <w:color w:val="auto"/>
          <w:sz w:val="32"/>
          <w:szCs w:val="32"/>
          <w:highlight w:val="none"/>
          <w:lang w:val="en-US" w:eastAsia="zh-CN"/>
        </w:rPr>
        <w:t>1821.17</w:t>
      </w:r>
      <w:r>
        <w:rPr>
          <w:rFonts w:hint="eastAsia" w:ascii="仿宋_GB2312" w:hAnsi="仿宋_GB2312" w:eastAsia="仿宋_GB2312" w:cs="仿宋_GB2312"/>
          <w:color w:val="auto"/>
          <w:sz w:val="32"/>
          <w:szCs w:val="32"/>
          <w:highlight w:val="none"/>
          <w:lang w:val="en-US" w:eastAsia="zh-CN"/>
        </w:rPr>
        <w:t>万元，1-10月预算执行数为</w:t>
      </w:r>
      <w:r>
        <w:rPr>
          <w:rFonts w:hint="eastAsia" w:ascii="仿宋_GB2312" w:hAnsi="仿宋_GB2312" w:cs="仿宋_GB2312"/>
          <w:color w:val="auto"/>
          <w:sz w:val="32"/>
          <w:szCs w:val="32"/>
          <w:highlight w:val="none"/>
          <w:lang w:val="en-US" w:eastAsia="zh-CN"/>
        </w:rPr>
        <w:t>2755.32</w:t>
      </w:r>
      <w:r>
        <w:rPr>
          <w:rFonts w:hint="eastAsia" w:ascii="仿宋_GB2312" w:hAnsi="仿宋_GB2312" w:eastAsia="仿宋_GB2312" w:cs="仿宋_GB2312"/>
          <w:color w:val="auto"/>
          <w:sz w:val="32"/>
          <w:szCs w:val="32"/>
          <w:highlight w:val="none"/>
          <w:lang w:val="en-US" w:eastAsia="zh-CN"/>
        </w:rPr>
        <w:t>万元，全年预算数为</w:t>
      </w:r>
      <w:r>
        <w:rPr>
          <w:rFonts w:hint="eastAsia" w:ascii="仿宋_GB2312" w:hAnsi="仿宋_GB2312" w:cs="仿宋_GB2312"/>
          <w:color w:val="auto"/>
          <w:sz w:val="32"/>
          <w:szCs w:val="32"/>
          <w:highlight w:val="none"/>
          <w:lang w:val="en-US" w:eastAsia="zh-CN"/>
        </w:rPr>
        <w:t>3199.83</w:t>
      </w:r>
      <w:r>
        <w:rPr>
          <w:rFonts w:hint="eastAsia" w:ascii="仿宋_GB2312" w:hAnsi="仿宋_GB2312" w:eastAsia="仿宋_GB2312" w:cs="仿宋_GB2312"/>
          <w:color w:val="auto"/>
          <w:sz w:val="32"/>
          <w:szCs w:val="32"/>
          <w:highlight w:val="none"/>
          <w:lang w:val="en-US" w:eastAsia="zh-CN"/>
        </w:rPr>
        <w:t>万元。完成1-12月单位工资发放、职工保险缴纳、办公费、差旅费、公务用车运行维护费、基本项目等支出。</w:t>
      </w:r>
      <w:r>
        <w:rPr>
          <w:rFonts w:hint="eastAsia" w:ascii="仿宋" w:hAnsi="仿宋" w:eastAsia="仿宋" w:cs="仿宋"/>
          <w:sz w:val="32"/>
          <w:szCs w:val="32"/>
          <w:highlight w:val="none"/>
          <w:lang w:val="en-US" w:eastAsia="zh-CN"/>
        </w:rPr>
        <w:t>1-10月预警金额11.5万元，主要为残保金费用、项目水土保持补偿费、差旅费、保险等，1-10月无违规金额。</w:t>
      </w:r>
      <w:r>
        <w:rPr>
          <w:rFonts w:hint="eastAsia" w:ascii="仿宋_GB2312" w:hAnsi="仿宋_GB2312" w:eastAsia="仿宋_GB2312" w:cs="仿宋_GB2312"/>
          <w:color w:val="auto"/>
          <w:kern w:val="0"/>
          <w:sz w:val="32"/>
          <w:szCs w:val="32"/>
          <w:highlight w:val="none"/>
          <w:shd w:val="clear" w:color="auto" w:fill="FFFFFF"/>
          <w:lang w:val="zh-CN"/>
        </w:rPr>
        <w:t>根据评分标准，</w:t>
      </w:r>
      <w:r>
        <w:rPr>
          <w:rFonts w:hint="eastAsia" w:ascii="仿宋_GB2312" w:hAnsi="仿宋_GB2312" w:eastAsia="仿宋_GB2312" w:cs="仿宋_GB2312"/>
          <w:color w:val="auto"/>
          <w:sz w:val="32"/>
          <w:szCs w:val="32"/>
          <w:highlight w:val="none"/>
          <w:lang w:val="en-US" w:eastAsia="zh-CN"/>
        </w:rPr>
        <w:t>该项</w:t>
      </w:r>
      <w:r>
        <w:rPr>
          <w:rFonts w:hint="eastAsia" w:ascii="仿宋_GB2312" w:hAnsi="仿宋_GB2312" w:eastAsia="仿宋_GB2312" w:cs="仿宋_GB2312"/>
          <w:color w:val="auto"/>
          <w:kern w:val="0"/>
          <w:sz w:val="32"/>
          <w:szCs w:val="32"/>
          <w:highlight w:val="none"/>
          <w:shd w:val="clear" w:color="auto" w:fill="FFFFFF"/>
          <w:lang w:val="en-US" w:eastAsia="zh-CN"/>
        </w:rPr>
        <w:t>自评得分为</w:t>
      </w:r>
      <w:r>
        <w:rPr>
          <w:rFonts w:hint="eastAsia" w:ascii="仿宋_GB2312" w:hAnsi="仿宋_GB2312" w:cs="仿宋_GB2312"/>
          <w:color w:val="auto"/>
          <w:kern w:val="0"/>
          <w:sz w:val="32"/>
          <w:szCs w:val="32"/>
          <w:highlight w:val="none"/>
          <w:shd w:val="clear" w:color="auto" w:fill="FFFFFF"/>
          <w:lang w:val="en-US" w:eastAsia="zh-CN"/>
        </w:rPr>
        <w:t>1821.17</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eastAsia" w:ascii="仿宋_GB2312" w:hAnsi="仿宋_GB2312" w:cs="仿宋_GB2312"/>
          <w:color w:val="auto"/>
          <w:sz w:val="32"/>
          <w:szCs w:val="32"/>
          <w:highlight w:val="none"/>
          <w:lang w:val="en-US" w:eastAsia="zh-CN"/>
        </w:rPr>
        <w:t>3199.83</w:t>
      </w:r>
      <w:r>
        <w:rPr>
          <w:rFonts w:hint="eastAsia" w:ascii="仿宋_GB2312" w:hAnsi="仿宋_GB2312" w:eastAsia="仿宋_GB2312" w:cs="仿宋_GB2312"/>
          <w:color w:val="auto"/>
          <w:kern w:val="0"/>
          <w:sz w:val="32"/>
          <w:szCs w:val="32"/>
          <w:highlight w:val="none"/>
          <w:shd w:val="clear" w:color="auto" w:fill="FFFFFF"/>
          <w:lang w:val="en-US" w:eastAsia="zh-CN"/>
        </w:rPr>
        <w:t>*0.5）*2+</w:t>
      </w:r>
      <w:r>
        <w:rPr>
          <w:rFonts w:hint="eastAsia" w:ascii="仿宋_GB2312" w:hAnsi="仿宋_GB2312" w:cs="仿宋_GB2312"/>
          <w:color w:val="auto"/>
          <w:kern w:val="0"/>
          <w:sz w:val="32"/>
          <w:szCs w:val="32"/>
          <w:highlight w:val="none"/>
          <w:shd w:val="clear" w:color="auto" w:fill="FFFFFF"/>
          <w:lang w:val="en-US" w:eastAsia="zh-CN"/>
        </w:rPr>
        <w:t>2755.32</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eastAsia" w:ascii="仿宋_GB2312" w:hAnsi="仿宋_GB2312" w:cs="仿宋_GB2312"/>
          <w:color w:val="auto"/>
          <w:sz w:val="32"/>
          <w:szCs w:val="32"/>
          <w:highlight w:val="none"/>
          <w:lang w:val="en-US" w:eastAsia="zh-CN"/>
        </w:rPr>
        <w:t>3199.83</w:t>
      </w:r>
      <w:r>
        <w:rPr>
          <w:rFonts w:hint="eastAsia" w:ascii="仿宋_GB2312" w:hAnsi="仿宋_GB2312" w:eastAsia="仿宋_GB2312" w:cs="仿宋_GB2312"/>
          <w:color w:val="auto"/>
          <w:kern w:val="0"/>
          <w:sz w:val="32"/>
          <w:szCs w:val="32"/>
          <w:highlight w:val="none"/>
          <w:shd w:val="clear" w:color="auto" w:fill="FFFFFF"/>
          <w:lang w:val="en-US" w:eastAsia="zh-CN"/>
        </w:rPr>
        <w:t>*0.83）*2=</w:t>
      </w:r>
      <w:r>
        <w:rPr>
          <w:rFonts w:hint="eastAsia" w:ascii="仿宋_GB2312" w:hAnsi="仿宋_GB2312" w:cs="仿宋_GB2312"/>
          <w:color w:val="auto"/>
          <w:kern w:val="0"/>
          <w:sz w:val="32"/>
          <w:szCs w:val="32"/>
          <w:highlight w:val="none"/>
          <w:shd w:val="clear" w:color="auto" w:fill="FFFFFF"/>
          <w:lang w:val="en-US" w:eastAsia="zh-CN"/>
        </w:rPr>
        <w:t>2.28</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eastAsia" w:ascii="仿宋_GB2312" w:hAnsi="仿宋_GB2312" w:cs="仿宋_GB2312"/>
          <w:color w:val="auto"/>
          <w:kern w:val="0"/>
          <w:sz w:val="32"/>
          <w:szCs w:val="32"/>
          <w:highlight w:val="none"/>
          <w:shd w:val="clear" w:color="auto" w:fill="FFFFFF"/>
          <w:lang w:val="en-US" w:eastAsia="zh-CN"/>
        </w:rPr>
        <w:t>2.07</w:t>
      </w:r>
      <w:r>
        <w:rPr>
          <w:rFonts w:hint="eastAsia" w:ascii="仿宋_GB2312" w:hAnsi="仿宋_GB2312" w:eastAsia="仿宋_GB2312" w:cs="仿宋_GB2312"/>
          <w:color w:val="auto"/>
          <w:kern w:val="0"/>
          <w:sz w:val="32"/>
          <w:szCs w:val="32"/>
          <w:highlight w:val="none"/>
          <w:shd w:val="clear" w:color="auto" w:fill="FFFFFF"/>
          <w:lang w:val="en-US" w:eastAsia="zh-CN"/>
        </w:rPr>
        <w:t>=</w:t>
      </w:r>
      <w:r>
        <w:rPr>
          <w:rFonts w:hint="eastAsia" w:ascii="仿宋_GB2312" w:hAnsi="仿宋_GB2312" w:cs="仿宋_GB2312"/>
          <w:color w:val="auto"/>
          <w:kern w:val="0"/>
          <w:sz w:val="32"/>
          <w:szCs w:val="32"/>
          <w:highlight w:val="none"/>
          <w:shd w:val="clear" w:color="auto" w:fill="FFFFFF"/>
          <w:lang w:val="en-US" w:eastAsia="zh-CN"/>
        </w:rPr>
        <w:t>4.35</w:t>
      </w:r>
      <w:r>
        <w:rPr>
          <w:rFonts w:hint="eastAsia" w:ascii="仿宋_GB2312" w:hAnsi="仿宋_GB2312" w:eastAsia="仿宋_GB2312" w:cs="仿宋_GB2312"/>
          <w:color w:val="auto"/>
          <w:kern w:val="0"/>
          <w:sz w:val="32"/>
          <w:szCs w:val="32"/>
          <w:highlight w:val="none"/>
          <w:shd w:val="clear" w:color="auto" w:fill="FFFFFF"/>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仿宋_GB2312" w:hAnsi="仿宋_GB2312" w:eastAsia="仿宋_GB2312" w:cs="仿宋_GB2312"/>
          <w:b/>
          <w:bCs/>
          <w:color w:val="auto"/>
          <w:kern w:val="2"/>
          <w:sz w:val="32"/>
          <w:szCs w:val="32"/>
          <w:highlight w:val="none"/>
          <w:lang w:val="zh-CN" w:eastAsia="zh-CN" w:bidi="ar-SA"/>
        </w:rPr>
        <w:t>）预算年终结余：</w:t>
      </w:r>
      <w:r>
        <w:rPr>
          <w:rFonts w:hint="eastAsia" w:ascii="仿宋_GB2312" w:hAnsi="仿宋_GB2312" w:eastAsia="仿宋_GB2312" w:cs="仿宋_GB2312"/>
          <w:color w:val="auto"/>
          <w:kern w:val="2"/>
          <w:sz w:val="32"/>
          <w:szCs w:val="32"/>
          <w:highlight w:val="none"/>
          <w:lang w:val="en-US" w:eastAsia="zh-CN" w:bidi="ar-SA"/>
        </w:rPr>
        <w:t>2025年</w:t>
      </w:r>
      <w:r>
        <w:rPr>
          <w:rFonts w:hint="eastAsia" w:ascii="仿宋_GB2312" w:hAnsi="仿宋_GB2312" w:eastAsia="仿宋_GB2312" w:cs="仿宋_GB2312"/>
          <w:color w:val="auto"/>
          <w:kern w:val="2"/>
          <w:sz w:val="32"/>
          <w:szCs w:val="32"/>
          <w:highlight w:val="none"/>
          <w:lang w:val="zh-CN" w:eastAsia="zh-CN" w:bidi="ar-SA"/>
        </w:rPr>
        <w:t>年终部门预算注销金额为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zh-CN" w:eastAsia="zh-CN" w:bidi="ar-SA"/>
        </w:rPr>
        <w:t>结转金额为</w:t>
      </w:r>
      <w:r>
        <w:rPr>
          <w:rFonts w:hint="eastAsia" w:ascii="仿宋_GB2312" w:hAnsi="仿宋_GB2312" w:eastAsia="仿宋_GB2312" w:cs="仿宋_GB2312"/>
          <w:color w:val="auto"/>
          <w:kern w:val="2"/>
          <w:sz w:val="32"/>
          <w:szCs w:val="32"/>
          <w:highlight w:val="none"/>
          <w:lang w:val="en-US" w:eastAsia="zh-CN" w:bidi="ar-SA"/>
        </w:rPr>
        <w:t>0元，部门预算总金额为3199.83万元，部门整体预算结余率0%。</w:t>
      </w:r>
      <w:r>
        <w:rPr>
          <w:rFonts w:hint="eastAsia" w:ascii="仿宋_GB2312" w:hAnsi="仿宋_GB2312" w:eastAsia="仿宋_GB2312" w:cs="仿宋_GB2312"/>
          <w:color w:val="auto"/>
          <w:kern w:val="2"/>
          <w:sz w:val="32"/>
          <w:szCs w:val="32"/>
          <w:highlight w:val="none"/>
          <w:lang w:val="zh-CN" w:eastAsia="zh-CN" w:bidi="ar-SA"/>
        </w:rPr>
        <w:t>根据评分标准，</w:t>
      </w:r>
      <w:r>
        <w:rPr>
          <w:rFonts w:hint="eastAsia" w:ascii="仿宋_GB2312" w:hAnsi="仿宋_GB2312" w:eastAsia="仿宋_GB2312" w:cs="仿宋_GB2312"/>
          <w:color w:val="auto"/>
          <w:kern w:val="2"/>
          <w:sz w:val="32"/>
          <w:szCs w:val="32"/>
          <w:highlight w:val="none"/>
          <w:lang w:val="en-US" w:eastAsia="zh-CN" w:bidi="ar-SA"/>
        </w:rPr>
        <w:t>该项指标得分=（1-0%）×100%×2=2分。</w:t>
      </w:r>
    </w:p>
    <w:p>
      <w:pPr>
        <w:pStyle w:val="12"/>
        <w:pageBreakBefore w:val="0"/>
        <w:kinsoku/>
        <w:wordWrap/>
        <w:topLinePunct w:val="0"/>
        <w:autoSpaceDE/>
        <w:autoSpaceDN/>
        <w:bidi w:val="0"/>
        <w:spacing w:line="576" w:lineRule="exact"/>
        <w:ind w:left="0" w:leftChars="0" w:firstLine="643" w:firstLineChars="200"/>
        <w:textAlignment w:val="auto"/>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zh-CN" w:eastAsia="zh-CN" w:bidi="ar-SA"/>
        </w:rPr>
        <w:t>（</w:t>
      </w:r>
      <w:r>
        <w:rPr>
          <w:rFonts w:hint="eastAsia" w:ascii="仿宋_GB2312" w:hAnsi="仿宋_GB2312" w:eastAsia="仿宋_GB2312" w:cs="仿宋_GB2312"/>
          <w:b/>
          <w:bCs/>
          <w:color w:val="auto"/>
          <w:kern w:val="2"/>
          <w:sz w:val="32"/>
          <w:szCs w:val="32"/>
          <w:highlight w:val="none"/>
          <w:lang w:val="en-US" w:eastAsia="zh-CN" w:bidi="ar-SA"/>
        </w:rPr>
        <w:t>5</w:t>
      </w:r>
      <w:r>
        <w:rPr>
          <w:rFonts w:hint="eastAsia" w:ascii="仿宋_GB2312" w:hAnsi="仿宋_GB2312" w:eastAsia="仿宋_GB2312" w:cs="仿宋_GB2312"/>
          <w:b/>
          <w:bCs/>
          <w:color w:val="auto"/>
          <w:kern w:val="2"/>
          <w:sz w:val="32"/>
          <w:szCs w:val="32"/>
          <w:highlight w:val="none"/>
          <w:lang w:val="zh-CN" w:eastAsia="zh-CN" w:bidi="ar-SA"/>
        </w:rPr>
        <w:t>）严控一般性支出。</w:t>
      </w:r>
      <w:r>
        <w:rPr>
          <w:rFonts w:hint="eastAsia" w:ascii="仿宋_GB2312" w:hAnsi="仿宋_GB2312" w:eastAsia="仿宋_GB2312" w:cs="仿宋_GB2312"/>
          <w:color w:val="auto"/>
          <w:kern w:val="2"/>
          <w:sz w:val="32"/>
          <w:szCs w:val="32"/>
          <w:highlight w:val="none"/>
          <w:lang w:val="zh-CN" w:eastAsia="zh-CN" w:bidi="ar-SA"/>
        </w:rPr>
        <w:t>根据预算报表和决算报表，按照一般性支出明细表，一般性支出财政拨款年初预算较上年实现压减得1分，此项得分为</w:t>
      </w:r>
      <w:r>
        <w:rPr>
          <w:rFonts w:hint="eastAsia" w:hAnsi="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分</w:t>
      </w:r>
      <w:r>
        <w:rPr>
          <w:rFonts w:hint="eastAsia" w:ascii="仿宋_GB2312" w:hAnsi="仿宋_GB2312"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一般性支出财政拨款预算执行较上年实现压减</w:t>
      </w:r>
      <w:r>
        <w:rPr>
          <w:rFonts w:hint="eastAsia" w:ascii="Times New Roman" w:hAnsi="Times New Roman" w:cs="Times New Roman"/>
          <w:color w:val="000000"/>
          <w:kern w:val="0"/>
          <w:sz w:val="32"/>
          <w:szCs w:val="32"/>
          <w:highlight w:val="none"/>
          <w:shd w:val="clear" w:color="auto" w:fill="FFFFFF"/>
          <w:lang w:val="zh-CN" w:eastAsia="zh-CN" w:bidi="ar-SA"/>
        </w:rPr>
        <w:t>得</w:t>
      </w:r>
      <w:r>
        <w:rPr>
          <w:rFonts w:hint="eastAsia" w:ascii="Times New Roman" w:cs="Times New Roman"/>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 w:val="32"/>
          <w:szCs w:val="32"/>
          <w:highlight w:val="none"/>
          <w:shd w:val="clear" w:color="auto" w:fill="FFFFFF"/>
          <w:lang w:val="zh-CN" w:eastAsia="zh-CN" w:bidi="ar-SA"/>
        </w:rPr>
        <w:t>分</w:t>
      </w:r>
      <w:r>
        <w:rPr>
          <w:rFonts w:hint="eastAsia" w:ascii="Times New Roman" w:cs="Times New Roman"/>
          <w:color w:val="000000"/>
          <w:kern w:val="0"/>
          <w:sz w:val="32"/>
          <w:szCs w:val="32"/>
          <w:highlight w:val="none"/>
          <w:shd w:val="clear" w:color="auto" w:fill="FFFFFF"/>
          <w:lang w:val="zh-CN" w:eastAsia="zh-CN" w:bidi="ar-SA"/>
        </w:rPr>
        <w:t>，此项得分为</w:t>
      </w:r>
      <w:r>
        <w:rPr>
          <w:rFonts w:hint="eastAsia" w:ascii="Times New Roman" w:cs="Times New Roman"/>
          <w:color w:val="000000"/>
          <w:kern w:val="0"/>
          <w:sz w:val="32"/>
          <w:szCs w:val="32"/>
          <w:highlight w:val="none"/>
          <w:shd w:val="clear" w:color="auto" w:fill="FFFFFF"/>
          <w:lang w:val="en-US" w:eastAsia="zh-CN" w:bidi="ar-SA"/>
        </w:rPr>
        <w:t>1分</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。一般性支出财政拨款年初预算较上年每压减1%得0.2分，累计不超过1分，此项得分</w:t>
      </w:r>
      <w:r>
        <w:rPr>
          <w:rFonts w:hint="eastAsia" w:ascii="Times New Roman" w:hAnsi="Times New Roman"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分</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；一般性支出财政拨款预算执行较上年每压减1%得0.4分，累计不超过2，此项</w:t>
      </w:r>
      <w:r>
        <w:rPr>
          <w:rFonts w:hint="eastAsia" w:ascii="Times New Roman" w:hAnsi="Times New Roman" w:cs="Times New Roman"/>
          <w:color w:val="000000"/>
          <w:kern w:val="0"/>
          <w:sz w:val="32"/>
          <w:szCs w:val="32"/>
          <w:highlight w:val="none"/>
          <w:shd w:val="clear" w:color="auto" w:fill="FFFFFF"/>
          <w:lang w:val="zh-CN" w:eastAsia="zh-CN" w:bidi="ar-SA"/>
        </w:rPr>
        <w:t>得</w:t>
      </w:r>
      <w:r>
        <w:rPr>
          <w:rFonts w:hint="eastAsia" w:ascii="Times New Roman"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分</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。综上，该项指标最终得分为</w:t>
      </w:r>
      <w:r>
        <w:rPr>
          <w:rFonts w:hint="eastAsia" w:ascii="Times New Roman" w:cs="Times New Roman"/>
          <w:color w:val="000000"/>
          <w:kern w:val="0"/>
          <w:sz w:val="32"/>
          <w:szCs w:val="32"/>
          <w:highlight w:val="none"/>
          <w:shd w:val="clear" w:color="auto" w:fill="FFFFFF"/>
          <w:lang w:val="en-US" w:eastAsia="zh-CN" w:bidi="ar-SA"/>
        </w:rPr>
        <w:t>4</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分。</w:t>
      </w:r>
    </w:p>
    <w:p>
      <w:pPr>
        <w:pStyle w:val="12"/>
        <w:pageBreakBefore w:val="0"/>
        <w:kinsoku/>
        <w:wordWrap/>
        <w:topLinePunct w:val="0"/>
        <w:autoSpaceDE/>
        <w:autoSpaceDN/>
        <w:bidi w:val="0"/>
        <w:spacing w:line="576" w:lineRule="exact"/>
        <w:ind w:left="0" w:leftChars="0" w:firstLine="0" w:firstLineChars="0"/>
        <w:textAlignment w:val="auto"/>
        <w:rPr>
          <w:rFonts w:hint="eastAsia" w:ascii="Times New Roman" w:cs="Times New Roman"/>
          <w:color w:val="auto"/>
          <w:kern w:val="0"/>
          <w:sz w:val="32"/>
          <w:szCs w:val="32"/>
          <w:highlight w:val="none"/>
          <w:shd w:val="clear" w:color="auto" w:fill="FFFFFF"/>
          <w:lang w:val="zh-CN" w:eastAsia="zh-CN"/>
        </w:rPr>
      </w:pPr>
      <w:r>
        <w:rPr>
          <w:rFonts w:hint="eastAsia" w:ascii="Times New Roman" w:hAnsi="Times New Roman" w:cs="Times New Roman"/>
          <w:color w:val="auto"/>
          <w:kern w:val="0"/>
          <w:sz w:val="32"/>
          <w:szCs w:val="32"/>
          <w:highlight w:val="none"/>
          <w:shd w:val="clear" w:color="auto" w:fill="FFFFFF"/>
          <w:lang w:val="zh-CN"/>
        </w:rPr>
        <w:t>一般性支出</w:t>
      </w:r>
      <w:r>
        <w:rPr>
          <w:rFonts w:hint="eastAsia" w:ascii="Times New Roman" w:cs="Times New Roman"/>
          <w:color w:val="auto"/>
          <w:kern w:val="0"/>
          <w:sz w:val="32"/>
          <w:szCs w:val="32"/>
          <w:highlight w:val="none"/>
          <w:shd w:val="clear" w:color="auto" w:fill="FFFFFF"/>
          <w:lang w:val="zh-CN"/>
        </w:rPr>
        <w:t>明细表</w:t>
      </w:r>
    </w:p>
    <w:tbl>
      <w:tblPr>
        <w:tblStyle w:val="2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212"/>
        <w:gridCol w:w="1386"/>
        <w:gridCol w:w="1386"/>
        <w:gridCol w:w="736"/>
        <w:gridCol w:w="1386"/>
        <w:gridCol w:w="1386"/>
        <w:gridCol w:w="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832" w:type="dxa"/>
            <w:vMerge w:val="restart"/>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168" w:firstLineChars="10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序号</w:t>
            </w:r>
          </w:p>
        </w:tc>
        <w:tc>
          <w:tcPr>
            <w:tcW w:w="1212" w:type="dxa"/>
            <w:vMerge w:val="restart"/>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项目名称</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2024年度</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2025年度</w:t>
            </w:r>
          </w:p>
        </w:tc>
        <w:tc>
          <w:tcPr>
            <w:tcW w:w="736" w:type="dxa"/>
            <w:vMerge w:val="restart"/>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变动情况</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2024年度</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2025年度</w:t>
            </w:r>
          </w:p>
        </w:tc>
        <w:tc>
          <w:tcPr>
            <w:tcW w:w="736" w:type="dxa"/>
            <w:vMerge w:val="restart"/>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变动情况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832" w:type="dxa"/>
            <w:vMerge w:val="continue"/>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w w:val="80"/>
                <w:highlight w:val="none"/>
              </w:rPr>
            </w:pPr>
          </w:p>
        </w:tc>
        <w:tc>
          <w:tcPr>
            <w:tcW w:w="1212" w:type="dxa"/>
            <w:vMerge w:val="continue"/>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w w:val="80"/>
                <w:highlight w:val="none"/>
              </w:rPr>
            </w:pP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财政拨款年初预算数</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财政拨款年初预算数</w:t>
            </w:r>
          </w:p>
        </w:tc>
        <w:tc>
          <w:tcPr>
            <w:tcW w:w="736" w:type="dxa"/>
            <w:vMerge w:val="continue"/>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w w:val="80"/>
                <w:highlight w:val="none"/>
              </w:rPr>
            </w:pP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财政拨款预算执财政</w:t>
            </w:r>
          </w:p>
        </w:tc>
        <w:tc>
          <w:tcPr>
            <w:tcW w:w="1386" w:type="dxa"/>
            <w:tcBorders>
              <w:top w:val="single" w:color="auto" w:sz="4" w:space="0"/>
              <w:left w:val="single" w:color="auto" w:sz="4" w:space="0"/>
              <w:bottom w:val="single" w:color="auto" w:sz="4" w:space="0"/>
              <w:right w:val="single" w:color="auto" w:sz="4" w:space="0"/>
            </w:tcBorders>
            <w:vAlign w:val="center"/>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财政拨款预算执行数</w:t>
            </w:r>
          </w:p>
        </w:tc>
        <w:tc>
          <w:tcPr>
            <w:tcW w:w="736" w:type="dxa"/>
            <w:vMerge w:val="continue"/>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textAlignment w:val="auto"/>
              <w:rPr>
                <w:color w:val="auto"/>
                <w:w w:val="8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trPr>
        <w:tc>
          <w:tcPr>
            <w:tcW w:w="83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1</w:t>
            </w:r>
          </w:p>
        </w:tc>
        <w:tc>
          <w:tcPr>
            <w:tcW w:w="121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t>“三公”经费</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default"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3.67</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2.4</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减少</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default"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3.3</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2.4</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83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2</w:t>
            </w:r>
          </w:p>
        </w:tc>
        <w:tc>
          <w:tcPr>
            <w:tcW w:w="121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t>会议经费</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83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3</w:t>
            </w:r>
          </w:p>
        </w:tc>
        <w:tc>
          <w:tcPr>
            <w:tcW w:w="121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t>培训经费</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0.2</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default"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83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4</w:t>
            </w:r>
          </w:p>
        </w:tc>
        <w:tc>
          <w:tcPr>
            <w:tcW w:w="121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t>差旅经费</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12.35</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12.25</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减少</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default"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19.44</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default"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11.45</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7" w:hRule="atLeast"/>
        </w:trPr>
        <w:tc>
          <w:tcPr>
            <w:tcW w:w="83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both"/>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5</w:t>
            </w:r>
          </w:p>
        </w:tc>
        <w:tc>
          <w:tcPr>
            <w:tcW w:w="1212"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both"/>
              <w:textAlignment w:val="auto"/>
              <w:rPr>
                <w:rFonts w:hint="eastAsia" w:ascii="方正仿宋_GBK" w:eastAsia="方正仿宋_GBK" w:cs="方正仿宋_GBK"/>
                <w:b/>
                <w:bCs/>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b/>
                <w:bCs/>
                <w:color w:val="auto"/>
                <w:w w:val="80"/>
                <w:kern w:val="2"/>
                <w:sz w:val="18"/>
                <w:szCs w:val="18"/>
                <w:highlight w:val="none"/>
                <w:shd w:val="clear" w:color="auto" w:fill="FFFFFF"/>
                <w:vertAlign w:val="baseline"/>
                <w:lang w:val="en-US" w:eastAsia="zh-CN" w:bidi="ar-SA"/>
              </w:rPr>
              <w:t>办公设备购置经费</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firstLine="336" w:firstLineChars="200"/>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138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c>
          <w:tcPr>
            <w:tcW w:w="1386"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Times New Roman"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138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0.00</w:t>
            </w:r>
          </w:p>
        </w:tc>
        <w:tc>
          <w:tcPr>
            <w:tcW w:w="73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kinsoku/>
              <w:wordWrap/>
              <w:overflowPunct/>
              <w:topLinePunct w:val="0"/>
              <w:autoSpaceDE/>
              <w:autoSpaceDN/>
              <w:bidi w:val="0"/>
              <w:adjustRightInd/>
              <w:snapToGrid/>
              <w:spacing w:before="0" w:beforeLines="0" w:line="240" w:lineRule="auto"/>
              <w:ind w:left="0" w:leftChars="0" w:firstLine="0" w:firstLineChars="0"/>
              <w:jc w:val="center"/>
              <w:textAlignment w:val="auto"/>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pPr>
            <w:r>
              <w:rPr>
                <w:rFonts w:hint="eastAsia" w:ascii="方正仿宋_GBK" w:eastAsia="方正仿宋_GBK" w:cs="方正仿宋_GBK"/>
                <w:color w:val="auto"/>
                <w:w w:val="80"/>
                <w:kern w:val="2"/>
                <w:sz w:val="21"/>
                <w:szCs w:val="21"/>
                <w:highlight w:val="none"/>
                <w:shd w:val="clear" w:color="auto" w:fill="FFFFFF"/>
                <w:vertAlign w:val="baseline"/>
                <w:lang w:val="en-US" w:eastAsia="zh-CN" w:bidi="ar-SA"/>
              </w:rPr>
              <w:t>持平</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shd w:val="clear" w:color="auto" w:fill="FFFFFF"/>
          <w:lang w:val="zh-CN"/>
        </w:rPr>
        <w:t>财务管理。</w:t>
      </w:r>
      <w:r>
        <w:rPr>
          <w:rFonts w:hint="eastAsia" w:ascii="仿宋_GB2312" w:hAnsi="仿宋_GB2312" w:eastAsia="仿宋_GB2312" w:cs="仿宋_GB2312"/>
          <w:color w:val="auto"/>
          <w:kern w:val="0"/>
          <w:sz w:val="32"/>
          <w:szCs w:val="32"/>
          <w:highlight w:val="none"/>
          <w:shd w:val="clear" w:color="auto" w:fill="FFFFFF"/>
          <w:lang w:val="zh-CN"/>
        </w:rPr>
        <w:t>围绕财务管理制度、财务岗位设置、资金使用规范进行绩效分析。</w:t>
      </w:r>
    </w:p>
    <w:p>
      <w:pPr>
        <w:keepNext w:val="0"/>
        <w:keepLines w:val="0"/>
        <w:pageBreakBefore w:val="0"/>
        <w:widowControl w:val="0"/>
        <w:numPr>
          <w:ilvl w:val="0"/>
          <w:numId w:val="4"/>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财务管理制度。</w:t>
      </w:r>
      <w:r>
        <w:rPr>
          <w:rFonts w:hint="eastAsia" w:ascii="仿宋_GB2312" w:hAnsi="仿宋_GB2312" w:eastAsia="仿宋_GB2312" w:cs="仿宋_GB2312"/>
          <w:color w:val="auto"/>
          <w:kern w:val="0"/>
          <w:sz w:val="32"/>
          <w:szCs w:val="32"/>
          <w:highlight w:val="none"/>
          <w:shd w:val="clear" w:color="auto" w:fill="FFFFFF"/>
          <w:lang w:val="zh-CN"/>
        </w:rPr>
        <w:t>严密制定和有效执行财务内控制度，规范了财务流程，提高财务工作的效率和准确性，保障本部门财务的稳健运行。综上，根据评分标准，该项指标扣0分，得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4"/>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财务岗位设置。</w:t>
      </w:r>
      <w:r>
        <w:rPr>
          <w:rFonts w:hint="eastAsia" w:ascii="仿宋_GB2312" w:hAnsi="仿宋_GB2312" w:eastAsia="仿宋_GB2312" w:cs="仿宋_GB2312"/>
          <w:color w:val="auto"/>
          <w:kern w:val="0"/>
          <w:sz w:val="32"/>
          <w:szCs w:val="32"/>
          <w:highlight w:val="none"/>
          <w:shd w:val="clear" w:color="auto" w:fill="FFFFFF"/>
          <w:lang w:val="zh-CN"/>
        </w:rPr>
        <w:t>部门合理设置财务工作岗位，会计和出纳各</w:t>
      </w:r>
      <w:r>
        <w:rPr>
          <w:rFonts w:hint="eastAsia" w:ascii="仿宋_GB2312" w:hAnsi="仿宋_GB2312" w:eastAsia="仿宋_GB2312" w:cs="仿宋_GB2312"/>
          <w:color w:val="auto"/>
          <w:kern w:val="0"/>
          <w:sz w:val="32"/>
          <w:szCs w:val="32"/>
          <w:highlight w:val="none"/>
          <w:shd w:val="clear" w:color="auto" w:fill="FFFFFF"/>
          <w:lang w:val="en-US" w:eastAsia="zh-CN"/>
        </w:rPr>
        <w:t>1人，</w:t>
      </w:r>
      <w:r>
        <w:rPr>
          <w:rFonts w:hint="eastAsia" w:ascii="仿宋_GB2312" w:hAnsi="仿宋_GB2312" w:eastAsia="仿宋_GB2312" w:cs="仿宋_GB2312"/>
          <w:color w:val="auto"/>
          <w:kern w:val="0"/>
          <w:sz w:val="32"/>
          <w:szCs w:val="32"/>
          <w:highlight w:val="none"/>
          <w:shd w:val="clear" w:color="auto" w:fill="FFFFFF"/>
          <w:lang w:val="zh-CN"/>
        </w:rPr>
        <w:t>明确职责权限，并严格实行不相容岗位分离相关要求。综上，根据评分标准，该项指标扣0分，得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4"/>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bCs/>
          <w:color w:val="auto"/>
          <w:kern w:val="0"/>
          <w:sz w:val="32"/>
          <w:szCs w:val="32"/>
          <w:highlight w:val="none"/>
          <w:shd w:val="clear" w:color="auto" w:fill="FFFFFF"/>
          <w:lang w:val="zh-CN"/>
        </w:rPr>
        <w:t>资金使用规范。</w:t>
      </w:r>
      <w:r>
        <w:rPr>
          <w:rFonts w:hint="eastAsia" w:ascii="仿宋_GB2312" w:hAnsi="仿宋_GB2312" w:eastAsia="仿宋_GB2312" w:cs="仿宋_GB2312"/>
          <w:color w:val="auto"/>
          <w:kern w:val="0"/>
          <w:sz w:val="32"/>
          <w:szCs w:val="32"/>
          <w:highlight w:val="none"/>
          <w:shd w:val="clear" w:color="auto" w:fill="FFFFFF"/>
          <w:lang w:val="zh-CN"/>
        </w:rPr>
        <w:t>部门资金使用</w:t>
      </w:r>
      <w:r>
        <w:rPr>
          <w:rFonts w:hint="eastAsia" w:ascii="仿宋_GB2312" w:hAnsi="仿宋_GB2312" w:eastAsia="仿宋_GB2312" w:cs="仿宋_GB2312"/>
          <w:color w:val="auto"/>
          <w:kern w:val="0"/>
          <w:sz w:val="32"/>
          <w:szCs w:val="32"/>
          <w:highlight w:val="none"/>
          <w:shd w:val="clear" w:color="auto" w:fill="FFFFFF"/>
          <w:lang w:val="en-US" w:eastAsia="zh-CN"/>
        </w:rPr>
        <w:t>严格执行财务制度和相关规定，</w:t>
      </w:r>
      <w:r>
        <w:rPr>
          <w:rFonts w:hint="eastAsia" w:ascii="仿宋_GB2312" w:hAnsi="仿宋_GB2312" w:eastAsia="仿宋_GB2312" w:cs="仿宋_GB2312"/>
          <w:color w:val="auto"/>
          <w:kern w:val="0"/>
          <w:sz w:val="32"/>
          <w:szCs w:val="32"/>
          <w:highlight w:val="none"/>
          <w:shd w:val="clear" w:color="auto" w:fill="FFFFFF"/>
          <w:lang w:val="zh-CN"/>
        </w:rPr>
        <w:t>符合财务管理制度规定。综上，根据评分标准，该项指标扣0分，得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en-US" w:eastAsia="zh-CN"/>
        </w:rPr>
        <w:t>4.</w:t>
      </w:r>
      <w:r>
        <w:rPr>
          <w:rFonts w:hint="eastAsia" w:ascii="仿宋_GB2312" w:hAnsi="仿宋_GB2312" w:eastAsia="仿宋_GB2312" w:cs="仿宋_GB2312"/>
          <w:b/>
          <w:bCs/>
          <w:color w:val="auto"/>
          <w:kern w:val="0"/>
          <w:sz w:val="32"/>
          <w:szCs w:val="32"/>
          <w:highlight w:val="none"/>
          <w:shd w:val="clear" w:color="auto" w:fill="FFFFFF"/>
          <w:lang w:val="zh-CN"/>
        </w:rPr>
        <w:t>资产管理。</w:t>
      </w:r>
      <w:r>
        <w:rPr>
          <w:rFonts w:hint="eastAsia" w:ascii="仿宋_GB2312" w:hAnsi="仿宋_GB2312" w:eastAsia="仿宋_GB2312" w:cs="仿宋_GB2312"/>
          <w:color w:val="auto"/>
          <w:kern w:val="0"/>
          <w:sz w:val="32"/>
          <w:szCs w:val="32"/>
          <w:highlight w:val="none"/>
          <w:shd w:val="clear" w:color="auto" w:fill="FFFFFF"/>
          <w:lang w:val="zh-CN"/>
        </w:rPr>
        <w:t>围绕人均资产变化率、资产利用率、资产盘活率进行绩效分析。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fill="FFFFFF"/>
          <w:lang w:val="zh-CN" w:eastAsia="zh-CN" w:bidi="ar-SA"/>
        </w:rPr>
        <w:t>（1）</w:t>
      </w:r>
      <w:r>
        <w:rPr>
          <w:rFonts w:hint="eastAsia" w:ascii="仿宋_GB2312" w:hAnsi="仿宋_GB2312" w:eastAsia="仿宋_GB2312" w:cs="仿宋_GB2312"/>
          <w:b/>
          <w:bCs/>
          <w:color w:val="auto"/>
          <w:kern w:val="0"/>
          <w:sz w:val="32"/>
          <w:szCs w:val="32"/>
          <w:highlight w:val="none"/>
          <w:shd w:val="clear" w:color="auto" w:fill="FFFFFF"/>
          <w:lang w:val="zh-CN"/>
        </w:rPr>
        <w:t>人均资产变化率。</w:t>
      </w:r>
      <w:r>
        <w:rPr>
          <w:rFonts w:hint="eastAsia" w:ascii="仿宋_GB2312" w:hAnsi="仿宋_GB2312" w:eastAsia="仿宋_GB2312" w:cs="仿宋_GB2312"/>
          <w:color w:val="auto"/>
          <w:kern w:val="0"/>
          <w:sz w:val="32"/>
          <w:szCs w:val="32"/>
          <w:highlight w:val="none"/>
          <w:shd w:val="clear" w:color="auto" w:fill="FFFFFF"/>
          <w:lang w:val="zh-CN"/>
        </w:rPr>
        <w:t>小于</w:t>
      </w:r>
      <w:r>
        <w:rPr>
          <w:rFonts w:hint="eastAsia" w:ascii="仿宋_GB2312" w:hAnsi="仿宋_GB2312" w:cs="仿宋_GB2312"/>
          <w:color w:val="auto"/>
          <w:kern w:val="0"/>
          <w:sz w:val="32"/>
          <w:szCs w:val="32"/>
          <w:highlight w:val="none"/>
          <w:shd w:val="clear" w:color="auto" w:fill="FFFFFF"/>
          <w:lang w:val="zh-CN"/>
        </w:rPr>
        <w:t>2025年</w:t>
      </w:r>
      <w:r>
        <w:rPr>
          <w:rFonts w:hint="eastAsia" w:ascii="仿宋_GB2312" w:hAnsi="仿宋_GB2312" w:eastAsia="仿宋_GB2312" w:cs="仿宋_GB2312"/>
          <w:color w:val="auto"/>
          <w:kern w:val="0"/>
          <w:sz w:val="32"/>
          <w:szCs w:val="32"/>
          <w:highlight w:val="none"/>
          <w:shd w:val="clear" w:color="auto" w:fill="FFFFFF"/>
          <w:lang w:val="zh-CN"/>
        </w:rPr>
        <w:t>县行政事业单位人均资产变化率，小于</w:t>
      </w:r>
      <w:r>
        <w:rPr>
          <w:rFonts w:hint="eastAsia" w:ascii="仿宋_GB2312" w:hAnsi="仿宋_GB2312" w:cs="仿宋_GB2312"/>
          <w:color w:val="auto"/>
          <w:kern w:val="0"/>
          <w:sz w:val="32"/>
          <w:szCs w:val="32"/>
          <w:highlight w:val="none"/>
          <w:shd w:val="clear" w:color="auto" w:fill="FFFFFF"/>
          <w:lang w:val="zh-CN"/>
        </w:rPr>
        <w:t>2025年</w:t>
      </w:r>
      <w:r>
        <w:rPr>
          <w:rFonts w:hint="eastAsia" w:ascii="仿宋_GB2312" w:hAnsi="仿宋_GB2312" w:eastAsia="仿宋_GB2312" w:cs="仿宋_GB2312"/>
          <w:color w:val="auto"/>
          <w:kern w:val="0"/>
          <w:sz w:val="32"/>
          <w:szCs w:val="32"/>
          <w:highlight w:val="none"/>
          <w:shd w:val="clear" w:color="auto" w:fill="FFFFFF"/>
          <w:lang w:val="zh-CN"/>
        </w:rPr>
        <w:t>县级财政收入增长率。综上，根据评分标准，该项指标扣0分，得3分。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shd w:val="clear" w:color="auto" w:fill="FFFFFF"/>
          <w:lang w:val="zh-CN"/>
        </w:rPr>
        <w:t>）资产利用率。</w:t>
      </w:r>
      <w:r>
        <w:rPr>
          <w:rFonts w:hint="eastAsia" w:ascii="仿宋_GB2312" w:hAnsi="仿宋_GB2312" w:eastAsia="仿宋_GB2312" w:cs="仿宋_GB2312"/>
          <w:color w:val="auto"/>
          <w:kern w:val="0"/>
          <w:sz w:val="32"/>
          <w:szCs w:val="32"/>
          <w:highlight w:val="none"/>
          <w:shd w:val="clear" w:color="auto" w:fill="FFFFFF"/>
          <w:lang w:val="zh-CN"/>
        </w:rPr>
        <w:t>办公家具和办公设备超最低使用年限资产利用率均</w:t>
      </w:r>
      <w:r>
        <w:rPr>
          <w:rFonts w:hint="eastAsia" w:ascii="仿宋_GB2312" w:hAnsi="仿宋_GB2312" w:eastAsia="仿宋_GB2312" w:cs="仿宋_GB2312"/>
          <w:color w:val="auto"/>
          <w:kern w:val="0"/>
          <w:sz w:val="32"/>
          <w:szCs w:val="32"/>
          <w:highlight w:val="none"/>
          <w:shd w:val="clear" w:color="auto" w:fill="FFFFFF"/>
          <w:lang w:val="en-US" w:eastAsia="zh-CN"/>
        </w:rPr>
        <w:t>小于</w:t>
      </w:r>
      <w:r>
        <w:rPr>
          <w:rFonts w:hint="eastAsia" w:ascii="仿宋_GB2312" w:hAnsi="仿宋_GB2312" w:cs="仿宋_GB2312"/>
          <w:color w:val="auto"/>
          <w:kern w:val="0"/>
          <w:sz w:val="32"/>
          <w:szCs w:val="32"/>
          <w:highlight w:val="none"/>
          <w:shd w:val="clear" w:color="auto" w:fill="FFFFFF"/>
          <w:lang w:val="zh-CN"/>
        </w:rPr>
        <w:t>2025年</w:t>
      </w:r>
      <w:r>
        <w:rPr>
          <w:rFonts w:hint="eastAsia" w:ascii="仿宋_GB2312" w:hAnsi="仿宋_GB2312" w:eastAsia="仿宋_GB2312" w:cs="仿宋_GB2312"/>
          <w:color w:val="auto"/>
          <w:kern w:val="0"/>
          <w:sz w:val="32"/>
          <w:szCs w:val="32"/>
          <w:highlight w:val="none"/>
          <w:shd w:val="clear" w:color="auto" w:fill="FFFFFF"/>
          <w:lang w:val="zh-CN"/>
        </w:rPr>
        <w:t>县行政事业单位办公家具和办公设备超最低使用年限资产利用率，根据评分标准，该项指标扣0分，得3分。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shd w:val="clear" w:color="auto" w:fill="FFFFFF"/>
          <w:lang w:val="zh-CN"/>
        </w:rPr>
        <w:t>）资产盘活率。</w:t>
      </w:r>
      <w:r>
        <w:rPr>
          <w:rFonts w:hint="eastAsia" w:ascii="仿宋_GB2312" w:hAnsi="仿宋_GB2312" w:eastAsia="仿宋_GB2312" w:cs="仿宋_GB2312"/>
          <w:color w:val="auto"/>
          <w:kern w:val="0"/>
          <w:sz w:val="32"/>
          <w:szCs w:val="32"/>
          <w:highlight w:val="none"/>
          <w:shd w:val="clear" w:color="auto" w:fill="FFFFFF"/>
          <w:lang w:val="zh-CN"/>
        </w:rPr>
        <w:t>根据资产存量明细查询表和国有资产报表，我部门202</w:t>
      </w: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rPr>
        <w:t>年及</w:t>
      </w:r>
      <w:r>
        <w:rPr>
          <w:rFonts w:hint="eastAsia" w:ascii="仿宋_GB2312" w:hAnsi="仿宋_GB2312" w:cs="仿宋_GB2312"/>
          <w:color w:val="auto"/>
          <w:kern w:val="0"/>
          <w:sz w:val="32"/>
          <w:szCs w:val="32"/>
          <w:highlight w:val="none"/>
          <w:shd w:val="clear" w:color="auto" w:fill="FFFFFF"/>
          <w:lang w:val="zh-CN"/>
        </w:rPr>
        <w:t>2025年</w:t>
      </w:r>
      <w:r>
        <w:rPr>
          <w:rFonts w:hint="eastAsia" w:ascii="仿宋_GB2312" w:hAnsi="仿宋_GB2312" w:eastAsia="仿宋_GB2312" w:cs="仿宋_GB2312"/>
          <w:color w:val="auto"/>
          <w:kern w:val="0"/>
          <w:sz w:val="32"/>
          <w:szCs w:val="32"/>
          <w:highlight w:val="none"/>
          <w:shd w:val="clear" w:color="auto" w:fill="FFFFFF"/>
          <w:lang w:val="zh-CN"/>
        </w:rPr>
        <w:t>均无闲置资产。综上，根据评分标准，该项指标扣0分，得3分。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5.</w:t>
      </w:r>
      <w:r>
        <w:rPr>
          <w:rFonts w:hint="eastAsia" w:ascii="仿宋_GB2312" w:hAnsi="仿宋_GB2312" w:eastAsia="仿宋_GB2312" w:cs="仿宋_GB2312"/>
          <w:b/>
          <w:bCs/>
          <w:color w:val="auto"/>
          <w:kern w:val="0"/>
          <w:sz w:val="32"/>
          <w:szCs w:val="32"/>
          <w:highlight w:val="none"/>
          <w:shd w:val="clear" w:color="auto" w:fill="FFFFFF"/>
          <w:lang w:val="zh-CN"/>
        </w:rPr>
        <w:t>采购管理。</w:t>
      </w:r>
      <w:r>
        <w:rPr>
          <w:rFonts w:hint="eastAsia" w:ascii="仿宋_GB2312" w:hAnsi="仿宋_GB2312" w:eastAsia="仿宋_GB2312" w:cs="仿宋_GB2312"/>
          <w:color w:val="auto"/>
          <w:kern w:val="0"/>
          <w:sz w:val="32"/>
          <w:szCs w:val="32"/>
          <w:highlight w:val="none"/>
          <w:shd w:val="clear" w:color="auto" w:fill="FFFFFF"/>
          <w:lang w:val="zh-CN"/>
        </w:rPr>
        <w:t>围绕支持中小企业发展、采购执行率进行绩效分析。</w:t>
      </w:r>
      <w:r>
        <w:rPr>
          <w:rFonts w:hint="eastAsia" w:ascii="仿宋_GB2312" w:hAnsi="仿宋_GB2312" w:cs="仿宋_GB2312"/>
          <w:color w:val="auto"/>
          <w:kern w:val="0"/>
          <w:sz w:val="32"/>
          <w:szCs w:val="32"/>
          <w:highlight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shd w:val="clear" w:color="auto" w:fill="FFFFFF"/>
          <w:lang w:val="en-US" w:eastAsia="zh-CN"/>
        </w:rPr>
        <w:t>我单位没有该方面的采购项目。</w:t>
      </w:r>
      <w:r>
        <w:rPr>
          <w:rFonts w:hint="eastAsia" w:ascii="仿宋_GB2312" w:hAnsi="仿宋_GB2312" w:eastAsia="仿宋_GB2312" w:cs="仿宋_GB2312"/>
          <w:color w:val="auto"/>
          <w:kern w:val="0"/>
          <w:sz w:val="32"/>
          <w:szCs w:val="32"/>
          <w:highlight w:val="none"/>
          <w:shd w:val="clear" w:color="auto" w:fill="FFFFFF"/>
          <w:lang w:val="zh-CN"/>
        </w:rPr>
        <w:t>故根据评分标准，该项指标扣0分，得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6</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zh-CN"/>
        </w:rPr>
        <w:t>（二）部门预算项目绩效分析。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填报以下数据，</w:t>
      </w:r>
      <w:r>
        <w:rPr>
          <w:rFonts w:hint="eastAsia" w:ascii="仿宋_GB2312" w:hAnsi="仿宋_GB2312" w:eastAsia="仿宋_GB2312" w:cs="仿宋_GB2312"/>
          <w:color w:val="auto"/>
          <w:kern w:val="0"/>
          <w:sz w:val="32"/>
          <w:szCs w:val="32"/>
          <w:highlight w:val="none"/>
          <w:shd w:val="clear" w:color="auto" w:fill="FFFFFF"/>
          <w:lang w:val="zh-CN"/>
        </w:rPr>
        <w:t>并根据部门预算绩效评价指标体系“项目绩效”涉及二、三级指标进行逐项绩效分析并评分，依次包括项目</w:t>
      </w:r>
      <w:r>
        <w:rPr>
          <w:rFonts w:hint="eastAsia" w:ascii="仿宋_GB2312" w:hAnsi="仿宋_GB2312" w:eastAsia="仿宋_GB2312" w:cs="仿宋_GB2312"/>
          <w:color w:val="auto"/>
          <w:kern w:val="0"/>
          <w:sz w:val="32"/>
          <w:szCs w:val="32"/>
          <w:highlight w:val="none"/>
          <w:shd w:val="clear" w:color="auto" w:fill="FFFFFF"/>
          <w:lang w:val="en-US" w:eastAsia="zh-CN"/>
        </w:rPr>
        <w:t>决策、项目执行、目标实现等情况。</w:t>
      </w:r>
    </w:p>
    <w:p>
      <w:pPr>
        <w:keepNext w:val="0"/>
        <w:keepLines w:val="0"/>
        <w:pageBreakBefore w:val="0"/>
        <w:widowControl/>
        <w:kinsoku/>
        <w:wordWrap/>
        <w:overflowPunct/>
        <w:topLinePunct w:val="0"/>
        <w:autoSpaceDE/>
        <w:autoSpaceDN/>
        <w:bidi w:val="0"/>
        <w:adjustRightInd w:val="0"/>
        <w:snapToGrid w:val="0"/>
        <w:spacing w:line="556"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常年项目绩效分析。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该类项目总数</w:t>
      </w: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eastAsia="zh-CN"/>
        </w:rPr>
        <w:t>个，涉及预算总金额</w:t>
      </w:r>
      <w:r>
        <w:rPr>
          <w:rFonts w:hint="eastAsia" w:ascii="仿宋_GB2312" w:hAnsi="仿宋_GB2312" w:eastAsia="仿宋_GB2312" w:cs="仿宋_GB2312"/>
          <w:color w:val="auto"/>
          <w:kern w:val="0"/>
          <w:sz w:val="32"/>
          <w:szCs w:val="32"/>
          <w:highlight w:val="none"/>
          <w:shd w:val="clear" w:color="auto" w:fill="FFFFFF"/>
          <w:lang w:val="en-US" w:eastAsia="zh-CN"/>
        </w:rPr>
        <w:t>682.93</w:t>
      </w:r>
      <w:r>
        <w:rPr>
          <w:rFonts w:hint="eastAsia" w:ascii="仿宋_GB2312" w:hAnsi="仿宋_GB2312" w:eastAsia="仿宋_GB2312" w:cs="仿宋_GB2312"/>
          <w:color w:val="auto"/>
          <w:kern w:val="0"/>
          <w:sz w:val="32"/>
          <w:szCs w:val="32"/>
          <w:highlight w:val="none"/>
          <w:shd w:val="clear" w:color="auto" w:fill="FFFFFF"/>
          <w:lang w:val="zh-CN" w:eastAsia="zh-CN"/>
        </w:rPr>
        <w:t>万元，包括基本人员经费保险、日常公用经费及</w:t>
      </w:r>
      <w:r>
        <w:rPr>
          <w:rFonts w:hint="eastAsia" w:ascii="仿宋_GB2312" w:hAnsi="仿宋_GB2312" w:eastAsia="仿宋_GB2312" w:cs="仿宋_GB2312"/>
          <w:color w:val="auto"/>
          <w:kern w:val="0"/>
          <w:sz w:val="32"/>
          <w:szCs w:val="32"/>
          <w:highlight w:val="none"/>
          <w:shd w:val="clear" w:color="auto" w:fill="FFFFFF"/>
          <w:lang w:val="en-US" w:eastAsia="zh-CN"/>
        </w:rPr>
        <w:t>文物看管人员基本项目工作经费，</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p>
    <w:p>
      <w:pPr>
        <w:keepNext w:val="0"/>
        <w:keepLines w:val="0"/>
        <w:pageBreakBefore w:val="0"/>
        <w:widowControl/>
        <w:kinsoku/>
        <w:wordWrap/>
        <w:overflowPunct/>
        <w:topLinePunct w:val="0"/>
        <w:autoSpaceDE/>
        <w:autoSpaceDN/>
        <w:bidi w:val="0"/>
        <w:adjustRightInd w:val="0"/>
        <w:snapToGrid w:val="0"/>
        <w:spacing w:line="556"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2025年民生项目总数共5个，</w:t>
      </w:r>
      <w:r>
        <w:rPr>
          <w:rFonts w:hint="eastAsia" w:ascii="仿宋_GB2312" w:hAnsi="仿宋_GB2312" w:eastAsia="仿宋_GB2312" w:cs="仿宋_GB2312"/>
          <w:color w:val="auto"/>
          <w:kern w:val="0"/>
          <w:sz w:val="32"/>
          <w:szCs w:val="32"/>
          <w:highlight w:val="none"/>
          <w:shd w:val="clear" w:color="auto" w:fill="FFFFFF"/>
          <w:lang w:val="zh-CN" w:eastAsia="zh-CN"/>
        </w:rPr>
        <w:t>该类项目涉及预算总金额</w:t>
      </w:r>
      <w:r>
        <w:rPr>
          <w:rFonts w:hint="eastAsia" w:ascii="仿宋_GB2312" w:hAnsi="仿宋_GB2312" w:eastAsia="仿宋_GB2312" w:cs="仿宋_GB2312"/>
          <w:color w:val="auto"/>
          <w:kern w:val="0"/>
          <w:sz w:val="32"/>
          <w:szCs w:val="32"/>
          <w:highlight w:val="none"/>
          <w:shd w:val="clear" w:color="auto" w:fill="FFFFFF"/>
          <w:lang w:val="en-US" w:eastAsia="zh-CN"/>
        </w:rPr>
        <w:t>352.78</w:t>
      </w:r>
      <w:r>
        <w:rPr>
          <w:rFonts w:hint="eastAsia" w:ascii="仿宋_GB2312" w:hAnsi="仿宋_GB2312" w:eastAsia="仿宋_GB2312" w:cs="仿宋_GB2312"/>
          <w:color w:val="auto"/>
          <w:kern w:val="0"/>
          <w:sz w:val="32"/>
          <w:szCs w:val="32"/>
          <w:highlight w:val="none"/>
          <w:shd w:val="clear" w:color="auto" w:fill="FFFFFF"/>
          <w:lang w:val="zh-CN" w:eastAsia="zh-CN"/>
        </w:rPr>
        <w:t>万元，1—1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eastAsia="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eastAsia="zh-CN"/>
        </w:rPr>
        <w:t>%，其中：预算结余率大于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个。具体情况见专项项目</w:t>
      </w:r>
      <w:r>
        <w:rPr>
          <w:rFonts w:hint="eastAsia" w:ascii="仿宋_GB2312" w:hAnsi="仿宋_GB2312" w:eastAsia="仿宋_GB2312" w:cs="仿宋_GB2312"/>
          <w:color w:val="auto"/>
          <w:kern w:val="0"/>
          <w:sz w:val="32"/>
          <w:szCs w:val="32"/>
          <w:highlight w:val="none"/>
          <w:shd w:val="clear" w:color="auto" w:fill="FFFFFF"/>
          <w:lang w:val="en-US" w:eastAsia="zh-CN"/>
        </w:rPr>
        <w:t>绩效自评报告。</w:t>
      </w:r>
    </w:p>
    <w:p>
      <w:pPr>
        <w:keepNext w:val="0"/>
        <w:keepLines w:val="0"/>
        <w:pageBreakBefore w:val="0"/>
        <w:widowControl/>
        <w:kinsoku/>
        <w:wordWrap/>
        <w:overflowPunct/>
        <w:topLinePunct w:val="0"/>
        <w:autoSpaceDE/>
        <w:autoSpaceDN/>
        <w:bidi w:val="0"/>
        <w:adjustRightInd w:val="0"/>
        <w:snapToGrid w:val="0"/>
        <w:spacing w:line="556" w:lineRule="exact"/>
        <w:ind w:firstLine="640" w:firstLineChars="200"/>
        <w:contextualSpacing/>
        <w:jc w:val="left"/>
        <w:textAlignment w:val="auto"/>
        <w:outlineLvl w:val="9"/>
        <w:rPr>
          <w:rFonts w:hint="default" w:ascii="仿宋_GB2312" w:hAnsi="仿宋_GB2312" w:eastAsia="仿宋_GB2312" w:cs="仿宋_GB2312"/>
          <w:b/>
          <w:bCs/>
          <w:color w:val="auto"/>
          <w:kern w:val="0"/>
          <w:sz w:val="32"/>
          <w:szCs w:val="32"/>
          <w:highlight w:val="none"/>
          <w:shd w:val="clear" w:color="auto" w:fill="FFFFFF"/>
          <w:lang w:val="en-US"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阶段（一次性）项目及跨年度项目绩效分析。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该类项目涉及预算总金额</w:t>
      </w:r>
      <w:r>
        <w:rPr>
          <w:rFonts w:hint="eastAsia" w:ascii="仿宋_GB2312" w:hAnsi="仿宋_GB2312" w:eastAsia="仿宋_GB2312" w:cs="仿宋_GB2312"/>
          <w:color w:val="auto"/>
          <w:kern w:val="0"/>
          <w:sz w:val="32"/>
          <w:szCs w:val="32"/>
          <w:highlight w:val="none"/>
          <w:shd w:val="clear" w:color="auto" w:fill="FFFFFF"/>
          <w:lang w:val="en-US" w:eastAsia="zh-CN"/>
        </w:rPr>
        <w:t>2164.12</w:t>
      </w:r>
      <w:r>
        <w:rPr>
          <w:rFonts w:hint="eastAsia" w:ascii="仿宋_GB2312" w:hAnsi="仿宋_GB2312" w:eastAsia="仿宋_GB2312" w:cs="仿宋_GB2312"/>
          <w:color w:val="auto"/>
          <w:kern w:val="0"/>
          <w:sz w:val="32"/>
          <w:szCs w:val="32"/>
          <w:highlight w:val="none"/>
          <w:shd w:val="clear" w:color="auto" w:fill="FFFFFF"/>
          <w:lang w:val="zh-CN" w:eastAsia="zh-CN"/>
        </w:rPr>
        <w:t>万元，1—1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eastAsia="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100</w:t>
      </w:r>
      <w:r>
        <w:rPr>
          <w:rFonts w:hint="eastAsia" w:ascii="仿宋_GB2312" w:hAnsi="仿宋_GB2312" w:eastAsia="仿宋_GB2312" w:cs="仿宋_GB2312"/>
          <w:color w:val="auto"/>
          <w:kern w:val="0"/>
          <w:sz w:val="32"/>
          <w:szCs w:val="32"/>
          <w:highlight w:val="none"/>
          <w:shd w:val="clear" w:color="auto" w:fill="FFFFFF"/>
          <w:lang w:val="zh-CN" w:eastAsia="zh-CN"/>
        </w:rPr>
        <w:t>%，其中：预算结余率大于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eastAsia="zh-CN"/>
        </w:rPr>
        <w:t>个。</w:t>
      </w:r>
      <w:r>
        <w:rPr>
          <w:rFonts w:hint="eastAsia" w:ascii="仿宋_GB2312" w:hAnsi="仿宋_GB2312" w:eastAsia="仿宋_GB2312" w:cs="仿宋_GB2312"/>
          <w:b/>
          <w:bCs/>
          <w:color w:val="auto"/>
          <w:kern w:val="0"/>
          <w:sz w:val="32"/>
          <w:szCs w:val="32"/>
          <w:highlight w:val="none"/>
          <w:shd w:val="clear" w:color="auto" w:fill="FFFFFF"/>
          <w:lang w:val="zh-CN" w:eastAsia="zh-CN"/>
        </w:rPr>
        <w:t>具体情况见</w:t>
      </w:r>
      <w:r>
        <w:rPr>
          <w:rFonts w:hint="eastAsia" w:ascii="仿宋_GB2312" w:hAnsi="仿宋_GB2312" w:eastAsia="仿宋_GB2312" w:cs="仿宋_GB2312"/>
          <w:b/>
          <w:bCs/>
          <w:color w:val="auto"/>
          <w:kern w:val="0"/>
          <w:sz w:val="32"/>
          <w:szCs w:val="32"/>
          <w:highlight w:val="none"/>
          <w:shd w:val="clear" w:color="auto" w:fill="FFFFFF"/>
          <w:lang w:val="en-US" w:eastAsia="zh-CN"/>
        </w:rPr>
        <w:t>附表</w:t>
      </w:r>
      <w:r>
        <w:rPr>
          <w:rFonts w:hint="eastAsia" w:ascii="仿宋_GB2312" w:hAnsi="仿宋_GB2312" w:cs="仿宋_GB2312"/>
          <w:b/>
          <w:bCs/>
          <w:color w:val="auto"/>
          <w:kern w:val="0"/>
          <w:sz w:val="32"/>
          <w:szCs w:val="32"/>
          <w:highlight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shd w:val="clear" w:color="auto" w:fill="FFFFFF"/>
          <w:lang w:val="en-US" w:eastAsia="zh-CN"/>
        </w:rPr>
        <w:t>：部门整体支出绩效目标完成情况自评表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shd w:val="clear" w:color="auto" w:fill="FFFFFF"/>
          <w:lang w:val="zh-CN" w:eastAsia="zh-CN"/>
        </w:rPr>
        <w:t>项目决策。</w:t>
      </w:r>
      <w:r>
        <w:rPr>
          <w:rFonts w:hint="eastAsia" w:ascii="仿宋_GB2312" w:hAnsi="仿宋_GB2312" w:eastAsia="仿宋_GB2312" w:cs="仿宋_GB2312"/>
          <w:color w:val="auto"/>
          <w:kern w:val="0"/>
          <w:sz w:val="32"/>
          <w:szCs w:val="32"/>
          <w:highlight w:val="none"/>
          <w:shd w:val="clear" w:color="auto" w:fill="FFFFFF"/>
          <w:lang w:val="zh-CN" w:eastAsia="zh-CN"/>
        </w:rPr>
        <w:t>我单位严格按照项目决策流程的几个阶段开展相关工作。‌事前经过必要的可行性研究、‌风险评估、‌绩效评估、‌集体决策等步骤，‌确保决策的科学合理。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shd w:val="clear" w:color="auto" w:fill="FFFFFF"/>
          <w:lang w:val="zh-CN"/>
        </w:rPr>
        <w:t>）决策程序。</w:t>
      </w:r>
      <w:r>
        <w:rPr>
          <w:rFonts w:hint="eastAsia" w:ascii="仿宋_GB2312" w:hAnsi="仿宋_GB2312" w:eastAsia="仿宋_GB2312" w:cs="仿宋_GB2312"/>
          <w:color w:val="auto"/>
          <w:kern w:val="0"/>
          <w:sz w:val="32"/>
          <w:szCs w:val="32"/>
          <w:highlight w:val="none"/>
          <w:shd w:val="clear" w:color="auto" w:fill="FFFFFF"/>
          <w:lang w:val="zh-CN"/>
        </w:rPr>
        <w:t>部门预算项目设立均按规定履行评估论证、申报程序。综上，根据评分标准，该项指标扣0分，得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shd w:val="clear" w:color="auto" w:fill="FFFFFF"/>
          <w:lang w:val="zh-CN"/>
        </w:rPr>
        <w:t>）目标设置</w:t>
      </w:r>
      <w:r>
        <w:rPr>
          <w:rFonts w:hint="eastAsia" w:ascii="仿宋_GB2312" w:hAnsi="仿宋_GB2312" w:eastAsia="仿宋_GB2312" w:cs="仿宋_GB2312"/>
          <w:b/>
          <w:bCs/>
          <w:color w:val="auto"/>
          <w:kern w:val="0"/>
          <w:sz w:val="32"/>
          <w:szCs w:val="32"/>
          <w:highlight w:val="none"/>
          <w:shd w:val="clear" w:color="auto" w:fill="FFFFFF"/>
          <w:lang w:val="en-US" w:eastAsia="zh-CN"/>
        </w:rPr>
        <w:t>。</w:t>
      </w:r>
      <w:r>
        <w:rPr>
          <w:rFonts w:hint="eastAsia" w:ascii="仿宋_GB2312" w:hAnsi="仿宋_GB2312" w:eastAsia="仿宋_GB2312" w:cs="仿宋_GB2312"/>
          <w:color w:val="auto"/>
          <w:kern w:val="0"/>
          <w:sz w:val="32"/>
          <w:szCs w:val="32"/>
          <w:highlight w:val="none"/>
          <w:shd w:val="clear" w:color="auto" w:fill="FFFFFF"/>
          <w:lang w:val="en-US" w:eastAsia="zh-CN"/>
        </w:rPr>
        <w:t>部门预算项目绩效目标与计划期内的任务量、预算安排的资金量均匹配，绩效目标设置科学合理、规范完整、量化细化、预算匹配。</w:t>
      </w:r>
      <w:r>
        <w:rPr>
          <w:rFonts w:hint="eastAsia" w:ascii="仿宋_GB2312" w:hAnsi="仿宋_GB2312" w:eastAsia="仿宋_GB2312" w:cs="仿宋_GB2312"/>
          <w:color w:val="auto"/>
          <w:kern w:val="0"/>
          <w:sz w:val="32"/>
          <w:szCs w:val="32"/>
          <w:highlight w:val="none"/>
          <w:shd w:val="clear" w:color="auto" w:fill="FFFFFF"/>
          <w:lang w:val="zh-CN"/>
        </w:rPr>
        <w:t>综上，根据评分标准，该项指标扣0分，得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shd w:val="clear" w:color="auto" w:fill="FFFFFF"/>
          <w:lang w:val="zh-CN"/>
        </w:rPr>
        <w:t>）项目入库。</w:t>
      </w:r>
      <w:r>
        <w:rPr>
          <w:rFonts w:hint="eastAsia" w:ascii="仿宋_GB2312" w:hAnsi="仿宋_GB2312" w:eastAsia="仿宋_GB2312" w:cs="仿宋_GB2312"/>
          <w:color w:val="auto"/>
          <w:kern w:val="0"/>
          <w:sz w:val="32"/>
          <w:szCs w:val="32"/>
          <w:highlight w:val="none"/>
          <w:shd w:val="clear" w:color="auto" w:fill="FFFFFF"/>
          <w:lang w:val="zh-CN"/>
        </w:rPr>
        <w:t>部门预算项目均在规定时间完成项目入库。故根据评分标准，该项指标扣0分，得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2.项目执行</w:t>
      </w: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color w:val="auto"/>
          <w:sz w:val="32"/>
          <w:szCs w:val="32"/>
          <w:highlight w:val="none"/>
          <w:lang w:val="zh-CN"/>
        </w:rPr>
        <w:t>各项目严格按照相关规定对各项目招投标、资金公示等流程实施；所有项目资金均按相关文件精神合理、合规、合法运用，账务处理及时，会计核算规范。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zh-CN" w:eastAsia="zh-CN"/>
        </w:rPr>
        <w:t>1</w:t>
      </w:r>
      <w:r>
        <w:rPr>
          <w:rFonts w:hint="eastAsia" w:ascii="仿宋_GB2312" w:hAnsi="仿宋_GB2312" w:eastAsia="仿宋_GB2312" w:cs="仿宋_GB2312"/>
          <w:b/>
          <w:bCs/>
          <w:color w:val="auto"/>
          <w:kern w:val="0"/>
          <w:sz w:val="32"/>
          <w:szCs w:val="32"/>
          <w:highlight w:val="none"/>
          <w:shd w:val="clear" w:color="auto" w:fill="FFFFFF"/>
          <w:lang w:val="zh-CN"/>
        </w:rPr>
        <w:t>）执行同向。</w:t>
      </w:r>
      <w:r>
        <w:rPr>
          <w:rFonts w:hint="eastAsia" w:ascii="仿宋_GB2312" w:hAnsi="仿宋_GB2312" w:eastAsia="仿宋_GB2312" w:cs="仿宋_GB2312"/>
          <w:color w:val="auto"/>
          <w:kern w:val="0"/>
          <w:sz w:val="32"/>
          <w:szCs w:val="32"/>
          <w:highlight w:val="none"/>
          <w:shd w:val="clear" w:color="auto" w:fill="FFFFFF"/>
          <w:lang w:val="zh-CN"/>
        </w:rPr>
        <w:t>部门预算项目实际列支内容与绩效目标设置方向相符。故根据评分标准，该项指标扣0分，得</w:t>
      </w:r>
      <w:r>
        <w:rPr>
          <w:rFonts w:hint="eastAsia" w:ascii="仿宋_GB2312" w:hAnsi="仿宋_GB2312" w:eastAsia="仿宋_GB2312" w:cs="仿宋_GB2312"/>
          <w:color w:val="auto"/>
          <w:kern w:val="0"/>
          <w:sz w:val="32"/>
          <w:szCs w:val="32"/>
          <w:highlight w:val="none"/>
          <w:shd w:val="clear" w:color="auto" w:fill="FFFFFF"/>
          <w:lang w:val="zh-CN"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zh-CN" w:eastAsia="zh-CN"/>
        </w:rPr>
        <w:t>2</w:t>
      </w:r>
      <w:r>
        <w:rPr>
          <w:rFonts w:hint="eastAsia" w:ascii="仿宋_GB2312" w:hAnsi="仿宋_GB2312" w:eastAsia="仿宋_GB2312" w:cs="仿宋_GB2312"/>
          <w:b/>
          <w:bCs/>
          <w:color w:val="auto"/>
          <w:kern w:val="0"/>
          <w:sz w:val="32"/>
          <w:szCs w:val="32"/>
          <w:highlight w:val="none"/>
          <w:shd w:val="clear" w:color="auto" w:fill="FFFFFF"/>
          <w:lang w:val="zh-CN"/>
        </w:rPr>
        <w:t>）项目调整</w:t>
      </w:r>
      <w:r>
        <w:rPr>
          <w:rFonts w:hint="eastAsia" w:ascii="仿宋_GB2312" w:hAnsi="仿宋_GB2312" w:eastAsia="仿宋_GB2312" w:cs="仿宋_GB2312"/>
          <w:b/>
          <w:bCs/>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eastAsia="zh-CN"/>
        </w:rPr>
        <w:t>部门应采取未采取收回预算、调整目标等处置措施的部门预算阶段项目（含一次性项目）数量为</w:t>
      </w:r>
      <w:r>
        <w:rPr>
          <w:rFonts w:hint="eastAsia" w:ascii="仿宋_GB2312" w:hAnsi="仿宋_GB2312" w:eastAsia="仿宋_GB2312" w:cs="仿宋_GB2312"/>
          <w:color w:val="auto"/>
          <w:kern w:val="0"/>
          <w:sz w:val="32"/>
          <w:szCs w:val="32"/>
          <w:highlight w:val="none"/>
          <w:shd w:val="clear" w:color="auto" w:fill="FFFFFF"/>
          <w:lang w:val="en-US" w:eastAsia="zh-CN"/>
        </w:rPr>
        <w:t>0，</w:t>
      </w:r>
      <w:r>
        <w:rPr>
          <w:rFonts w:hint="eastAsia" w:ascii="仿宋_GB2312" w:hAnsi="仿宋_GB2312" w:eastAsia="仿宋_GB2312" w:cs="仿宋_GB2312"/>
          <w:color w:val="auto"/>
          <w:kern w:val="0"/>
          <w:sz w:val="32"/>
          <w:szCs w:val="32"/>
          <w:highlight w:val="none"/>
          <w:shd w:val="clear" w:color="auto" w:fill="FFFFFF"/>
          <w:lang w:val="zh-CN"/>
        </w:rPr>
        <w:t>故根据评分标准，该项指标扣0分，得</w:t>
      </w:r>
      <w:r>
        <w:rPr>
          <w:rFonts w:hint="eastAsia" w:ascii="仿宋_GB2312" w:hAnsi="仿宋_GB2312" w:eastAsia="仿宋_GB2312" w:cs="仿宋_GB2312"/>
          <w:color w:val="auto"/>
          <w:kern w:val="0"/>
          <w:sz w:val="32"/>
          <w:szCs w:val="32"/>
          <w:highlight w:val="none"/>
          <w:shd w:val="clear" w:color="auto" w:fill="FFFFFF"/>
          <w:lang w:val="zh-CN"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zh-CN" w:eastAsia="zh-CN"/>
        </w:rPr>
        <w:t>3</w:t>
      </w:r>
      <w:r>
        <w:rPr>
          <w:rFonts w:hint="eastAsia" w:ascii="仿宋_GB2312" w:hAnsi="仿宋_GB2312" w:eastAsia="仿宋_GB2312" w:cs="仿宋_GB2312"/>
          <w:b/>
          <w:bCs/>
          <w:color w:val="auto"/>
          <w:kern w:val="0"/>
          <w:sz w:val="32"/>
          <w:szCs w:val="32"/>
          <w:highlight w:val="none"/>
          <w:shd w:val="clear" w:color="auto" w:fill="FFFFFF"/>
          <w:lang w:val="zh-CN"/>
        </w:rPr>
        <w:t>）执行结果。</w:t>
      </w:r>
      <w:r>
        <w:rPr>
          <w:rFonts w:hint="eastAsia" w:ascii="仿宋_GB2312" w:hAnsi="仿宋_GB2312" w:eastAsia="仿宋_GB2312" w:cs="仿宋_GB2312"/>
          <w:color w:val="auto"/>
          <w:kern w:val="0"/>
          <w:sz w:val="32"/>
          <w:szCs w:val="32"/>
          <w:highlight w:val="none"/>
          <w:shd w:val="clear" w:color="auto" w:fill="FFFFFF"/>
          <w:lang w:val="zh-CN"/>
        </w:rPr>
        <w:t>部门预算项目预算执行情况均已按照预算要求完成，根据评分标准，该项指标扣0分，得</w:t>
      </w:r>
      <w:r>
        <w:rPr>
          <w:rFonts w:hint="eastAsia" w:ascii="仿宋_GB2312" w:hAnsi="仿宋_GB2312" w:eastAsia="仿宋_GB2312" w:cs="仿宋_GB2312"/>
          <w:color w:val="auto"/>
          <w:kern w:val="0"/>
          <w:sz w:val="32"/>
          <w:szCs w:val="32"/>
          <w:highlight w:val="none"/>
          <w:shd w:val="clear" w:color="auto" w:fill="FFFFFF"/>
          <w:lang w:val="zh-CN"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w:t>
      </w:r>
      <w:r>
        <w:rPr>
          <w:rFonts w:hint="eastAsia" w:ascii="仿宋_GB2312" w:hAnsi="仿宋_GB2312" w:eastAsia="仿宋_GB2312" w:cs="仿宋_GB2312"/>
          <w:b/>
          <w:bCs/>
          <w:color w:val="auto"/>
          <w:kern w:val="0"/>
          <w:sz w:val="32"/>
          <w:szCs w:val="32"/>
          <w:highlight w:val="none"/>
          <w:shd w:val="clear" w:color="auto" w:fill="FFFFFF"/>
          <w:lang w:val="zh-CN"/>
        </w:rPr>
        <w:t>目标实现。</w:t>
      </w:r>
      <w:r>
        <w:rPr>
          <w:rFonts w:hint="eastAsia" w:ascii="仿宋_GB2312" w:hAnsi="仿宋_GB2312" w:eastAsia="仿宋_GB2312" w:cs="仿宋_GB2312"/>
          <w:color w:val="auto"/>
          <w:sz w:val="32"/>
          <w:szCs w:val="32"/>
          <w:highlight w:val="none"/>
          <w:lang w:val="zh-CN"/>
        </w:rPr>
        <w:t>各项目均达到实际的成效，完成效果较好，项目的社会效益良好，服务对象满意度高，达到了预期效果。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w:t>
      </w:r>
      <w:r>
        <w:rPr>
          <w:rFonts w:hint="eastAsia" w:ascii="仿宋_GB2312" w:hAnsi="仿宋_GB2312" w:eastAsia="仿宋_GB2312" w:cs="仿宋_GB2312"/>
          <w:color w:val="auto"/>
          <w:kern w:val="0"/>
          <w:sz w:val="32"/>
          <w:szCs w:val="32"/>
          <w:highlight w:val="none"/>
          <w:shd w:val="clear" w:color="auto" w:fill="FFFFFF"/>
          <w:lang w:val="zh-CN" w:eastAsia="zh-CN"/>
        </w:rPr>
        <w:t>1</w:t>
      </w:r>
      <w:r>
        <w:rPr>
          <w:rFonts w:hint="eastAsia" w:ascii="仿宋_GB2312" w:hAnsi="仿宋_GB2312" w:eastAsia="仿宋_GB2312" w:cs="仿宋_GB2312"/>
          <w:color w:val="auto"/>
          <w:kern w:val="0"/>
          <w:sz w:val="32"/>
          <w:szCs w:val="32"/>
          <w:highlight w:val="none"/>
          <w:shd w:val="clear" w:color="auto" w:fill="FFFFFF"/>
          <w:lang w:val="zh-CN"/>
        </w:rPr>
        <w:t>）目标完成。部门预算项目绩效目标数量指标均已按照预算要求完成，根据评分标准，该项指标扣0分，得</w:t>
      </w:r>
      <w:r>
        <w:rPr>
          <w:rFonts w:hint="eastAsia" w:ascii="仿宋_GB2312" w:hAnsi="仿宋_GB2312" w:eastAsia="仿宋_GB2312" w:cs="仿宋_GB2312"/>
          <w:color w:val="auto"/>
          <w:kern w:val="0"/>
          <w:sz w:val="32"/>
          <w:szCs w:val="32"/>
          <w:highlight w:val="none"/>
          <w:shd w:val="clear" w:color="auto" w:fill="FFFFFF"/>
          <w:lang w:val="zh-CN"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zh-CN" w:eastAsia="zh-CN"/>
        </w:rPr>
        <w:t>2</w:t>
      </w:r>
      <w:r>
        <w:rPr>
          <w:rFonts w:hint="eastAsia" w:ascii="仿宋_GB2312" w:hAnsi="仿宋_GB2312" w:eastAsia="仿宋_GB2312" w:cs="仿宋_GB2312"/>
          <w:b/>
          <w:bCs/>
          <w:color w:val="auto"/>
          <w:kern w:val="0"/>
          <w:sz w:val="32"/>
          <w:szCs w:val="32"/>
          <w:highlight w:val="none"/>
          <w:shd w:val="clear" w:color="auto" w:fill="FFFFFF"/>
          <w:lang w:val="zh-CN"/>
        </w:rPr>
        <w:t>）目标偏离</w:t>
      </w:r>
      <w:r>
        <w:rPr>
          <w:rFonts w:hint="eastAsia" w:ascii="仿宋_GB2312" w:hAnsi="仿宋_GB2312" w:eastAsia="仿宋_GB2312" w:cs="仿宋_GB2312"/>
          <w:b/>
          <w:bCs/>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eastAsia="zh-CN"/>
        </w:rPr>
        <w:t>部门预算项目绩效目标数量指标实现程度与预期目标的偏离均控制在</w:t>
      </w:r>
      <w:r>
        <w:rPr>
          <w:rFonts w:hint="eastAsia" w:ascii="仿宋_GB2312" w:hAnsi="仿宋_GB2312" w:eastAsia="仿宋_GB2312" w:cs="仿宋_GB2312"/>
          <w:color w:val="auto"/>
          <w:kern w:val="0"/>
          <w:sz w:val="32"/>
          <w:szCs w:val="32"/>
          <w:highlight w:val="none"/>
          <w:shd w:val="clear" w:color="auto" w:fill="FFFFFF"/>
          <w:lang w:val="en-US" w:eastAsia="zh-CN"/>
        </w:rPr>
        <w:t>30%以内，</w:t>
      </w:r>
      <w:r>
        <w:rPr>
          <w:rFonts w:hint="eastAsia" w:ascii="仿宋_GB2312" w:hAnsi="仿宋_GB2312" w:eastAsia="仿宋_GB2312" w:cs="仿宋_GB2312"/>
          <w:color w:val="auto"/>
          <w:kern w:val="0"/>
          <w:sz w:val="32"/>
          <w:szCs w:val="32"/>
          <w:highlight w:val="none"/>
          <w:shd w:val="clear" w:color="auto" w:fill="FFFFFF"/>
          <w:lang w:val="zh-CN"/>
        </w:rPr>
        <w:t>根据评分标准，该项指标扣0分，得</w:t>
      </w:r>
      <w:r>
        <w:rPr>
          <w:rFonts w:hint="eastAsia" w:ascii="仿宋_GB2312" w:hAnsi="仿宋_GB2312" w:eastAsia="仿宋_GB2312" w:cs="仿宋_GB2312"/>
          <w:color w:val="auto"/>
          <w:kern w:val="0"/>
          <w:sz w:val="32"/>
          <w:szCs w:val="32"/>
          <w:highlight w:val="none"/>
          <w:shd w:val="clear" w:color="auto" w:fill="FFFFFF"/>
          <w:lang w:val="zh-CN" w:eastAsia="zh-CN"/>
        </w:rPr>
        <w:t>4</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bCs/>
          <w:color w:val="auto"/>
          <w:kern w:val="0"/>
          <w:sz w:val="32"/>
          <w:szCs w:val="32"/>
          <w:highlight w:val="none"/>
          <w:shd w:val="clear" w:color="auto" w:fill="FFFFFF"/>
          <w:lang w:val="zh-CN"/>
        </w:rPr>
        <w:t>（</w:t>
      </w:r>
      <w:r>
        <w:rPr>
          <w:rFonts w:hint="eastAsia" w:ascii="仿宋_GB2312" w:hAnsi="仿宋_GB2312" w:eastAsia="仿宋_GB2312" w:cs="仿宋_GB2312"/>
          <w:b/>
          <w:bCs/>
          <w:color w:val="auto"/>
          <w:kern w:val="0"/>
          <w:sz w:val="32"/>
          <w:szCs w:val="32"/>
          <w:highlight w:val="none"/>
          <w:shd w:val="clear" w:color="auto" w:fill="FFFFFF"/>
          <w:lang w:val="zh-CN" w:eastAsia="zh-CN"/>
        </w:rPr>
        <w:t>3</w:t>
      </w:r>
      <w:r>
        <w:rPr>
          <w:rFonts w:hint="eastAsia" w:ascii="仿宋_GB2312" w:hAnsi="仿宋_GB2312" w:eastAsia="仿宋_GB2312" w:cs="仿宋_GB2312"/>
          <w:b/>
          <w:bCs/>
          <w:color w:val="auto"/>
          <w:kern w:val="0"/>
          <w:sz w:val="32"/>
          <w:szCs w:val="32"/>
          <w:highlight w:val="none"/>
          <w:shd w:val="clear" w:color="auto" w:fill="FFFFFF"/>
          <w:lang w:val="zh-CN"/>
        </w:rPr>
        <w:t>）实现结果。</w:t>
      </w:r>
      <w:r>
        <w:rPr>
          <w:rFonts w:hint="eastAsia" w:ascii="仿宋_GB2312" w:hAnsi="仿宋_GB2312" w:eastAsia="仿宋_GB2312" w:cs="仿宋_GB2312"/>
          <w:color w:val="auto"/>
          <w:kern w:val="0"/>
          <w:sz w:val="32"/>
          <w:szCs w:val="32"/>
          <w:highlight w:val="none"/>
          <w:shd w:val="clear" w:color="auto" w:fill="FFFFFF"/>
          <w:lang w:val="zh-CN"/>
        </w:rPr>
        <w:t>部门预算项目绩效目标效益指标达到了较好的效果，根据评分标准，该项指标扣0分，得</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kinsoku/>
        <w:wordWrap/>
        <w:overflowPunct/>
        <w:topLinePunct w:val="0"/>
        <w:autoSpaceDE/>
        <w:autoSpaceDN/>
        <w:bidi w:val="0"/>
        <w:adjustRightInd w:val="0"/>
        <w:snapToGrid w:val="0"/>
        <w:spacing w:line="556" w:lineRule="exact"/>
        <w:ind w:firstLine="643" w:firstLineChars="200"/>
        <w:jc w:val="left"/>
        <w:textAlignment w:val="auto"/>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（三）</w:t>
      </w:r>
      <w:r>
        <w:rPr>
          <w:rFonts w:hint="eastAsia" w:ascii="仿宋_GB2312" w:hAnsi="仿宋_GB2312" w:eastAsia="仿宋_GB2312" w:cs="仿宋_GB2312"/>
          <w:b/>
          <w:bCs/>
          <w:color w:val="auto"/>
          <w:kern w:val="0"/>
          <w:sz w:val="32"/>
          <w:szCs w:val="32"/>
          <w:highlight w:val="none"/>
          <w:shd w:val="clear" w:color="auto" w:fill="FFFFFF"/>
          <w:lang w:val="zh-CN" w:eastAsia="zh-CN"/>
        </w:rPr>
        <w:t>重点领域</w:t>
      </w:r>
      <w:r>
        <w:rPr>
          <w:rFonts w:hint="eastAsia" w:ascii="仿宋_GB2312" w:hAnsi="仿宋_GB2312" w:eastAsia="仿宋_GB2312" w:cs="仿宋_GB2312"/>
          <w:b/>
          <w:bCs/>
          <w:color w:val="auto"/>
          <w:kern w:val="0"/>
          <w:sz w:val="32"/>
          <w:szCs w:val="32"/>
          <w:highlight w:val="none"/>
          <w:shd w:val="clear" w:color="auto" w:fill="FFFFFF"/>
          <w:lang w:val="zh-CN"/>
        </w:rPr>
        <w:t>绩效分析</w:t>
      </w:r>
      <w:r>
        <w:rPr>
          <w:rFonts w:hint="eastAsia" w:ascii="仿宋_GB2312" w:hAnsi="仿宋_GB2312" w:eastAsia="仿宋_GB2312" w:cs="仿宋_GB2312"/>
          <w:b/>
          <w:bCs/>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eastAsia="zh-CN"/>
        </w:rPr>
        <w:t>我局严格按照上级主管部门要求，进行采购实施计划、内控制度管理在资产管理方面，建立了资产管理制度，定期进行了盘点和资产清理，总体执行较好。</w:t>
      </w:r>
    </w:p>
    <w:p>
      <w:pPr>
        <w:keepNext w:val="0"/>
        <w:keepLines w:val="0"/>
        <w:pageBreakBefore w:val="0"/>
        <w:widowControl w:val="0"/>
        <w:kinsoku/>
        <w:wordWrap/>
        <w:overflowPunct/>
        <w:topLinePunct w:val="0"/>
        <w:autoSpaceDE/>
        <w:autoSpaceDN/>
        <w:bidi w:val="0"/>
        <w:snapToGrid w:val="0"/>
        <w:spacing w:line="556" w:lineRule="exact"/>
        <w:ind w:firstLine="643" w:firstLineChars="200"/>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color w:val="auto"/>
          <w:sz w:val="32"/>
          <w:szCs w:val="32"/>
          <w:highlight w:val="none"/>
          <w:lang w:val="zh-CN"/>
        </w:rPr>
        <w:t>（四）绩效结果应用情况。</w:t>
      </w:r>
      <w:r>
        <w:rPr>
          <w:rFonts w:hint="eastAsia" w:ascii="仿宋_GB2312" w:hAnsi="仿宋_GB2312" w:eastAsia="仿宋_GB2312" w:cs="仿宋_GB2312"/>
          <w:color w:val="auto"/>
          <w:kern w:val="0"/>
          <w:sz w:val="32"/>
          <w:szCs w:val="32"/>
          <w:highlight w:val="none"/>
          <w:shd w:val="clear" w:color="auto" w:fill="FFFFFF"/>
          <w:lang w:val="zh-CN" w:eastAsia="zh-CN"/>
        </w:rPr>
        <w:t>下一步，我们将项目自评结果应用作为全过程预算绩效管理落脚点，及时整理、归纳、分析、反馈绩效自评结果，</w:t>
      </w:r>
      <w:r>
        <w:rPr>
          <w:rFonts w:hint="eastAsia" w:ascii="仿宋_GB2312" w:hAnsi="仿宋_GB2312" w:eastAsia="仿宋_GB2312" w:cs="仿宋_GB2312"/>
          <w:color w:val="auto"/>
          <w:kern w:val="2"/>
          <w:sz w:val="32"/>
          <w:szCs w:val="32"/>
          <w:highlight w:val="none"/>
          <w:lang w:val="en-US" w:eastAsia="zh-CN" w:bidi="ar-SA"/>
        </w:rPr>
        <w:t>将继续推进预算绩效管理，严把绩效目标编制质量关，扎实做好预算绩效目标执行情况动态监控，深入推进重点项目绩效自评，做好绩效评价结果应用。</w:t>
      </w:r>
    </w:p>
    <w:p>
      <w:pPr>
        <w:keepNext w:val="0"/>
        <w:keepLines w:val="0"/>
        <w:pageBreakBefore w:val="0"/>
        <w:widowControl/>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b/>
          <w:bCs/>
          <w:color w:val="auto"/>
          <w:kern w:val="2"/>
          <w:sz w:val="32"/>
          <w:szCs w:val="32"/>
          <w:highlight w:val="none"/>
          <w:lang w:val="zh-CN" w:eastAsia="zh-CN" w:bidi="ar-SA"/>
        </w:rPr>
      </w:pPr>
      <w:r>
        <w:rPr>
          <w:rFonts w:hint="eastAsia" w:ascii="仿宋_GB2312" w:hAnsi="仿宋_GB2312" w:eastAsia="仿宋_GB2312" w:cs="仿宋_GB2312"/>
          <w:b/>
          <w:bCs/>
          <w:color w:val="auto"/>
          <w:kern w:val="2"/>
          <w:sz w:val="32"/>
          <w:szCs w:val="32"/>
          <w:highlight w:val="none"/>
          <w:lang w:val="zh-CN" w:eastAsia="zh-CN" w:bidi="ar-SA"/>
        </w:rPr>
        <w:t>四、评价结论及建议</w:t>
      </w:r>
    </w:p>
    <w:p>
      <w:pPr>
        <w:keepNext w:val="0"/>
        <w:keepLines w:val="0"/>
        <w:pageBreakBefore w:val="0"/>
        <w:widowControl/>
        <w:kinsoku/>
        <w:wordWrap/>
        <w:overflowPunct/>
        <w:topLinePunct w:val="0"/>
        <w:autoSpaceDE/>
        <w:autoSpaceDN/>
        <w:bidi w:val="0"/>
        <w:adjustRightInd w:val="0"/>
        <w:snapToGrid w:val="0"/>
        <w:spacing w:line="556" w:lineRule="exact"/>
        <w:ind w:firstLine="643" w:firstLineChars="200"/>
        <w:contextualSpacing/>
        <w:jc w:val="left"/>
        <w:textAlignment w:val="auto"/>
        <w:outlineLvl w:val="9"/>
        <w:rPr>
          <w:rFonts w:hint="eastAsia" w:ascii="仿宋_GB2312" w:hAnsi="仿宋_GB2312" w:eastAsia="仿宋_GB2312" w:cs="仿宋_GB2312"/>
          <w:i w:val="0"/>
          <w:iCs w:val="0"/>
          <w:caps w:val="0"/>
          <w:color w:val="auto"/>
          <w:spacing w:val="0"/>
          <w:sz w:val="32"/>
          <w:szCs w:val="32"/>
          <w:highlight w:val="none"/>
          <w:shd w:val="clear" w:fill="FFFFFF"/>
          <w:lang w:eastAsia="zh-CN"/>
        </w:rPr>
      </w:pPr>
      <w:r>
        <w:rPr>
          <w:rFonts w:hint="eastAsia" w:ascii="仿宋_GB2312" w:hAnsi="仿宋_GB2312" w:eastAsia="仿宋_GB2312" w:cs="仿宋_GB2312"/>
          <w:b/>
          <w:bCs/>
          <w:color w:val="auto"/>
          <w:kern w:val="0"/>
          <w:sz w:val="32"/>
          <w:szCs w:val="32"/>
          <w:highlight w:val="none"/>
          <w:shd w:val="clear" w:color="auto" w:fill="FFFFFF"/>
          <w:lang w:val="zh-CN"/>
        </w:rPr>
        <w:t>（一）评价结论。</w:t>
      </w:r>
      <w:r>
        <w:rPr>
          <w:rFonts w:hint="eastAsia" w:ascii="仿宋_GB2312" w:hAnsi="仿宋_GB2312" w:eastAsia="仿宋_GB2312" w:cs="仿宋_GB2312"/>
          <w:i w:val="0"/>
          <w:iCs w:val="0"/>
          <w:caps w:val="0"/>
          <w:color w:val="auto"/>
          <w:spacing w:val="0"/>
          <w:sz w:val="32"/>
          <w:szCs w:val="32"/>
          <w:highlight w:val="none"/>
          <w:shd w:val="clear" w:fill="FFFFFF"/>
        </w:rPr>
        <w:t>经评价，</w:t>
      </w:r>
      <w:r>
        <w:rPr>
          <w:rFonts w:hint="eastAsia" w:ascii="仿宋_GB2312" w:hAnsi="仿宋_GB2312" w:cs="仿宋_GB2312"/>
          <w:i w:val="0"/>
          <w:iCs w:val="0"/>
          <w:caps w:val="0"/>
          <w:color w:val="auto"/>
          <w:spacing w:val="0"/>
          <w:sz w:val="32"/>
          <w:szCs w:val="32"/>
          <w:highlight w:val="none"/>
          <w:shd w:val="clear" w:fill="FFFFFF"/>
          <w:lang w:eastAsia="zh-CN"/>
        </w:rPr>
        <w:t>2025年</w:t>
      </w:r>
      <w:r>
        <w:rPr>
          <w:rFonts w:hint="eastAsia" w:ascii="仿宋_GB2312" w:hAnsi="仿宋_GB2312" w:eastAsia="仿宋_GB2312" w:cs="仿宋_GB2312"/>
          <w:i w:val="0"/>
          <w:iCs w:val="0"/>
          <w:caps w:val="0"/>
          <w:color w:val="auto"/>
          <w:spacing w:val="0"/>
          <w:sz w:val="32"/>
          <w:szCs w:val="32"/>
          <w:highlight w:val="none"/>
          <w:shd w:val="clear" w:fill="FFFFFF"/>
        </w:rPr>
        <w:t>度部门整体支出完成情况良好</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w:t>
      </w:r>
      <w:r>
        <w:rPr>
          <w:rFonts w:hint="eastAsia" w:ascii="仿宋_GB2312" w:hAnsi="仿宋_GB2312" w:eastAsia="仿宋_GB2312" w:cs="仿宋_GB2312"/>
          <w:i w:val="0"/>
          <w:iCs w:val="0"/>
          <w:caps w:val="0"/>
          <w:color w:val="auto"/>
          <w:spacing w:val="0"/>
          <w:sz w:val="32"/>
          <w:szCs w:val="32"/>
          <w:highlight w:val="none"/>
          <w:shd w:val="clear" w:fill="FFFFFF"/>
        </w:rPr>
        <w:t>预算编制合理，项目和资金管理较为落实，整体支出效果较好</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整体支出符合单位职责和相关管理规定，</w:t>
      </w:r>
      <w:r>
        <w:rPr>
          <w:rFonts w:hint="eastAsia" w:ascii="仿宋_GB2312" w:hAnsi="仿宋_GB2312" w:eastAsia="仿宋_GB2312" w:cs="仿宋_GB2312"/>
          <w:i w:val="0"/>
          <w:iCs w:val="0"/>
          <w:caps w:val="0"/>
          <w:color w:val="auto"/>
          <w:spacing w:val="0"/>
          <w:sz w:val="32"/>
          <w:szCs w:val="32"/>
          <w:highlight w:val="none"/>
          <w:shd w:val="clear" w:fill="FFFFFF"/>
          <w:lang w:eastAsia="zh-CN"/>
        </w:rPr>
        <w:t>自评得分</w:t>
      </w:r>
      <w:r>
        <w:rPr>
          <w:rFonts w:hint="eastAsia" w:ascii="仿宋_GB2312" w:hAnsi="仿宋_GB2312" w:cs="仿宋_GB2312"/>
          <w:i w:val="0"/>
          <w:iCs w:val="0"/>
          <w:caps w:val="0"/>
          <w:color w:val="auto"/>
          <w:spacing w:val="0"/>
          <w:sz w:val="32"/>
          <w:szCs w:val="32"/>
          <w:highlight w:val="none"/>
          <w:shd w:val="clear" w:fill="FFFFFF"/>
          <w:lang w:val="en-US" w:eastAsia="zh-CN"/>
        </w:rPr>
        <w:t>89.35</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分，</w:t>
      </w:r>
      <w:r>
        <w:rPr>
          <w:rFonts w:hint="eastAsia" w:ascii="仿宋_GB2312" w:hAnsi="仿宋_GB2312" w:eastAsia="仿宋_GB2312" w:cs="仿宋_GB2312"/>
          <w:i w:val="0"/>
          <w:iCs w:val="0"/>
          <w:caps w:val="0"/>
          <w:color w:val="auto"/>
          <w:spacing w:val="0"/>
          <w:sz w:val="32"/>
          <w:szCs w:val="32"/>
          <w:highlight w:val="none"/>
          <w:shd w:val="clear" w:fill="FFFFFF"/>
        </w:rPr>
        <w:t>绩效总体评价为“</w:t>
      </w:r>
      <w:r>
        <w:rPr>
          <w:rFonts w:hint="eastAsia" w:ascii="仿宋_GB2312" w:hAnsi="仿宋_GB2312" w:cs="仿宋_GB2312"/>
          <w:i w:val="0"/>
          <w:iCs w:val="0"/>
          <w:caps w:val="0"/>
          <w:color w:val="auto"/>
          <w:spacing w:val="0"/>
          <w:sz w:val="32"/>
          <w:szCs w:val="32"/>
          <w:highlight w:val="none"/>
          <w:shd w:val="clear" w:fill="FFFFFF"/>
          <w:lang w:eastAsia="zh-CN"/>
        </w:rPr>
        <w:t>优</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56" w:lineRule="exact"/>
        <w:ind w:left="0" w:right="0" w:firstLine="643" w:firstLineChars="200"/>
        <w:jc w:val="both"/>
        <w:textAlignment w:val="auto"/>
        <w:rPr>
          <w:rFonts w:hint="eastAsia" w:ascii="仿宋_GB2312" w:hAnsi="仿宋_GB2312" w:eastAsia="仿宋_GB2312" w:cs="仿宋_GB2312"/>
          <w:i w:val="0"/>
          <w:iCs w:val="0"/>
          <w:caps w:val="0"/>
          <w:color w:val="auto"/>
          <w:spacing w:val="0"/>
          <w:kern w:val="2"/>
          <w:sz w:val="32"/>
          <w:szCs w:val="32"/>
          <w:highlight w:val="none"/>
          <w:shd w:val="clear" w:fill="FFFFFF"/>
          <w:lang w:val="zh-CN" w:eastAsia="zh-CN" w:bidi="ar-SA"/>
        </w:rPr>
      </w:pPr>
      <w:r>
        <w:rPr>
          <w:rFonts w:hint="eastAsia" w:ascii="仿宋_GB2312" w:hAnsi="仿宋_GB2312" w:eastAsia="仿宋_GB2312" w:cs="仿宋_GB2312"/>
          <w:b/>
          <w:bCs/>
          <w:color w:val="auto"/>
          <w:kern w:val="0"/>
          <w:sz w:val="32"/>
          <w:szCs w:val="32"/>
          <w:highlight w:val="none"/>
          <w:shd w:val="clear" w:color="auto" w:fill="FFFFFF"/>
          <w:lang w:val="zh-CN" w:eastAsia="zh-CN" w:bidi="ar-SA"/>
        </w:rPr>
        <w:t>（二）存在问题。</w:t>
      </w:r>
      <w:r>
        <w:rPr>
          <w:rFonts w:hint="eastAsia" w:ascii="仿宋_GB2312" w:hAnsi="仿宋_GB2312" w:eastAsia="仿宋_GB2312" w:cs="仿宋_GB2312"/>
          <w:i w:val="0"/>
          <w:iCs w:val="0"/>
          <w:caps w:val="0"/>
          <w:color w:val="auto"/>
          <w:spacing w:val="0"/>
          <w:kern w:val="2"/>
          <w:sz w:val="32"/>
          <w:szCs w:val="32"/>
          <w:highlight w:val="none"/>
          <w:shd w:val="clear" w:fill="FFFFFF"/>
          <w:lang w:val="zh-CN" w:eastAsia="zh-CN" w:bidi="ar-SA"/>
        </w:rPr>
        <w:t>这次绩效评价工作也存在着一些问题，</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主要表现在以下方面：一是评价指标体系需要进一步完善，评价对象涉及多个项目，且项目之间差异性大，评价指标设置难度较大，不能满足工作开展需要；二是人员重视程度需要进一步提高，由于预算绩效管理工作开展时间较短，缺乏系统的培训，对预算绩效管理认识不够到位，理解不够充分，给绩效评价工作带来一定阻力</w:t>
      </w:r>
      <w:r>
        <w:rPr>
          <w:rFonts w:hint="eastAsia" w:ascii="仿宋_GB2312" w:hAnsi="仿宋_GB2312" w:eastAsia="仿宋_GB2312" w:cs="仿宋_GB2312"/>
          <w:i w:val="0"/>
          <w:iCs w:val="0"/>
          <w:caps w:val="0"/>
          <w:color w:val="auto"/>
          <w:spacing w:val="0"/>
          <w:kern w:val="2"/>
          <w:sz w:val="32"/>
          <w:szCs w:val="32"/>
          <w:highlight w:val="none"/>
          <w:shd w:val="clear" w:fill="FFFFFF"/>
          <w:lang w:val="zh-CN" w:eastAsia="zh-CN" w:bidi="ar-SA"/>
        </w:rPr>
        <w:t>；三是项目完成时间延后，主要是前期项目安排缺乏整体性。</w:t>
      </w:r>
    </w:p>
    <w:p>
      <w:pPr>
        <w:keepNext w:val="0"/>
        <w:keepLines w:val="0"/>
        <w:pageBreakBefore w:val="0"/>
        <w:kinsoku/>
        <w:wordWrap/>
        <w:overflowPunct/>
        <w:topLinePunct w:val="0"/>
        <w:autoSpaceDE/>
        <w:autoSpaceDN/>
        <w:bidi w:val="0"/>
        <w:spacing w:line="556" w:lineRule="exact"/>
        <w:ind w:firstLine="643" w:firstLineChars="20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bCs/>
          <w:color w:val="auto"/>
          <w:kern w:val="0"/>
          <w:sz w:val="32"/>
          <w:szCs w:val="32"/>
          <w:highlight w:val="none"/>
          <w:shd w:val="clear" w:color="auto" w:fill="FFFFFF"/>
          <w:lang w:val="zh-CN" w:eastAsia="zh-CN" w:bidi="ar-SA"/>
        </w:rPr>
        <w:t>（三）改进建议。</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下一步我单位将严格按照预算绩效管理的制度要求，科学编制预算，严格预算执行，加强绩效管理，不断提高资金使用效率，</w:t>
      </w: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b/>
          <w:bCs/>
          <w:color w:val="auto"/>
          <w:sz w:val="32"/>
          <w:szCs w:val="32"/>
          <w:highlight w:val="none"/>
          <w:lang w:val="zh-CN"/>
        </w:rPr>
        <w:t>加强财务管理，严格财务审核。</w:t>
      </w:r>
      <w:r>
        <w:rPr>
          <w:rFonts w:hint="eastAsia" w:ascii="仿宋_GB2312" w:hAnsi="仿宋_GB2312" w:eastAsia="仿宋_GB2312" w:cs="仿宋_GB2312"/>
          <w:b/>
          <w:bCs/>
          <w:color w:val="auto"/>
          <w:sz w:val="32"/>
          <w:szCs w:val="32"/>
          <w:highlight w:val="none"/>
          <w:lang w:val="zh-CN" w:eastAsia="zh-CN"/>
        </w:rPr>
        <w:t>加强对财务人员的培训，</w:t>
      </w:r>
      <w:r>
        <w:rPr>
          <w:rFonts w:hint="eastAsia" w:ascii="仿宋_GB2312" w:hAnsi="仿宋_GB2312" w:eastAsia="仿宋_GB2312" w:cs="仿宋_GB2312"/>
          <w:i w:val="0"/>
          <w:iCs w:val="0"/>
          <w:caps w:val="0"/>
          <w:color w:val="auto"/>
          <w:spacing w:val="0"/>
          <w:kern w:val="2"/>
          <w:sz w:val="32"/>
          <w:szCs w:val="32"/>
          <w:highlight w:val="none"/>
          <w:shd w:val="clear" w:fill="FFFFFF"/>
          <w:lang w:val="en-US" w:eastAsia="zh-CN" w:bidi="ar-SA"/>
        </w:rPr>
        <w:t>严格财务审核，严格资金使用范围、专款专用，保障资金安全、高效运行，从严控制“三公经费”支出，持续加强“三公经费”管理；</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bCs/>
          <w:color w:val="auto"/>
          <w:sz w:val="32"/>
          <w:szCs w:val="32"/>
          <w:highlight w:val="none"/>
          <w:lang w:val="zh-CN"/>
        </w:rPr>
        <w:t>细化预算编制工作，认真做好预算的编制。</w:t>
      </w:r>
      <w:r>
        <w:rPr>
          <w:rFonts w:hint="eastAsia" w:ascii="仿宋_GB2312" w:hAnsi="仿宋_GB2312" w:eastAsia="仿宋_GB2312" w:cs="仿宋_GB2312"/>
          <w:color w:val="auto"/>
          <w:sz w:val="32"/>
          <w:szCs w:val="32"/>
          <w:highlight w:val="none"/>
          <w:lang w:val="zh-CN"/>
        </w:rPr>
        <w:t>进一步加强单位各股室的预算管理意识，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提高预算的合理性和准确性。</w:t>
      </w:r>
      <w:r>
        <w:rPr>
          <w:rFonts w:hint="eastAsia" w:ascii="仿宋_GB2312" w:hAnsi="仿宋_GB2312" w:eastAsia="仿宋_GB2312" w:cs="仿宋_GB2312"/>
          <w:b/>
          <w:bCs/>
          <w:color w:val="auto"/>
          <w:sz w:val="32"/>
          <w:szCs w:val="32"/>
          <w:highlight w:val="none"/>
          <w:lang w:val="zh-CN" w:eastAsia="zh-CN"/>
        </w:rPr>
        <w:t>三是加强项目管理，</w:t>
      </w:r>
      <w:r>
        <w:rPr>
          <w:rFonts w:hint="eastAsia" w:ascii="仿宋_GB2312" w:hAnsi="仿宋_GB2312" w:eastAsia="仿宋_GB2312" w:cs="仿宋_GB2312"/>
          <w:color w:val="auto"/>
          <w:sz w:val="32"/>
          <w:szCs w:val="32"/>
          <w:highlight w:val="none"/>
          <w:lang w:val="zh-CN"/>
        </w:rPr>
        <w:t>加强项目开展进度的跟踪，开展项目绩效评价，确保项目绩效目标的完成。</w:t>
      </w:r>
    </w:p>
    <w:p>
      <w:pPr>
        <w:keepNext w:val="0"/>
        <w:keepLines w:val="0"/>
        <w:pageBreakBefore w:val="0"/>
        <w:kinsoku/>
        <w:wordWrap/>
        <w:overflowPunct/>
        <w:topLinePunct w:val="0"/>
        <w:autoSpaceDE/>
        <w:autoSpaceDN/>
        <w:bidi w:val="0"/>
        <w:spacing w:line="556" w:lineRule="exact"/>
        <w:ind w:firstLine="640" w:firstLineChars="200"/>
        <w:textAlignment w:val="auto"/>
        <w:rPr>
          <w:rFonts w:hint="eastAsia" w:ascii="仿宋_GB2312" w:hAnsi="仿宋_GB2312" w:eastAsia="仿宋_GB2312" w:cs="仿宋_GB2312"/>
          <w:color w:val="auto"/>
          <w:sz w:val="32"/>
          <w:szCs w:val="32"/>
          <w:highlight w:val="none"/>
          <w:lang w:val="zh-CN"/>
        </w:rPr>
      </w:pPr>
    </w:p>
    <w:p>
      <w:pPr>
        <w:keepNext w:val="0"/>
        <w:keepLines w:val="0"/>
        <w:pageBreakBefore w:val="0"/>
        <w:kinsoku/>
        <w:wordWrap/>
        <w:overflowPunct/>
        <w:topLinePunct w:val="0"/>
        <w:autoSpaceDE/>
        <w:autoSpaceDN/>
        <w:bidi w:val="0"/>
        <w:spacing w:line="556" w:lineRule="exact"/>
        <w:ind w:firstLine="640" w:firstLineChars="200"/>
        <w:textAlignment w:val="auto"/>
        <w:rPr>
          <w:rFonts w:hint="eastAsia" w:ascii="仿宋_GB2312" w:hAnsi="仿宋_GB2312" w:eastAsia="仿宋_GB2312" w:cs="仿宋_GB2312"/>
          <w:strike w:val="0"/>
          <w:color w:val="auto"/>
          <w:sz w:val="32"/>
          <w:szCs w:val="32"/>
          <w:highlight w:val="none"/>
          <w:u w:val="none"/>
          <w:lang w:val="en-US" w:eastAsia="zh-CN" w:bidi="ar"/>
        </w:rPr>
      </w:pPr>
      <w:r>
        <w:rPr>
          <w:rFonts w:hint="eastAsia" w:ascii="仿宋_GB2312" w:hAnsi="仿宋_GB2312" w:eastAsia="仿宋_GB2312" w:cs="仿宋_GB2312"/>
          <w:color w:val="auto"/>
          <w:kern w:val="0"/>
          <w:sz w:val="32"/>
          <w:szCs w:val="32"/>
          <w:highlight w:val="none"/>
          <w:shd w:val="clear" w:color="auto" w:fill="FFFFFF"/>
          <w:lang w:val="en-US" w:eastAsia="zh-CN"/>
        </w:rPr>
        <w:t>附表：1.</w:t>
      </w:r>
      <w:r>
        <w:rPr>
          <w:rFonts w:hint="eastAsia" w:ascii="仿宋_GB2312" w:hAnsi="仿宋_GB2312" w:eastAsia="仿宋_GB2312" w:cs="仿宋_GB2312"/>
          <w:strike w:val="0"/>
          <w:color w:val="auto"/>
          <w:sz w:val="32"/>
          <w:szCs w:val="32"/>
          <w:highlight w:val="none"/>
          <w:u w:val="none"/>
          <w:lang w:val="en-US" w:eastAsia="zh-CN" w:bidi="ar"/>
        </w:rPr>
        <w:t>部门预算绩效自评打分表</w:t>
      </w:r>
    </w:p>
    <w:p>
      <w:pPr>
        <w:keepNext w:val="0"/>
        <w:keepLines w:val="0"/>
        <w:pageBreakBefore w:val="0"/>
        <w:kinsoku/>
        <w:wordWrap/>
        <w:overflowPunct/>
        <w:topLinePunct w:val="0"/>
        <w:autoSpaceDE/>
        <w:autoSpaceDN/>
        <w:bidi w:val="0"/>
        <w:spacing w:line="556" w:lineRule="exact"/>
        <w:ind w:firstLine="1600" w:firstLineChars="500"/>
        <w:textAlignment w:val="auto"/>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strike w:val="0"/>
          <w:color w:val="auto"/>
          <w:sz w:val="32"/>
          <w:szCs w:val="32"/>
          <w:highlight w:val="none"/>
          <w:u w:val="none"/>
          <w:lang w:val="en-US" w:eastAsia="zh-CN" w:bidi="ar"/>
        </w:rPr>
        <w:t>2.</w:t>
      </w:r>
      <w:r>
        <w:rPr>
          <w:rFonts w:hint="eastAsia" w:ascii="仿宋_GB2312" w:hAnsi="仿宋_GB2312" w:eastAsia="仿宋_GB2312" w:cs="仿宋_GB2312"/>
          <w:color w:val="auto"/>
          <w:kern w:val="0"/>
          <w:sz w:val="32"/>
          <w:szCs w:val="32"/>
          <w:highlight w:val="none"/>
          <w:shd w:val="clear" w:color="auto" w:fill="FFFFFF"/>
          <w:lang w:val="en-US" w:eastAsia="zh-CN"/>
        </w:rPr>
        <w:t>部门整体绩效目标完成情况自评表</w:t>
      </w:r>
    </w:p>
    <w:p>
      <w:pPr>
        <w:pageBreakBefore w:val="0"/>
        <w:kinsoku/>
        <w:wordWrap/>
        <w:topLinePunct w:val="0"/>
        <w:autoSpaceDE/>
        <w:autoSpaceDN/>
        <w:bidi w:val="0"/>
        <w:spacing w:line="576" w:lineRule="exact"/>
        <w:jc w:val="both"/>
        <w:textAlignment w:val="auto"/>
        <w:rPr>
          <w:rFonts w:hint="eastAsia" w:ascii="仿宋_GB2312" w:hAnsi="仿宋_GB2312" w:eastAsia="仿宋_GB2312" w:cs="仿宋_GB2312"/>
          <w:color w:val="auto"/>
          <w:kern w:val="0"/>
          <w:sz w:val="32"/>
          <w:szCs w:val="32"/>
          <w:highlight w:val="none"/>
          <w:lang w:val="zh-CN" w:eastAsia="zh-CN" w:bidi="ar-SA"/>
        </w:rPr>
      </w:pPr>
    </w:p>
    <w:p>
      <w:pPr>
        <w:keepNext w:val="0"/>
        <w:keepLines w:val="0"/>
        <w:pageBreakBefore w:val="0"/>
        <w:kinsoku/>
        <w:wordWrap/>
        <w:overflowPunct/>
        <w:topLinePunct w:val="0"/>
        <w:autoSpaceDE/>
        <w:autoSpaceDN/>
        <w:bidi w:val="0"/>
        <w:spacing w:line="576" w:lineRule="exact"/>
        <w:jc w:val="left"/>
        <w:textAlignment w:val="auto"/>
        <w:rPr>
          <w:rFonts w:hint="eastAsia" w:ascii="Times New Roman" w:hAnsi="Times New Roman" w:eastAsia="黑体" w:cs="Times New Roman"/>
          <w:color w:val="auto"/>
          <w:kern w:val="2"/>
          <w:sz w:val="32"/>
          <w:szCs w:val="24"/>
          <w:highlight w:val="none"/>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rPr>
        <w:br w:type="page"/>
      </w:r>
      <w:r>
        <w:rPr>
          <w:rFonts w:hint="eastAsia" w:ascii="黑体" w:hAnsi="黑体" w:eastAsia="黑体" w:cs="黑体"/>
          <w:color w:val="auto"/>
          <w:kern w:val="2"/>
          <w:sz w:val="32"/>
          <w:szCs w:val="24"/>
          <w:highlight w:val="none"/>
          <w:lang w:val="en-US" w:eastAsia="zh-CN" w:bidi="ar-SA"/>
        </w:rPr>
        <w:t>附表1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auto"/>
          <w:kern w:val="0"/>
          <w:sz w:val="44"/>
          <w:szCs w:val="44"/>
          <w:highlight w:val="none"/>
          <w:u w:val="none"/>
          <w:lang w:val="en-US" w:eastAsia="zh-CN" w:bidi="ar"/>
        </w:rPr>
      </w:pPr>
      <w:r>
        <w:rPr>
          <w:rFonts w:hint="eastAsia" w:ascii="Times New Roman" w:hAnsi="Times New Roman" w:eastAsia="方正小标宋简体" w:cs="Times New Roman"/>
          <w:i w:val="0"/>
          <w:color w:val="auto"/>
          <w:kern w:val="0"/>
          <w:sz w:val="44"/>
          <w:szCs w:val="44"/>
          <w:highlight w:val="none"/>
          <w:u w:val="none"/>
          <w:lang w:val="en-US" w:eastAsia="zh-CN" w:bidi="ar"/>
        </w:rPr>
        <w:t>部门预算绩效自评打分表</w:t>
      </w:r>
    </w:p>
    <w:tbl>
      <w:tblPr>
        <w:tblStyle w:val="21"/>
        <w:tblW w:w="90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789"/>
        <w:gridCol w:w="1849"/>
        <w:gridCol w:w="494"/>
        <w:gridCol w:w="3790"/>
        <w:gridCol w:w="856"/>
        <w:gridCol w:w="4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0" w:hRule="atLeast"/>
          <w:jc w:val="center"/>
        </w:trPr>
        <w:tc>
          <w:tcPr>
            <w:tcW w:w="39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绩效评价指标指标分值</w:t>
            </w:r>
          </w:p>
        </w:tc>
        <w:tc>
          <w:tcPr>
            <w:tcW w:w="3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指标解释</w:t>
            </w:r>
          </w:p>
        </w:tc>
        <w:tc>
          <w:tcPr>
            <w:tcW w:w="8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kern w:val="0"/>
                <w:sz w:val="24"/>
                <w:szCs w:val="24"/>
                <w:highlight w:val="none"/>
                <w:u w:val="none"/>
                <w:lang w:val="en-US" w:eastAsia="zh-CN" w:bidi="ar"/>
              </w:rPr>
            </w:pPr>
            <w:r>
              <w:rPr>
                <w:rFonts w:hint="eastAsia" w:ascii="黑体" w:hAnsi="宋体" w:eastAsia="黑体" w:cs="黑体"/>
                <w:i w:val="0"/>
                <w:color w:val="auto"/>
                <w:w w:val="90"/>
                <w:kern w:val="0"/>
                <w:sz w:val="24"/>
                <w:szCs w:val="24"/>
                <w:highlight w:val="none"/>
                <w:u w:val="none"/>
                <w:lang w:val="en-US" w:eastAsia="zh-CN" w:bidi="ar"/>
              </w:rPr>
              <w:t>自评得分</w:t>
            </w:r>
          </w:p>
        </w:tc>
        <w:tc>
          <w:tcPr>
            <w:tcW w:w="49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kern w:val="0"/>
                <w:sz w:val="24"/>
                <w:szCs w:val="24"/>
                <w:highlight w:val="none"/>
                <w:u w:val="none"/>
                <w:lang w:val="en-US" w:eastAsia="zh-CN" w:bidi="ar"/>
              </w:rPr>
            </w:pPr>
            <w:r>
              <w:rPr>
                <w:rFonts w:hint="eastAsia" w:ascii="黑体" w:hAnsi="宋体" w:eastAsia="黑体" w:cs="黑体"/>
                <w:i w:val="0"/>
                <w:color w:val="auto"/>
                <w:w w:val="9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0" w:hRule="atLeast"/>
          <w:jc w:val="center"/>
        </w:trPr>
        <w:tc>
          <w:tcPr>
            <w:tcW w:w="788"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一级指标</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二级指标</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三级指标</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auto"/>
                <w:w w:val="90"/>
                <w:sz w:val="24"/>
                <w:szCs w:val="24"/>
                <w:highlight w:val="none"/>
                <w:u w:val="none"/>
              </w:rPr>
            </w:pPr>
            <w:r>
              <w:rPr>
                <w:rFonts w:hint="eastAsia" w:ascii="黑体" w:hAnsi="宋体" w:eastAsia="黑体" w:cs="黑体"/>
                <w:i w:val="0"/>
                <w:color w:val="auto"/>
                <w:w w:val="90"/>
                <w:kern w:val="0"/>
                <w:sz w:val="24"/>
                <w:szCs w:val="24"/>
                <w:highlight w:val="none"/>
                <w:u w:val="none"/>
                <w:lang w:val="en-US" w:eastAsia="zh-CN" w:bidi="ar"/>
              </w:rPr>
              <w:t>指标</w:t>
            </w:r>
            <w:r>
              <w:rPr>
                <w:rFonts w:hint="eastAsia" w:ascii="黑体" w:hAnsi="宋体" w:eastAsia="黑体" w:cs="黑体"/>
                <w:i w:val="0"/>
                <w:color w:val="auto"/>
                <w:w w:val="90"/>
                <w:kern w:val="0"/>
                <w:sz w:val="24"/>
                <w:szCs w:val="24"/>
                <w:highlight w:val="none"/>
                <w:u w:val="none"/>
                <w:lang w:val="en-US" w:eastAsia="zh-CN" w:bidi="ar"/>
              </w:rPr>
              <w:br w:type="textWrapping"/>
            </w:r>
            <w:r>
              <w:rPr>
                <w:rFonts w:hint="eastAsia" w:ascii="黑体" w:hAnsi="宋体" w:eastAsia="黑体" w:cs="黑体"/>
                <w:i w:val="0"/>
                <w:color w:val="auto"/>
                <w:w w:val="90"/>
                <w:kern w:val="0"/>
                <w:sz w:val="24"/>
                <w:szCs w:val="24"/>
                <w:highlight w:val="none"/>
                <w:u w:val="none"/>
                <w:lang w:val="en-US" w:eastAsia="zh-CN" w:bidi="ar"/>
              </w:rPr>
              <w:t>分值</w:t>
            </w:r>
          </w:p>
        </w:tc>
        <w:tc>
          <w:tcPr>
            <w:tcW w:w="3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w w:val="90"/>
                <w:sz w:val="24"/>
                <w:szCs w:val="24"/>
                <w:highlight w:val="none"/>
                <w:u w:val="none"/>
              </w:rPr>
            </w:pPr>
          </w:p>
        </w:tc>
        <w:tc>
          <w:tcPr>
            <w:tcW w:w="8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w w:val="90"/>
                <w:sz w:val="24"/>
                <w:szCs w:val="24"/>
                <w:highlight w:val="none"/>
                <w:u w:val="none"/>
              </w:rPr>
            </w:pPr>
          </w:p>
        </w:tc>
        <w:tc>
          <w:tcPr>
            <w:tcW w:w="49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auto"/>
                <w:w w:val="9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35" w:hRule="atLeast"/>
          <w:jc w:val="center"/>
        </w:trPr>
        <w:tc>
          <w:tcPr>
            <w:tcW w:w="7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总体绩效</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（65分）</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履职效能</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（15分）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重点工作完成情况、资金使用规范及社会效益履职效果</w:t>
            </w:r>
          </w:p>
        </w:tc>
        <w:tc>
          <w:tcPr>
            <w:tcW w:w="49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15</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部门整体绩效目标中选定3-5个核心职能目标，反映该项职能目标完成效果情况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14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预算管理</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（25分）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预算编制质量</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8</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部门是否严格按要求编制年初部门预算，年初预算编制的科学性和准确性</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color w:val="auto"/>
                <w:w w:val="90"/>
                <w:highlight w:val="none"/>
                <w:lang w:val="en-US" w:eastAsia="zh-CN"/>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单位收入统筹</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部门统筹自有收入程度</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支出执行进度</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6</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部门1至6月、1至10月预算执行情况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4.35</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预算年终结余</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2</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部门整体年终预算结余情况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2</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6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严控一般性支出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5</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部门严控“三公”经费、会议、培训、差旅、办节办展、办公设备购置、信息网络及软件购置更新、课题经费等8项一般性支出情况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0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财务管理</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（10分）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财务管理制度</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部门财务管理制度建立情况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财务岗位设置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2</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部门财务岗位设置是否符合相关财务管理制度要求</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2</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资金使用规范</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部门资金使用是否符合相关财务管理制度规定</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资产管理</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（9分）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人均资产变化率</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部门人均资产变化情况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资产利用率</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部门资产超最低使用年限情况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00" w:hRule="atLeast"/>
          <w:jc w:val="center"/>
        </w:trPr>
        <w:tc>
          <w:tcPr>
            <w:tcW w:w="7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总体绩效</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（65分）</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资产管理</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（9分）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资产盘活率</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部门闲置一年以上的资产盘活情况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采购管理</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（6分）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支持中小企业发展</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部门是否严格执行政府采购促进中小企业发展相关管理办法</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5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采购执行率</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部门政府采购项目资金支付比例情况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5" w:hRule="atLeast"/>
          <w:jc w:val="center"/>
        </w:trPr>
        <w:tc>
          <w:tcPr>
            <w:tcW w:w="7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项目绩效</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（35分）</w:t>
            </w:r>
          </w:p>
        </w:tc>
        <w:tc>
          <w:tcPr>
            <w:tcW w:w="789"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项目决策</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（12分）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决策程序</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部门预算项目设立是否按规定履行评估论证、申报程序</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3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目标设置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部门预算项目绩效目标与计划期内的任务量、预算安排的资金量匹配情况，绩效目标设置是否科学合理、规范完整、量化细化、预算匹配</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项目入库</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部门预算项目是否在规定时间完成项目入库</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项目执行</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（12分）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执行同向</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部门预算项目实际列支内容是否与绩效目标设置方向相符</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项目调整</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部门预算项目是否采取对应调整措施</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执行结果</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部门预算项目预算执行情况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4</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目标实现</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（11分）</w:t>
            </w: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目标完成</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部门预算项目绩效目标数量指标完成情况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目标偏离</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4</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部门预算项目绩效目标数量指标实现程度与预期目标的偏离情况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3</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5" w:hRule="atLeast"/>
          <w:jc w:val="center"/>
        </w:trPr>
        <w:tc>
          <w:tcPr>
            <w:tcW w:w="7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auto"/>
                <w:w w:val="90"/>
                <w:sz w:val="24"/>
                <w:szCs w:val="24"/>
                <w:highlight w:val="none"/>
                <w:u w:val="none"/>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实现效果</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3</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部门预算项目绩效目标效益指标实施效果</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2</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auto"/>
                <w:w w:val="90"/>
                <w:sz w:val="24"/>
                <w:szCs w:val="24"/>
                <w:highlight w:val="none"/>
                <w:u w:val="none"/>
              </w:rPr>
            </w:pPr>
            <w:r>
              <w:rPr>
                <w:rFonts w:hint="eastAsia" w:ascii="宋体" w:hAnsi="宋体" w:eastAsia="宋体" w:cs="宋体"/>
                <w:b/>
                <w:i w:val="0"/>
                <w:color w:val="auto"/>
                <w:w w:val="90"/>
                <w:kern w:val="0"/>
                <w:sz w:val="24"/>
                <w:szCs w:val="24"/>
                <w:highlight w:val="none"/>
                <w:u w:val="none"/>
                <w:lang w:val="en-US" w:eastAsia="zh-CN" w:bidi="ar"/>
              </w:rPr>
              <w:t>扣分项</w:t>
            </w:r>
            <w:r>
              <w:rPr>
                <w:rFonts w:hint="eastAsia" w:ascii="宋体" w:hAnsi="宋体" w:eastAsia="宋体" w:cs="宋体"/>
                <w:b/>
                <w:i w:val="0"/>
                <w:color w:val="auto"/>
                <w:w w:val="90"/>
                <w:kern w:val="0"/>
                <w:sz w:val="24"/>
                <w:szCs w:val="24"/>
                <w:highlight w:val="none"/>
                <w:u w:val="none"/>
                <w:lang w:val="en-US" w:eastAsia="zh-CN" w:bidi="ar"/>
              </w:rPr>
              <w:br w:type="textWrapping"/>
            </w:r>
            <w:r>
              <w:rPr>
                <w:rFonts w:hint="eastAsia" w:ascii="宋体" w:hAnsi="宋体" w:eastAsia="宋体" w:cs="宋体"/>
                <w:b/>
                <w:i w:val="0"/>
                <w:color w:val="auto"/>
                <w:w w:val="90"/>
                <w:kern w:val="0"/>
                <w:sz w:val="24"/>
                <w:szCs w:val="24"/>
                <w:highlight w:val="none"/>
                <w:u w:val="none"/>
                <w:lang w:val="en-US" w:eastAsia="zh-CN" w:bidi="ar"/>
              </w:rPr>
              <w:t>（10分）</w:t>
            </w:r>
          </w:p>
        </w:tc>
        <w:tc>
          <w:tcPr>
            <w:tcW w:w="26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被评价部门配合度</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w:t>
            </w:r>
          </w:p>
        </w:tc>
        <w:tc>
          <w:tcPr>
            <w:tcW w:w="37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sz w:val="24"/>
                <w:szCs w:val="24"/>
                <w:highlight w:val="none"/>
                <w:u w:val="none"/>
              </w:rPr>
            </w:pPr>
            <w:r>
              <w:rPr>
                <w:rFonts w:hint="eastAsia" w:ascii="宋体" w:hAnsi="宋体" w:eastAsia="宋体" w:cs="宋体"/>
                <w:i w:val="0"/>
                <w:color w:val="auto"/>
                <w:w w:val="90"/>
                <w:kern w:val="0"/>
                <w:sz w:val="24"/>
                <w:szCs w:val="24"/>
                <w:highlight w:val="none"/>
                <w:u w:val="none"/>
                <w:lang w:val="en-US" w:eastAsia="zh-CN" w:bidi="ar"/>
              </w:rPr>
              <w:t>被评价对象工作配合情况</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7" w:hRule="atLeast"/>
          <w:jc w:val="center"/>
        </w:trPr>
        <w:tc>
          <w:tcPr>
            <w:tcW w:w="77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合计</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auto"/>
                <w:w w:val="90"/>
                <w:kern w:val="0"/>
                <w:sz w:val="24"/>
                <w:szCs w:val="24"/>
                <w:highlight w:val="none"/>
                <w:u w:val="none"/>
                <w:lang w:val="en-US" w:eastAsia="zh-CN" w:bidi="ar"/>
              </w:rPr>
            </w:pPr>
            <w:r>
              <w:rPr>
                <w:rFonts w:hint="eastAsia" w:ascii="宋体" w:hAnsi="宋体" w:eastAsia="宋体" w:cs="宋体"/>
                <w:i w:val="0"/>
                <w:color w:val="auto"/>
                <w:w w:val="90"/>
                <w:kern w:val="0"/>
                <w:sz w:val="24"/>
                <w:szCs w:val="24"/>
                <w:highlight w:val="none"/>
                <w:u w:val="none"/>
                <w:lang w:val="en-US" w:eastAsia="zh-CN" w:bidi="ar"/>
              </w:rPr>
              <w:t>89.35</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w w:val="90"/>
                <w:kern w:val="0"/>
                <w:sz w:val="24"/>
                <w:szCs w:val="24"/>
                <w:highlight w:val="none"/>
                <w:u w:val="none"/>
                <w:lang w:val="en-US" w:eastAsia="zh-CN" w:bidi="ar"/>
              </w:rPr>
            </w:pPr>
          </w:p>
        </w:tc>
      </w:tr>
    </w:tbl>
    <w:p>
      <w:pPr>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br w:type="page"/>
      </w:r>
    </w:p>
    <w:p>
      <w:pPr>
        <w:rPr>
          <w:rFonts w:hint="eastAsia" w:ascii="黑体" w:hAnsi="黑体" w:eastAsia="黑体" w:cs="黑体"/>
          <w:kern w:val="2"/>
          <w:sz w:val="32"/>
          <w:szCs w:val="24"/>
          <w:highlight w:val="none"/>
          <w:lang w:val="en-US" w:eastAsia="zh-CN" w:bidi="ar-SA"/>
        </w:rPr>
      </w:pPr>
      <w:r>
        <w:rPr>
          <w:rFonts w:hint="eastAsia" w:ascii="黑体" w:hAnsi="黑体" w:eastAsia="黑体" w:cs="黑体"/>
          <w:kern w:val="2"/>
          <w:sz w:val="32"/>
          <w:szCs w:val="24"/>
          <w:highlight w:val="none"/>
          <w:lang w:val="en-US" w:eastAsia="zh-CN" w:bidi="ar-SA"/>
        </w:rPr>
        <w:t>附表2</w:t>
      </w:r>
    </w:p>
    <w:tbl>
      <w:tblPr>
        <w:tblStyle w:val="21"/>
        <w:tblW w:w="1056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603"/>
        <w:gridCol w:w="869"/>
        <w:gridCol w:w="1062"/>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highlight w:val="none"/>
                <w:u w:val="none"/>
              </w:rPr>
            </w:pPr>
            <w:r>
              <w:rPr>
                <w:rFonts w:hint="default" w:ascii="Times New Roman" w:hAnsi="Times New Roman" w:eastAsia="方正小标宋简体" w:cs="Times New Roman"/>
                <w:i w:val="0"/>
                <w:color w:val="000000"/>
                <w:kern w:val="0"/>
                <w:sz w:val="44"/>
                <w:szCs w:val="44"/>
                <w:highlight w:val="none"/>
                <w:u w:val="none"/>
                <w:lang w:val="en-US" w:eastAsia="zh-CN" w:bidi="ar"/>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highlight w:val="none"/>
                <w:u w:val="none"/>
              </w:rPr>
            </w:pPr>
            <w:r>
              <w:rPr>
                <w:rFonts w:hint="default" w:ascii="Times New Roman" w:hAnsi="Times New Roman" w:eastAsia="宋体" w:cs="Times New Roman"/>
                <w:i w:val="0"/>
                <w:color w:val="000000"/>
                <w:kern w:val="0"/>
                <w:sz w:val="28"/>
                <w:szCs w:val="28"/>
                <w:highlight w:val="none"/>
                <w:u w:val="none"/>
                <w:lang w:val="en-US" w:eastAsia="zh-CN" w:bidi="ar"/>
              </w:rPr>
              <w:t>（</w:t>
            </w:r>
            <w:r>
              <w:rPr>
                <w:rFonts w:hint="eastAsia" w:eastAsia="宋体" w:cs="Times New Roman"/>
                <w:i w:val="0"/>
                <w:color w:val="000000"/>
                <w:kern w:val="0"/>
                <w:sz w:val="28"/>
                <w:szCs w:val="28"/>
                <w:highlight w:val="none"/>
                <w:u w:val="none"/>
                <w:lang w:val="en-US" w:eastAsia="zh-CN" w:bidi="ar"/>
              </w:rPr>
              <w:t>2025年</w:t>
            </w:r>
            <w:r>
              <w:rPr>
                <w:rFonts w:hint="default" w:ascii="Times New Roman" w:hAnsi="Times New Roman" w:eastAsia="宋体" w:cs="Times New Roman"/>
                <w:i w:val="0"/>
                <w:color w:val="000000"/>
                <w:kern w:val="0"/>
                <w:sz w:val="28"/>
                <w:szCs w:val="28"/>
                <w:highlight w:val="none"/>
                <w:u w:val="none"/>
                <w:lang w:val="en-US" w:eastAsia="zh-CN" w:bidi="ar"/>
              </w:rPr>
              <w:t>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kern w:val="0"/>
                <w:sz w:val="16"/>
                <w:szCs w:val="16"/>
                <w:highlight w:val="none"/>
                <w:u w:val="none"/>
                <w:lang w:val="en-US" w:eastAsia="zh-CN" w:bidi="ar"/>
              </w:rPr>
              <w:t>小金县文化广播电视体育和旅游局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资金总额</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财政拨款</w:t>
            </w:r>
          </w:p>
        </w:tc>
        <w:tc>
          <w:tcPr>
            <w:tcW w:w="41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lang w:val="en-US"/>
              </w:rPr>
            </w:pPr>
            <w:r>
              <w:rPr>
                <w:rFonts w:hint="eastAsia" w:eastAsia="宋体" w:cs="Times New Roman"/>
                <w:i w:val="0"/>
                <w:color w:val="000000"/>
                <w:kern w:val="0"/>
                <w:sz w:val="16"/>
                <w:szCs w:val="16"/>
                <w:highlight w:val="none"/>
                <w:u w:val="none"/>
                <w:lang w:val="en-US" w:eastAsia="zh-CN" w:bidi="ar"/>
              </w:rPr>
              <w:t>3199.83</w:t>
            </w:r>
          </w:p>
        </w:tc>
        <w:tc>
          <w:tcPr>
            <w:tcW w:w="2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lang w:val="en-US"/>
              </w:rPr>
            </w:pPr>
            <w:r>
              <w:rPr>
                <w:rFonts w:hint="eastAsia" w:eastAsia="宋体" w:cs="Times New Roman"/>
                <w:i w:val="0"/>
                <w:color w:val="000000"/>
                <w:kern w:val="0"/>
                <w:sz w:val="16"/>
                <w:szCs w:val="16"/>
                <w:highlight w:val="none"/>
                <w:u w:val="none"/>
                <w:lang w:val="en-US" w:eastAsia="zh-CN" w:bidi="ar"/>
              </w:rPr>
              <w:t>3199.83</w:t>
            </w:r>
          </w:p>
        </w:tc>
        <w:tc>
          <w:tcPr>
            <w:tcW w:w="41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lang w:val="en-US"/>
              </w:rPr>
            </w:pPr>
            <w:r>
              <w:rPr>
                <w:rFonts w:hint="eastAsia" w:eastAsia="宋体" w:cs="Times New Roman"/>
                <w:i w:val="0"/>
                <w:color w:val="000000"/>
                <w:kern w:val="0"/>
                <w:sz w:val="16"/>
                <w:szCs w:val="16"/>
                <w:highlight w:val="none"/>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完成县委、县政府交办的各项工作任务以和日常工作任务以及群众文化、旅游、体育、</w:t>
            </w:r>
            <w:r>
              <w:rPr>
                <w:rFonts w:hint="eastAsia" w:eastAsia="宋体" w:cs="Times New Roman"/>
                <w:i w:val="0"/>
                <w:color w:val="000000"/>
                <w:kern w:val="0"/>
                <w:sz w:val="16"/>
                <w:szCs w:val="16"/>
                <w:highlight w:val="none"/>
                <w:u w:val="none"/>
                <w:lang w:val="en-US" w:eastAsia="zh-CN" w:bidi="ar"/>
              </w:rPr>
              <w:t>户外、</w:t>
            </w:r>
            <w:r>
              <w:rPr>
                <w:rFonts w:hint="default" w:ascii="Times New Roman" w:hAnsi="Times New Roman" w:eastAsia="宋体" w:cs="Times New Roman"/>
                <w:i w:val="0"/>
                <w:color w:val="000000"/>
                <w:kern w:val="0"/>
                <w:sz w:val="16"/>
                <w:szCs w:val="16"/>
                <w:highlight w:val="none"/>
                <w:u w:val="none"/>
                <w:lang w:val="en-US" w:eastAsia="zh-CN" w:bidi="ar"/>
              </w:rPr>
              <w:t>文物保护、两馆免费开放、两河口博物纪念馆免费开放、文化市场执法等相关工作;完成日常工作任务、群众文化工作及两馆一站免开工作</w:t>
            </w:r>
            <w:r>
              <w:rPr>
                <w:rFonts w:hint="eastAsia" w:eastAsia="宋体" w:cs="Times New Roman"/>
                <w:i w:val="0"/>
                <w:color w:val="000000"/>
                <w:kern w:val="0"/>
                <w:sz w:val="16"/>
                <w:szCs w:val="16"/>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60"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完成基本人员经费</w:t>
            </w:r>
            <w:r>
              <w:rPr>
                <w:rFonts w:hint="eastAsia" w:eastAsia="宋体" w:cs="Times New Roman"/>
                <w:i w:val="0"/>
                <w:color w:val="auto"/>
                <w:kern w:val="0"/>
                <w:sz w:val="16"/>
                <w:szCs w:val="16"/>
                <w:highlight w:val="none"/>
                <w:u w:val="none"/>
                <w:lang w:val="en-US" w:eastAsia="zh-CN" w:bidi="ar"/>
              </w:rPr>
              <w:t>及公用经费</w:t>
            </w:r>
            <w:r>
              <w:rPr>
                <w:rFonts w:hint="default" w:ascii="Times New Roman" w:hAnsi="Times New Roman" w:eastAsia="宋体" w:cs="Times New Roman"/>
                <w:i w:val="0"/>
                <w:color w:val="auto"/>
                <w:kern w:val="0"/>
                <w:sz w:val="16"/>
                <w:szCs w:val="16"/>
                <w:highlight w:val="none"/>
                <w:u w:val="none"/>
                <w:lang w:val="en-US" w:eastAsia="zh-CN" w:bidi="ar"/>
              </w:rPr>
              <w:t>支出</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auto"/>
                <w:kern w:val="0"/>
                <w:sz w:val="16"/>
                <w:szCs w:val="16"/>
                <w:highlight w:val="none"/>
                <w:u w:val="none"/>
                <w:lang w:val="en-US" w:eastAsia="zh-CN" w:bidi="ar"/>
              </w:rPr>
              <w:t>保障单位基本支出和机构正常运转，提升机关效能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auto"/>
                <w:sz w:val="16"/>
                <w:szCs w:val="16"/>
                <w:highlight w:val="none"/>
                <w:u w:val="none"/>
              </w:rPr>
              <w:t>完成基本项目支出</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sz w:val="16"/>
                <w:szCs w:val="16"/>
                <w:highlight w:val="none"/>
                <w:u w:val="none"/>
              </w:rPr>
            </w:pPr>
            <w:r>
              <w:rPr>
                <w:rFonts w:hint="eastAsia" w:ascii="Times New Roman" w:hAnsi="Times New Roman" w:eastAsia="宋体" w:cs="Times New Roman"/>
                <w:i w:val="0"/>
                <w:color w:val="auto"/>
                <w:sz w:val="16"/>
                <w:szCs w:val="16"/>
                <w:highlight w:val="none"/>
                <w:u w:val="none"/>
                <w:lang w:eastAsia="zh-CN"/>
              </w:rPr>
              <w:t>按要求完成年度项目支出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二级指标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三级指标</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性质</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数量指标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免费开放文化场馆</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lang w:val="en-US"/>
              </w:rPr>
            </w:pPr>
            <w:r>
              <w:rPr>
                <w:rFonts w:hint="eastAsia" w:eastAsia="宋体" w:cs="Times New Roman"/>
                <w:i w:val="0"/>
                <w:color w:val="000000"/>
                <w:kern w:val="0"/>
                <w:sz w:val="16"/>
                <w:szCs w:val="16"/>
                <w:highlight w:val="none"/>
                <w:u w:val="none"/>
                <w:lang w:val="en-US" w:eastAsia="zh-CN" w:bidi="ar"/>
              </w:rPr>
              <w:t>22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kern w:val="0"/>
                <w:sz w:val="16"/>
                <w:szCs w:val="16"/>
                <w:highlight w:val="none"/>
                <w:u w:val="none"/>
                <w:lang w:val="en-US" w:eastAsia="zh-CN" w:bidi="ar"/>
              </w:rPr>
              <w:t>10</w:t>
            </w: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113" w:type="dxa"/>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6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免费开放体育场馆</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2"/>
                <w:sz w:val="16"/>
                <w:szCs w:val="16"/>
                <w:highlight w:val="none"/>
                <w:u w:val="none"/>
                <w:lang w:val="en-US" w:eastAsia="zh-CN" w:bidi="ar-SA"/>
              </w:rPr>
            </w:pP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2"/>
                <w:sz w:val="16"/>
                <w:szCs w:val="16"/>
                <w:highlight w:val="none"/>
                <w:u w:val="none"/>
                <w:lang w:val="en-US" w:eastAsia="zh-CN" w:bidi="ar-SA"/>
              </w:rPr>
            </w:pPr>
            <w:r>
              <w:rPr>
                <w:rFonts w:hint="eastAsia" w:eastAsia="宋体" w:cs="Times New Roman"/>
                <w:i w:val="0"/>
                <w:color w:val="000000"/>
                <w:kern w:val="0"/>
                <w:sz w:val="16"/>
                <w:szCs w:val="16"/>
                <w:highlight w:val="none"/>
                <w:u w:val="none"/>
                <w:lang w:val="en-US" w:eastAsia="zh-CN" w:bidi="ar"/>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2"/>
                <w:sz w:val="16"/>
                <w:szCs w:val="16"/>
                <w:highlight w:val="none"/>
                <w:u w:val="none"/>
                <w:lang w:val="en-US" w:eastAsia="zh-CN" w:bidi="ar-SA"/>
              </w:rPr>
            </w:pPr>
            <w:r>
              <w:rPr>
                <w:rFonts w:hint="eastAsia" w:eastAsia="宋体" w:cs="Times New Roman"/>
                <w:i w:val="0"/>
                <w:color w:val="000000"/>
                <w:sz w:val="16"/>
                <w:szCs w:val="16"/>
                <w:highlight w:val="none"/>
                <w:u w:val="none"/>
                <w:lang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2"/>
                <w:sz w:val="16"/>
                <w:szCs w:val="16"/>
                <w:highlight w:val="none"/>
                <w:u w:val="none"/>
                <w:lang w:val="en-US" w:eastAsia="zh-CN" w:bidi="ar-SA"/>
              </w:rPr>
            </w:pPr>
            <w:r>
              <w:rPr>
                <w:rFonts w:hint="eastAsia" w:eastAsia="宋体" w:cs="Times New Roman"/>
                <w:i w:val="0"/>
                <w:color w:val="000000"/>
                <w:kern w:val="0"/>
                <w:sz w:val="16"/>
                <w:szCs w:val="16"/>
                <w:highlight w:val="none"/>
                <w:u w:val="none"/>
                <w:lang w:val="en-US" w:eastAsia="zh-CN" w:bidi="ar"/>
              </w:rPr>
              <w:t>10</w:t>
            </w: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3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质量指标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按质按量完成全年工作任务</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kern w:val="0"/>
                <w:sz w:val="16"/>
                <w:szCs w:val="16"/>
                <w:highlight w:val="none"/>
                <w:u w:val="none"/>
                <w:lang w:val="en-US" w:eastAsia="zh-CN" w:bidi="ar"/>
              </w:rPr>
              <w:t>定性</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9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时效指标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全年开放</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345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bidi w:val="0"/>
              <w:jc w:val="center"/>
              <w:rPr>
                <w:rFonts w:hint="default" w:ascii="Times New Roman" w:hAnsi="Times New Roman" w:eastAsia="仿宋_GB2312" w:cs="Times New Roman"/>
                <w:kern w:val="2"/>
                <w:sz w:val="20"/>
                <w:szCs w:val="16"/>
                <w:highlight w:val="none"/>
                <w:lang w:val="en-US" w:eastAsia="zh-CN" w:bidi="ar-SA"/>
              </w:rPr>
            </w:pPr>
            <w:r>
              <w:rPr>
                <w:rFonts w:hint="eastAsia" w:cs="Times New Roman"/>
                <w:kern w:val="2"/>
                <w:sz w:val="20"/>
                <w:szCs w:val="16"/>
                <w:highlight w:val="none"/>
                <w:lang w:val="en-US" w:eastAsia="zh-CN" w:bidi="ar-SA"/>
              </w:rPr>
              <w:t>天</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8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16"/>
                <w:szCs w:val="16"/>
                <w:highlight w:val="none"/>
                <w:u w:val="none"/>
                <w:lang w:val="en-US" w:eastAsia="zh-CN" w:bidi="ar"/>
              </w:rPr>
            </w:pPr>
            <w:r>
              <w:rPr>
                <w:rFonts w:hint="default" w:ascii="Times New Roman" w:hAnsi="Times New Roman" w:eastAsia="宋体" w:cs="Times New Roman"/>
                <w:i w:val="0"/>
                <w:color w:val="000000"/>
                <w:kern w:val="0"/>
                <w:sz w:val="16"/>
                <w:szCs w:val="16"/>
                <w:highlight w:val="none"/>
                <w:u w:val="none"/>
                <w:lang w:val="en-US" w:eastAsia="zh-CN" w:bidi="ar"/>
              </w:rPr>
              <w:t>社会效益</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eastAsia" w:ascii="Times New Roman" w:hAnsi="Times New Roman" w:eastAsia="宋体" w:cs="Times New Roman"/>
                <w:i w:val="0"/>
                <w:color w:val="000000"/>
                <w:sz w:val="16"/>
                <w:szCs w:val="16"/>
                <w:highlight w:val="none"/>
                <w:u w:val="none"/>
                <w:lang w:eastAsia="zh-CN"/>
              </w:rPr>
            </w:pPr>
            <w:r>
              <w:rPr>
                <w:rFonts w:hint="default" w:ascii="Times New Roman" w:hAnsi="Times New Roman" w:eastAsia="宋体" w:cs="Times New Roman"/>
                <w:i w:val="0"/>
                <w:color w:val="000000"/>
                <w:sz w:val="16"/>
                <w:szCs w:val="16"/>
                <w:highlight w:val="none"/>
                <w:u w:val="none"/>
              </w:rPr>
              <w:t>丰富群众精神文化生活，提高群众身体素质，促进文化旅游，丰富景区文化，提高游客的旅游体验</w:t>
            </w:r>
            <w:r>
              <w:rPr>
                <w:rFonts w:hint="eastAsia" w:eastAsia="宋体" w:cs="Times New Roman"/>
                <w:i w:val="0"/>
                <w:color w:val="000000"/>
                <w:sz w:val="16"/>
                <w:szCs w:val="16"/>
                <w:highlight w:val="none"/>
                <w:u w:val="none"/>
                <w:lang w:eastAsia="zh-CN"/>
              </w:rPr>
              <w:t>。</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kern w:val="0"/>
                <w:sz w:val="16"/>
                <w:szCs w:val="16"/>
                <w:highlight w:val="none"/>
                <w:u w:val="none"/>
                <w:lang w:val="en-US" w:eastAsia="zh-CN" w:bidi="ar"/>
              </w:rPr>
              <w:t>定性</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显著提高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定性</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显著提高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5"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sz w:val="16"/>
                <w:szCs w:val="16"/>
                <w:highlight w:val="none"/>
                <w:u w:val="none"/>
                <w:lang w:val="en-US" w:eastAsia="zh-CN"/>
              </w:rPr>
              <w:t>可持续影响指标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sz w:val="16"/>
                <w:szCs w:val="16"/>
                <w:highlight w:val="none"/>
                <w:u w:val="none"/>
                <w:lang w:val="en-US" w:eastAsia="zh-CN"/>
              </w:rPr>
              <w:t>“纯净小金”品牌日益响亮；“旅游+”产业融合日趋成熟，公共文化服务体系不断完善</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r>
              <w:rPr>
                <w:rFonts w:hint="eastAsia" w:eastAsia="宋体" w:cs="Times New Roman"/>
                <w:i w:val="0"/>
                <w:color w:val="000000"/>
                <w:kern w:val="0"/>
                <w:sz w:val="16"/>
                <w:szCs w:val="16"/>
                <w:highlight w:val="none"/>
                <w:u w:val="none"/>
                <w:lang w:val="en-US" w:eastAsia="zh-CN" w:bidi="ar"/>
              </w:rPr>
              <w:t>定性</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显著提高</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定性</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eastAsia="zh-CN"/>
              </w:rPr>
            </w:pPr>
            <w:r>
              <w:rPr>
                <w:rFonts w:hint="eastAsia" w:eastAsia="宋体" w:cs="Times New Roman"/>
                <w:i w:val="0"/>
                <w:color w:val="000000"/>
                <w:sz w:val="16"/>
                <w:szCs w:val="16"/>
                <w:highlight w:val="none"/>
                <w:u w:val="none"/>
                <w:lang w:eastAsia="zh-CN"/>
              </w:rPr>
              <w:t>显著提高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05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满意度指标</w:t>
            </w:r>
          </w:p>
        </w:tc>
        <w:tc>
          <w:tcPr>
            <w:tcW w:w="16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sz w:val="16"/>
                <w:szCs w:val="16"/>
                <w:highlight w:val="none"/>
                <w:u w:val="none"/>
              </w:rPr>
              <w:t>群众非常满意</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rPr>
            </w:pPr>
            <w:r>
              <w:rPr>
                <w:rFonts w:hint="default" w:ascii="Times New Roman" w:hAnsi="Times New Roman" w:eastAsia="宋体" w:cs="Times New Roman"/>
                <w:i w:val="0"/>
                <w:color w:val="000000"/>
                <w:kern w:val="0"/>
                <w:sz w:val="16"/>
                <w:szCs w:val="16"/>
                <w:highlight w:val="none"/>
                <w:u w:val="none"/>
                <w:lang w:val="en-US" w:eastAsia="zh-CN" w:bidi="ar"/>
              </w:rPr>
              <w:t>≥</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sz w:val="16"/>
                <w:szCs w:val="16"/>
                <w:highlight w:val="none"/>
                <w:u w:val="none"/>
                <w:lang w:val="en-US" w:eastAsia="zh-CN"/>
              </w:rPr>
            </w:pPr>
            <w:r>
              <w:rPr>
                <w:rFonts w:hint="eastAsia" w:eastAsia="宋体" w:cs="Times New Roman"/>
                <w:i w:val="0"/>
                <w:color w:val="000000"/>
                <w:sz w:val="16"/>
                <w:szCs w:val="16"/>
                <w:highlight w:val="none"/>
                <w:u w:val="none"/>
                <w:lang w:val="en-US" w:eastAsia="zh-CN"/>
              </w:rPr>
              <w:t>95%</w:t>
            </w:r>
          </w:p>
        </w:tc>
      </w:tr>
    </w:tbl>
    <w:p>
      <w:pPr>
        <w:rPr>
          <w:rFonts w:hint="default"/>
          <w:highlight w:val="none"/>
          <w:lang w:val="en-US" w:eastAsia="zh-CN"/>
        </w:rPr>
      </w:pP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56" w:lineRule="exact"/>
        <w:ind w:left="0" w:right="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p>
    <w:p>
      <w:pPr>
        <w:pStyle w:val="7"/>
        <w:pageBreakBefore w:val="0"/>
        <w:kinsoku/>
        <w:bidi w:val="0"/>
        <w:spacing w:beforeLines="0" w:line="500" w:lineRule="exact"/>
        <w:ind w:left="0" w:leftChars="0" w:right="0"/>
        <w:rPr>
          <w:rFonts w:hint="eastAsia" w:hAnsi="宋体" w:cs="宋体"/>
          <w:color w:val="auto"/>
          <w:kern w:val="0"/>
          <w:sz w:val="32"/>
          <w:szCs w:val="32"/>
          <w:highlight w:val="none"/>
          <w:shd w:val="clear" w:color="auto" w:fill="FFFFFF"/>
          <w:lang w:val="zh-CN"/>
        </w:rPr>
      </w:pPr>
    </w:p>
    <w:p>
      <w:pPr>
        <w:pStyle w:val="7"/>
        <w:pageBreakBefore w:val="0"/>
        <w:kinsoku/>
        <w:bidi w:val="0"/>
        <w:spacing w:beforeLines="0" w:line="500" w:lineRule="exact"/>
        <w:ind w:left="0" w:leftChars="0" w:right="0"/>
        <w:rPr>
          <w:rFonts w:hint="eastAsia" w:hAnsi="宋体" w:cs="宋体"/>
          <w:color w:val="auto"/>
          <w:kern w:val="0"/>
          <w:sz w:val="32"/>
          <w:szCs w:val="32"/>
          <w:highlight w:val="none"/>
          <w:shd w:val="clear" w:color="auto" w:fill="FFFFFF"/>
          <w:lang w:val="zh-CN"/>
        </w:rPr>
      </w:pPr>
    </w:p>
    <w:p>
      <w:pPr>
        <w:pStyle w:val="37"/>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37"/>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default" w:ascii="方正小标宋简体" w:hAnsi="方正小标宋简体" w:eastAsia="方正小标宋简体" w:cs="方正小标宋简体"/>
          <w:sz w:val="44"/>
          <w:szCs w:val="44"/>
          <w:lang w:val="en-US" w:eastAsia="zh-CN"/>
        </w:rPr>
      </w:pPr>
    </w:p>
    <w:p>
      <w:pPr>
        <w:pStyle w:val="3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小金县文化广播电视体育和旅游局</w:t>
      </w:r>
    </w:p>
    <w:p>
      <w:pPr>
        <w:pStyle w:val="3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sz w:val="44"/>
          <w:szCs w:val="44"/>
          <w:lang w:val="en-US" w:eastAsia="zh-CN"/>
        </w:rPr>
        <w:t>“三区计划”文旅工作者专项资金</w:t>
      </w:r>
      <w:r>
        <w:rPr>
          <w:rFonts w:hint="eastAsia" w:ascii="方正小标宋简体" w:hAnsi="方正小标宋简体" w:eastAsia="方正小标宋简体" w:cs="方正小标宋简体"/>
          <w:color w:val="auto"/>
          <w:kern w:val="2"/>
          <w:sz w:val="44"/>
          <w:szCs w:val="44"/>
          <w:highlight w:val="none"/>
          <w:lang w:val="en-US" w:eastAsia="zh-CN"/>
        </w:rPr>
        <w:t>项目绩效评价报告</w:t>
      </w:r>
    </w:p>
    <w:p>
      <w:pPr>
        <w:pStyle w:val="3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37"/>
        <w:keepNext w:val="0"/>
        <w:keepLines w:val="0"/>
        <w:pageBreakBefore w:val="0"/>
        <w:widowControl w:val="0"/>
        <w:kinsoku/>
        <w:wordWrap/>
        <w:overflowPunct/>
        <w:topLinePunct w:val="0"/>
        <w:autoSpaceDE/>
        <w:autoSpaceDN/>
        <w:bidi w:val="0"/>
        <w:spacing w:line="560" w:lineRule="exact"/>
        <w:ind w:left="0" w:leftChars="0" w:firstLine="640" w:firstLineChars="200"/>
        <w:jc w:val="left"/>
        <w:textAlignment w:val="auto"/>
        <w:rPr>
          <w:rFonts w:hint="eastAsia" w:ascii="宋体" w:hAnsi="宋体" w:eastAsia="宋体"/>
          <w:color w:val="auto"/>
          <w:kern w:val="2"/>
          <w:sz w:val="32"/>
          <w:szCs w:val="32"/>
          <w:highlight w:val="none"/>
          <w:lang w:val="en-US" w:eastAsia="zh-CN"/>
        </w:rPr>
      </w:pPr>
      <w:r>
        <w:rPr>
          <w:rFonts w:hint="eastAsia" w:ascii="仿宋_GB2312" w:hAnsi="仿宋_GB2312" w:eastAsia="仿宋_GB2312" w:cs="仿宋_GB2312"/>
          <w:b w:val="0"/>
          <w:bCs/>
          <w:color w:val="auto"/>
          <w:kern w:val="2"/>
          <w:sz w:val="32"/>
          <w:szCs w:val="32"/>
          <w:lang w:val="en-US" w:eastAsia="zh-CN" w:bidi="ar-SA"/>
        </w:rPr>
        <w:t>为全面提升小金县公共文化服务水平，充实基层文旅工作力量，我局扎实推进，严格规范专项资金管理使用，切实发挥资金使用效益。根据绩效评价相关工作要求，现将本项目绩效评价情况报告如下。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b w:val="0"/>
          <w:bCs/>
          <w:sz w:val="32"/>
          <w:szCs w:val="32"/>
          <w:lang w:val="en-US" w:eastAsia="zh-CN"/>
        </w:rPr>
        <w:t>为进一步补齐小金县文旅人才短板，夯实公共文化服务基础，我局组织实施“三区计划”文旅工作者招募项目。本项目共计招募文旅工作者18名，具体划分为三个类别：红色旅游人才5名、“乌兰牧骑”演出队人才10名、自主招募人员3名。我局作为项目实施主体，全面负责人员招募选拔、专项资金规范管理及招募人员日常履职监管等工作，确保项目落地见效。</w:t>
      </w:r>
    </w:p>
    <w:p>
      <w:pPr>
        <w:keepNext w:val="0"/>
        <w:keepLines w:val="0"/>
        <w:pageBreakBefore w:val="0"/>
        <w:kinsoku/>
        <w:wordWrap/>
        <w:overflowPunct/>
        <w:topLinePunct w:val="0"/>
        <w:autoSpaceDE/>
        <w:autoSpaceDN/>
        <w:bidi w:val="0"/>
        <w:spacing w:line="560" w:lineRule="exact"/>
        <w:ind w:left="0" w:right="0" w:firstLine="643" w:firstLineChars="200"/>
        <w:jc w:val="both"/>
        <w:textAlignment w:val="auto"/>
        <w:rPr>
          <w:rFonts w:hint="eastAsia" w:ascii="仿宋_GB2312" w:hAnsi="仿宋_GB2312" w:eastAsia="仿宋_GB2312" w:cs="仿宋_GB2312"/>
          <w:b w:val="0"/>
          <w:bCs/>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b w:val="0"/>
          <w:bCs/>
          <w:sz w:val="32"/>
          <w:szCs w:val="32"/>
          <w:lang w:val="en-US" w:eastAsia="zh-CN"/>
        </w:rPr>
        <w:t>本项目专项资金实行报账制管理，严格遵循资金报销审批程序，全面执行政府会计制度相关要求。财务人员严格恪守单位财务管理规定，对项目资金实施专项核算、专款专用，确保资金精准投向文旅人才招募领域，为小金县文化事业高质量发展提供人才支撑。</w:t>
      </w:r>
    </w:p>
    <w:p>
      <w:pPr>
        <w:keepNext w:val="0"/>
        <w:keepLines w:val="0"/>
        <w:pageBreakBefore w:val="0"/>
        <w:kinsoku/>
        <w:wordWrap/>
        <w:overflowPunct/>
        <w:topLinePunct w:val="0"/>
        <w:autoSpaceDE/>
        <w:autoSpaceDN/>
        <w:bidi w:val="0"/>
        <w:spacing w:line="560" w:lineRule="exact"/>
        <w:ind w:left="0" w:right="0" w:firstLine="643" w:firstLineChars="200"/>
        <w:jc w:val="both"/>
        <w:textAlignment w:val="auto"/>
        <w:rPr>
          <w:rFonts w:hint="eastAsia" w:ascii="仿宋_GB2312" w:hAnsi="仿宋_GB2312" w:eastAsia="仿宋_GB2312" w:cs="仿宋_GB2312"/>
          <w:b w:val="0"/>
          <w:bCs/>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（三）预算安排及分配管理。</w:t>
      </w:r>
      <w:r>
        <w:rPr>
          <w:rFonts w:hint="eastAsia" w:ascii="仿宋_GB2312" w:hAnsi="仿宋_GB2312" w:eastAsia="仿宋_GB2312" w:cs="仿宋_GB2312"/>
          <w:b w:val="0"/>
          <w:bCs/>
          <w:color w:val="auto"/>
          <w:kern w:val="2"/>
          <w:sz w:val="32"/>
          <w:szCs w:val="32"/>
          <w:lang w:val="zh-CN" w:eastAsia="zh-CN" w:bidi="ar-SA"/>
        </w:rPr>
        <w:t>根据阿州财教〔202</w:t>
      </w:r>
      <w:r>
        <w:rPr>
          <w:rFonts w:hint="eastAsia" w:ascii="仿宋_GB2312" w:hAnsi="仿宋_GB2312" w:cs="仿宋_GB2312"/>
          <w:b w:val="0"/>
          <w:bCs/>
          <w:color w:val="auto"/>
          <w:kern w:val="2"/>
          <w:sz w:val="32"/>
          <w:szCs w:val="32"/>
          <w:lang w:val="zh-CN" w:eastAsia="zh-CN" w:bidi="ar-SA"/>
        </w:rPr>
        <w:t>5</w:t>
      </w:r>
      <w:r>
        <w:rPr>
          <w:rFonts w:hint="eastAsia" w:ascii="仿宋_GB2312" w:hAnsi="仿宋_GB2312" w:eastAsia="仿宋_GB2312" w:cs="仿宋_GB2312"/>
          <w:b w:val="0"/>
          <w:bCs/>
          <w:color w:val="auto"/>
          <w:kern w:val="2"/>
          <w:sz w:val="32"/>
          <w:szCs w:val="32"/>
          <w:lang w:val="zh-CN" w:eastAsia="zh-CN" w:bidi="ar-SA"/>
        </w:rPr>
        <w:t>〕</w:t>
      </w:r>
      <w:r>
        <w:rPr>
          <w:rFonts w:hint="eastAsia" w:ascii="仿宋_GB2312" w:hAnsi="仿宋_GB2312" w:cs="仿宋_GB2312"/>
          <w:b w:val="0"/>
          <w:bCs/>
          <w:color w:val="auto"/>
          <w:kern w:val="2"/>
          <w:sz w:val="32"/>
          <w:szCs w:val="32"/>
          <w:lang w:val="zh-CN" w:eastAsia="zh-CN" w:bidi="ar-SA"/>
        </w:rPr>
        <w:t>11</w:t>
      </w:r>
      <w:r>
        <w:rPr>
          <w:rFonts w:hint="eastAsia" w:ascii="仿宋_GB2312" w:hAnsi="仿宋_GB2312" w:eastAsia="仿宋_GB2312" w:cs="仿宋_GB2312"/>
          <w:b w:val="0"/>
          <w:bCs/>
          <w:sz w:val="32"/>
          <w:szCs w:val="32"/>
          <w:lang w:val="zh-CN" w:eastAsia="zh-CN"/>
        </w:rPr>
        <w:t>号公共文化服务体系建设资金及2025年文化人才专项经费相关文件精神，下达至小金县2025年中央文化人才专项资金合计36万元。小金县文化广播电视体育和旅游局严格执行财经纪律，坚持专款专用，2025年共支付三区人才经费41.89万元，全部用于招募人员工资发放。其中，19.24万元主要从阿州财教〔2024〕89号文化人才专项经费中列支。</w:t>
      </w:r>
    </w:p>
    <w:p>
      <w:pPr>
        <w:keepNext w:val="0"/>
        <w:keepLines w:val="0"/>
        <w:pageBreakBefore w:val="0"/>
        <w:kinsoku/>
        <w:wordWrap/>
        <w:overflowPunct/>
        <w:topLinePunct w:val="0"/>
        <w:autoSpaceDE/>
        <w:autoSpaceDN/>
        <w:bidi w:val="0"/>
        <w:spacing w:line="560" w:lineRule="exact"/>
        <w:ind w:left="0" w:right="0" w:firstLine="640" w:firstLineChars="200"/>
        <w:jc w:val="both"/>
        <w:textAlignment w:val="auto"/>
        <w:rPr>
          <w:rFonts w:hint="eastAsia" w:ascii="仿宋_GB2312" w:hAnsi="仿宋_GB2312" w:eastAsia="仿宋_GB2312" w:cs="仿宋_GB2312"/>
          <w:b w:val="0"/>
          <w:bCs/>
          <w:sz w:val="32"/>
          <w:szCs w:val="32"/>
          <w:lang w:val="zh-CN" w:eastAsia="zh-CN"/>
        </w:rPr>
      </w:pPr>
      <w:r>
        <w:rPr>
          <w:rFonts w:hint="eastAsia" w:ascii="仿宋_GB2312" w:hAnsi="仿宋_GB2312" w:eastAsia="仿宋_GB2312" w:cs="仿宋_GB2312"/>
          <w:b w:val="0"/>
          <w:bCs/>
          <w:sz w:val="32"/>
          <w:szCs w:val="32"/>
          <w:lang w:val="zh-CN" w:eastAsia="zh-CN"/>
        </w:rPr>
        <w:t>阿州财教〔2025〕11号公共文化服务体系建设资金剩余13.25万元，该资金计划用于2026年</w:t>
      </w:r>
      <w:r>
        <w:rPr>
          <w:rFonts w:hint="eastAsia" w:ascii="仿宋_GB2312" w:hAnsi="仿宋_GB2312" w:eastAsia="仿宋_GB2312" w:cs="仿宋_GB2312"/>
          <w:b w:val="0"/>
          <w:bCs/>
          <w:sz w:val="32"/>
          <w:szCs w:val="32"/>
          <w:lang w:val="en-US" w:eastAsia="zh-CN"/>
        </w:rPr>
        <w:t>“三区计划”项目</w:t>
      </w:r>
      <w:r>
        <w:rPr>
          <w:rFonts w:hint="eastAsia" w:ascii="仿宋_GB2312" w:hAnsi="仿宋_GB2312" w:eastAsia="仿宋_GB2312" w:cs="仿宋_GB2312"/>
          <w:b w:val="0"/>
          <w:bCs/>
          <w:sz w:val="32"/>
          <w:szCs w:val="32"/>
          <w:lang w:val="zh-CN" w:eastAsia="zh-CN"/>
        </w:rPr>
        <w:t>实施，将在2026年1-6月完成考核后，从账户予以发放。我局将严格按照资金使用管理办法，做好后续资金发放及使用管理工作。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default" w:ascii="仿宋_GB2312" w:hAnsi="仿宋_GB2312" w:eastAsia="仿宋_GB2312" w:cs="仿宋_GB2312"/>
          <w:b w:val="0"/>
          <w:bCs/>
          <w:sz w:val="32"/>
          <w:szCs w:val="32"/>
          <w:lang w:val="en-US"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sz w:val="32"/>
          <w:szCs w:val="32"/>
          <w:lang w:val="en-US" w:eastAsia="zh-CN"/>
        </w:rPr>
        <w:t>“三区计划”文旅工作者招募项目旨在开展文化人才招募工作，具体绩效目标为推进全县公共文化发展。该项目预算资金36万元，实际使用资金41.89万元。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kinsoku/>
        <w:wordWrap/>
        <w:overflowPunct/>
        <w:topLinePunct w:val="0"/>
        <w:autoSpaceDE/>
        <w:autoSpaceDN/>
        <w:bidi w:val="0"/>
        <w:spacing w:line="560" w:lineRule="exact"/>
        <w:ind w:left="0" w:right="0" w:firstLine="643" w:firstLineChars="200"/>
        <w:textAlignment w:val="auto"/>
        <w:rPr>
          <w:rFonts w:hint="default" w:eastAsia="仿宋_GB2312" w:cs="Times New Roman"/>
          <w:szCs w:val="32"/>
          <w:lang w:val="en-US"/>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b w:val="0"/>
          <w:bCs/>
          <w:sz w:val="32"/>
          <w:szCs w:val="32"/>
          <w:lang w:val="en-US" w:eastAsia="zh-CN"/>
        </w:rPr>
        <w:t>通过开展项目绩效自评工作，对项目实施全过程资金支付进行精准监督与管控，及时发现项目执行中的短板弱项，优化资金配置，切实提升财政资金使用效益，为后续同类项目实施提供参考依据。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cs="Times New Roman"/>
          <w:szCs w:val="32"/>
          <w:lang w:val="en-US"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sz w:val="32"/>
          <w:szCs w:val="32"/>
          <w:lang w:val="en-US" w:eastAsia="zh-CN"/>
        </w:rPr>
        <w:t>本次绩效评价聚焦资金使用规范性与人才作用发挥成效两大核心，重点核查资金是否严格按照管理规范列支，招募人才是否充分发挥专业优势，是否切实为小金县文化事业发展起到促进作用。</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仿宋_GB2312" w:hAnsi="仿宋_GB2312" w:eastAsia="仿宋_GB2312" w:cs="仿宋_GB2312"/>
          <w:b w:val="0"/>
          <w:bCs/>
          <w:sz w:val="32"/>
          <w:szCs w:val="32"/>
          <w:lang w:val="en-US"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 w:val="0"/>
          <w:bCs/>
          <w:sz w:val="32"/>
          <w:szCs w:val="32"/>
          <w:lang w:val="en-US" w:eastAsia="zh-CN"/>
        </w:rPr>
        <w:t>结合项目人员招募类别，选取三个重点类别作为评价点位开展绩效自评：</w:t>
      </w:r>
      <w:r>
        <w:rPr>
          <w:rFonts w:hint="eastAsia" w:ascii="仿宋_GB2312" w:hAnsi="仿宋_GB2312" w:eastAsia="仿宋_GB2312" w:cs="仿宋_GB2312"/>
          <w:b/>
          <w:bCs w:val="0"/>
          <w:sz w:val="32"/>
          <w:szCs w:val="32"/>
          <w:lang w:val="en-US" w:eastAsia="zh-CN"/>
        </w:rPr>
        <w:t>一是</w:t>
      </w:r>
      <w:r>
        <w:rPr>
          <w:rFonts w:hint="eastAsia" w:ascii="仿宋_GB2312" w:hAnsi="仿宋_GB2312" w:eastAsia="仿宋_GB2312" w:cs="仿宋_GB2312"/>
          <w:b w:val="0"/>
          <w:bCs/>
          <w:sz w:val="32"/>
          <w:szCs w:val="32"/>
          <w:lang w:val="en-US" w:eastAsia="zh-CN"/>
        </w:rPr>
        <w:t>红色旅游人才工作者5名；</w:t>
      </w:r>
      <w:r>
        <w:rPr>
          <w:rFonts w:hint="eastAsia" w:ascii="仿宋_GB2312" w:hAnsi="仿宋_GB2312" w:eastAsia="仿宋_GB2312" w:cs="仿宋_GB2312"/>
          <w:b/>
          <w:bCs w:val="0"/>
          <w:sz w:val="32"/>
          <w:szCs w:val="32"/>
          <w:lang w:val="en-US" w:eastAsia="zh-CN"/>
        </w:rPr>
        <w:t>二是</w:t>
      </w:r>
      <w:r>
        <w:rPr>
          <w:rFonts w:hint="eastAsia" w:ascii="仿宋_GB2312" w:hAnsi="仿宋_GB2312" w:eastAsia="仿宋_GB2312" w:cs="仿宋_GB2312"/>
          <w:b w:val="0"/>
          <w:bCs/>
          <w:sz w:val="32"/>
          <w:szCs w:val="32"/>
          <w:lang w:val="en-US" w:eastAsia="zh-CN"/>
        </w:rPr>
        <w:t>“乌兰牧骑”演出队人才10名；</w:t>
      </w:r>
      <w:r>
        <w:rPr>
          <w:rFonts w:hint="eastAsia" w:ascii="仿宋_GB2312" w:hAnsi="仿宋_GB2312" w:eastAsia="仿宋_GB2312" w:cs="仿宋_GB2312"/>
          <w:b/>
          <w:bCs w:val="0"/>
          <w:sz w:val="32"/>
          <w:szCs w:val="32"/>
          <w:lang w:val="en-US" w:eastAsia="zh-CN"/>
        </w:rPr>
        <w:t>三是</w:t>
      </w:r>
      <w:r>
        <w:rPr>
          <w:rFonts w:hint="eastAsia" w:ascii="仿宋_GB2312" w:hAnsi="仿宋_GB2312" w:eastAsia="仿宋_GB2312" w:cs="仿宋_GB2312"/>
          <w:b w:val="0"/>
          <w:bCs/>
          <w:sz w:val="32"/>
          <w:szCs w:val="32"/>
          <w:lang w:val="en-US" w:eastAsia="zh-CN"/>
        </w:rPr>
        <w:t>自主招募人员3名。</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Cs w:val="32"/>
          <w:lang w:eastAsia="zh-CN"/>
        </w:rPr>
      </w:pPr>
      <w:r>
        <w:rPr>
          <w:rFonts w:hint="eastAsia" w:ascii="楷体_GB2312" w:hAnsi="宋体" w:eastAsia="楷体_GB2312"/>
          <w:b/>
          <w:color w:val="auto"/>
          <w:sz w:val="32"/>
          <w:szCs w:val="32"/>
          <w:highlight w:val="none"/>
          <w:u w:val="none"/>
          <w:lang w:val="zh-CN"/>
        </w:rPr>
        <w:t>（四）评价方法。</w:t>
      </w:r>
      <w:r>
        <w:rPr>
          <w:rFonts w:ascii="仿宋" w:hAnsi="仿宋" w:eastAsia="仿宋" w:cs="仿宋"/>
          <w:spacing w:val="-9"/>
          <w:sz w:val="32"/>
          <w:szCs w:val="32"/>
        </w:rPr>
        <w:t>该项目使用单位自评法进行绩效评价</w:t>
      </w:r>
      <w:r>
        <w:rPr>
          <w:rFonts w:hint="eastAsia" w:cs="Times New Roman"/>
          <w:szCs w:val="32"/>
          <w:lang w:eastAsia="zh-CN"/>
        </w:rPr>
        <w:t>。</w:t>
      </w:r>
    </w:p>
    <w:p>
      <w:pPr>
        <w:keepNext w:val="0"/>
        <w:keepLines w:val="0"/>
        <w:pageBreakBefore w:val="0"/>
        <w:kinsoku/>
        <w:wordWrap/>
        <w:overflowPunct/>
        <w:topLinePunct w:val="0"/>
        <w:autoSpaceDE/>
        <w:autoSpaceDN/>
        <w:bidi w:val="0"/>
        <w:spacing w:line="560" w:lineRule="exact"/>
        <w:ind w:left="0" w:firstLine="643" w:firstLineChars="200"/>
        <w:textAlignment w:val="auto"/>
        <w:rPr>
          <w:rFonts w:hint="eastAsia" w:ascii="仿宋" w:hAnsi="仿宋" w:eastAsia="仿宋" w:cs="仿宋"/>
          <w:spacing w:val="-4"/>
          <w:sz w:val="32"/>
          <w:szCs w:val="32"/>
          <w:lang w:eastAsia="zh-CN"/>
        </w:rPr>
      </w:pPr>
      <w:r>
        <w:rPr>
          <w:rFonts w:hint="eastAsia" w:ascii="楷体_GB2312" w:hAnsi="宋体" w:eastAsia="楷体_GB2312"/>
          <w:b/>
          <w:color w:val="auto"/>
          <w:sz w:val="32"/>
          <w:szCs w:val="32"/>
          <w:highlight w:val="none"/>
          <w:u w:val="none"/>
          <w:lang w:val="zh-CN"/>
        </w:rPr>
        <w:t>（五）评价组织。</w:t>
      </w:r>
      <w:r>
        <w:rPr>
          <w:rFonts w:hint="eastAsia" w:ascii="仿宋" w:hAnsi="仿宋" w:eastAsia="仿宋" w:cs="仿宋"/>
          <w:spacing w:val="-4"/>
          <w:sz w:val="32"/>
          <w:szCs w:val="32"/>
        </w:rPr>
        <w:t>为保障绩效自评工作有序开展，我局成立专项评价工作组，成员由分管领导及财务人员组成。其中，分管领导牵头负责评价工作的统筹协调、进度督促与质量把控；财务人员具体承担绩效自评报告撰写、评价指标体系填报等工作。</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kinsoku/>
        <w:wordWrap/>
        <w:overflowPunct/>
        <w:topLinePunct w:val="0"/>
        <w:autoSpaceDE/>
        <w:autoSpaceDN/>
        <w:bidi w:val="0"/>
        <w:spacing w:line="560" w:lineRule="exact"/>
        <w:ind w:left="0"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1.项目决策：本项目立项严格遵循财政资金管理相关规范及决策程序要求，项目规划与中央、省委省政府关于文化事业发展的决策部署高度契合，立项依据充分、程序合规。</w:t>
      </w:r>
    </w:p>
    <w:p>
      <w:pPr>
        <w:keepNext w:val="0"/>
        <w:keepLines w:val="0"/>
        <w:pageBreakBefore w:val="0"/>
        <w:kinsoku/>
        <w:wordWrap/>
        <w:overflowPunct/>
        <w:topLinePunct w:val="0"/>
        <w:autoSpaceDE/>
        <w:autoSpaceDN/>
        <w:bidi w:val="0"/>
        <w:spacing w:line="560" w:lineRule="exact"/>
        <w:ind w:left="0"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2.项目管理：项目资金管理制度体系健全完善，资金拨付、使用、核算全流程严格按照资金管理办法规范执行；招募人员实行归口管理，请销假、出差等日常管理事项均参照单位正式职工管理制度执行，实现资金管理规范、人员管理有序。</w:t>
      </w:r>
    </w:p>
    <w:p>
      <w:pPr>
        <w:keepNext w:val="0"/>
        <w:keepLines w:val="0"/>
        <w:pageBreakBefore w:val="0"/>
        <w:kinsoku/>
        <w:wordWrap/>
        <w:overflowPunct/>
        <w:topLinePunct w:val="0"/>
        <w:autoSpaceDE/>
        <w:autoSpaceDN/>
        <w:bidi w:val="0"/>
        <w:spacing w:line="560" w:lineRule="exact"/>
        <w:ind w:left="0"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3.项目实施：项目已全面完成18名文旅工作者的招募任务，人员到岗后迅速融入工作岗位，日常管理严格到位，人才专业优势得到有效发挥。</w:t>
      </w:r>
    </w:p>
    <w:p>
      <w:pPr>
        <w:keepNext w:val="0"/>
        <w:keepLines w:val="0"/>
        <w:pageBreakBefore w:val="0"/>
        <w:kinsoku/>
        <w:wordWrap/>
        <w:overflowPunct/>
        <w:topLinePunct w:val="0"/>
        <w:autoSpaceDE/>
        <w:autoSpaceDN/>
        <w:bidi w:val="0"/>
        <w:spacing w:line="560" w:lineRule="exact"/>
        <w:ind w:left="0"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4.项目结果：项目已圆满完成预设绩效目标，各项实施成果与绩效目标高度匹配，切实达到了预期效果。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zh-CN" w:eastAsia="zh-CN"/>
        </w:rPr>
        <w:t>行政运转：</w:t>
      </w:r>
      <w:r>
        <w:rPr>
          <w:rFonts w:hint="eastAsia" w:ascii="仿宋_GB2312" w:hAnsi="仿宋_GB2312" w:eastAsia="仿宋_GB2312" w:cs="仿宋_GB2312"/>
          <w:b w:val="0"/>
          <w:bCs/>
          <w:sz w:val="32"/>
          <w:szCs w:val="32"/>
          <w:lang w:val="en-US" w:eastAsia="zh-CN"/>
        </w:rPr>
        <w:t>小金县“三区计划”文旅工作者招募项目用途和程序、标准合规合法。</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cs="Times New Roman"/>
          <w:color w:val="auto"/>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仿宋_GB2312" w:eastAsia="仿宋_GB2312" w:cs="仿宋_GB2312"/>
          <w:b w:val="0"/>
          <w:bCs/>
          <w:sz w:val="32"/>
          <w:szCs w:val="32"/>
          <w:lang w:val="en-US" w:eastAsia="zh-CN"/>
        </w:rPr>
        <w:t>小金县“三区计划”文旅工作者</w:t>
      </w:r>
      <w:r>
        <w:rPr>
          <w:rFonts w:hint="eastAsia" w:ascii="仿宋_GB2312" w:hAnsi="仿宋_GB2312" w:cs="仿宋_GB2312"/>
          <w:b w:val="0"/>
          <w:bCs/>
          <w:sz w:val="32"/>
          <w:szCs w:val="32"/>
          <w:lang w:val="en-US" w:eastAsia="zh-CN"/>
        </w:rPr>
        <w:t>招募</w:t>
      </w:r>
      <w:r>
        <w:rPr>
          <w:rFonts w:hint="eastAsia" w:ascii="仿宋_GB2312" w:hAnsi="仿宋_GB2312" w:eastAsia="仿宋_GB2312" w:cs="仿宋_GB2312"/>
          <w:b w:val="0"/>
          <w:bCs/>
          <w:sz w:val="32"/>
          <w:szCs w:val="32"/>
          <w:lang w:val="en-US" w:eastAsia="zh-CN"/>
        </w:rPr>
        <w:t>项目</w:t>
      </w:r>
      <w:r>
        <w:rPr>
          <w:rFonts w:hint="eastAsia" w:ascii="仿宋_GB2312" w:hAnsi="仿宋_GB2312" w:cs="仿宋_GB2312"/>
          <w:b w:val="0"/>
          <w:bCs/>
          <w:sz w:val="32"/>
          <w:szCs w:val="32"/>
          <w:lang w:val="en-US" w:eastAsia="zh-CN"/>
        </w:rPr>
        <w:t>，计划</w:t>
      </w:r>
      <w:r>
        <w:rPr>
          <w:rFonts w:hint="eastAsia" w:ascii="仿宋_GB2312" w:hAnsi="仿宋_GB2312" w:eastAsia="仿宋_GB2312" w:cs="仿宋_GB2312"/>
          <w:b w:val="0"/>
          <w:bCs/>
          <w:sz w:val="32"/>
          <w:szCs w:val="32"/>
          <w:lang w:val="en-US" w:eastAsia="zh-CN"/>
        </w:rPr>
        <w:t>文旅工作者</w:t>
      </w:r>
      <w:r>
        <w:rPr>
          <w:rFonts w:hint="eastAsia" w:ascii="仿宋_GB2312" w:hAnsi="仿宋_GB2312" w:cs="仿宋_GB2312"/>
          <w:b w:val="0"/>
          <w:bCs/>
          <w:sz w:val="32"/>
          <w:szCs w:val="32"/>
          <w:lang w:val="en-US" w:eastAsia="zh-CN"/>
        </w:rPr>
        <w:t>18</w:t>
      </w:r>
      <w:r>
        <w:rPr>
          <w:rFonts w:hint="eastAsia" w:ascii="仿宋_GB2312" w:hAnsi="仿宋_GB2312" w:eastAsia="仿宋_GB2312" w:cs="仿宋_GB2312"/>
          <w:b w:val="0"/>
          <w:bCs/>
          <w:sz w:val="32"/>
          <w:szCs w:val="32"/>
          <w:lang w:val="en-US" w:eastAsia="zh-CN"/>
        </w:rPr>
        <w:t>名，其中：红色旅游人才工作者</w:t>
      </w:r>
      <w:r>
        <w:rPr>
          <w:rFonts w:hint="eastAsia" w:ascii="仿宋_GB2312" w:hAnsi="仿宋_GB2312" w:cs="仿宋_GB2312"/>
          <w:b w:val="0"/>
          <w:bCs/>
          <w:sz w:val="32"/>
          <w:szCs w:val="32"/>
          <w:lang w:val="en-US" w:eastAsia="zh-CN"/>
        </w:rPr>
        <w:t>5</w:t>
      </w:r>
      <w:r>
        <w:rPr>
          <w:rFonts w:hint="eastAsia" w:ascii="仿宋_GB2312" w:hAnsi="仿宋_GB2312" w:eastAsia="仿宋_GB2312" w:cs="仿宋_GB2312"/>
          <w:b w:val="0"/>
          <w:bCs/>
          <w:sz w:val="32"/>
          <w:szCs w:val="32"/>
          <w:lang w:val="en-US" w:eastAsia="zh-CN"/>
        </w:rPr>
        <w:t>名，“乌兰牧骑”演出队</w:t>
      </w:r>
      <w:r>
        <w:rPr>
          <w:rFonts w:hint="eastAsia" w:ascii="仿宋_GB2312" w:hAnsi="仿宋_GB2312" w:eastAsia="仿宋_GB2312" w:cs="仿宋_GB2312"/>
          <w:b w:val="0"/>
          <w:bCs/>
          <w:sz w:val="32"/>
          <w:szCs w:val="32"/>
        </w:rPr>
        <w:t>人才</w:t>
      </w:r>
      <w:r>
        <w:rPr>
          <w:rFonts w:hint="eastAsia" w:ascii="仿宋_GB2312" w:hAnsi="仿宋_GB2312" w:cs="仿宋_GB2312"/>
          <w:b w:val="0"/>
          <w:bCs/>
          <w:sz w:val="32"/>
          <w:szCs w:val="32"/>
          <w:lang w:val="en-US" w:eastAsia="zh-CN"/>
        </w:rPr>
        <w:t>10</w:t>
      </w:r>
      <w:r>
        <w:rPr>
          <w:rFonts w:hint="eastAsia" w:ascii="仿宋_GB2312" w:hAnsi="仿宋_GB2312" w:eastAsia="仿宋_GB2312" w:cs="仿宋_GB2312"/>
          <w:b w:val="0"/>
          <w:bCs/>
          <w:sz w:val="32"/>
          <w:szCs w:val="32"/>
          <w:lang w:val="en-US" w:eastAsia="zh-CN"/>
        </w:rPr>
        <w:t>名</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自主招募3名</w:t>
      </w:r>
      <w:r>
        <w:rPr>
          <w:rFonts w:hint="eastAsia" w:ascii="仿宋_GB2312" w:hAnsi="仿宋_GB2312" w:cs="仿宋_GB2312"/>
          <w:b w:val="0"/>
          <w:bCs/>
          <w:sz w:val="32"/>
          <w:szCs w:val="32"/>
          <w:lang w:val="en-US" w:eastAsia="zh-CN"/>
        </w:rPr>
        <w:t>，已全面完成。</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 w:hAnsi="仿宋" w:eastAsia="仿宋" w:cs="仿宋"/>
          <w:spacing w:val="-4"/>
          <w:sz w:val="32"/>
          <w:szCs w:val="32"/>
          <w:lang w:val="en-US" w:eastAsia="zh-CN"/>
        </w:rPr>
      </w:pPr>
      <w:r>
        <w:rPr>
          <w:rFonts w:hint="eastAsia" w:ascii="仿宋" w:hAnsi="仿宋" w:eastAsia="仿宋" w:cs="仿宋"/>
          <w:spacing w:val="-4"/>
          <w:sz w:val="32"/>
          <w:szCs w:val="32"/>
          <w:lang w:val="en-US" w:eastAsia="zh-CN"/>
        </w:rPr>
        <w:t>项目实施成效显著，各类人才作用发挥突出。5名红色旅游人才深耕岗位，深入挖掘本地红色文化精神内涵，传承红色基因、弘扬红色传统，有效推动了小金县红色旅游创新发展；10名“乌兰牧骑”演出队队员积极投身各类文化活动，圆满完成2025年戏曲进乡村、“五一”“十一”非遗进景区、“天府书展非遗秀”等多场文化展演活动，成功赴浙江开展2场文化走亲活动，参与“天下九寨沟 大美阿坝州”温州站宣传推介活动，在阿坝州第四届群文新创文艺作品大赛舞蹈类比赛中展现风采，并高质量完成各单位会议、评审、迎检等专项活动的演出任务；3名自主招募人员立足岗位职责，扎实开展各项工作，为基层文旅事业发展注入了强劲动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、存在问题</w:t>
      </w:r>
    </w:p>
    <w:p>
      <w:pPr>
        <w:pStyle w:val="7"/>
        <w:keepNext w:val="0"/>
        <w:keepLines w:val="0"/>
        <w:pageBreakBefore w:val="0"/>
        <w:numPr>
          <w:ilvl w:val="0"/>
          <w:numId w:val="0"/>
        </w:numPr>
        <w:tabs>
          <w:tab w:val="left" w:pos="2160"/>
        </w:tabs>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可选派的专业文化人才储备不足，招募难度仍较大；基层文化工作者培训资源有限，系统性培训深度和广度有待拓展；部分文化工作者在基层开展工作时，面临交通、物资等保障不足问题，影响工作连续性。</w:t>
      </w:r>
    </w:p>
    <w:p>
      <w:pPr>
        <w:pStyle w:val="7"/>
        <w:keepNext w:val="0"/>
        <w:keepLines w:val="0"/>
        <w:pageBreakBefore w:val="0"/>
        <w:numPr>
          <w:ilvl w:val="0"/>
          <w:numId w:val="0"/>
        </w:numPr>
        <w:tabs>
          <w:tab w:val="left" w:pos="2160"/>
        </w:tabs>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cs="黑体"/>
          <w:sz w:val="32"/>
          <w:szCs w:val="32"/>
          <w:lang w:eastAsia="zh-CN"/>
        </w:rPr>
        <w:t>六、</w:t>
      </w:r>
      <w:r>
        <w:rPr>
          <w:rFonts w:hint="eastAsia" w:ascii="黑体" w:hAnsi="黑体" w:eastAsia="黑体" w:cs="黑体"/>
          <w:sz w:val="32"/>
          <w:szCs w:val="32"/>
          <w:lang w:eastAsia="zh-CN"/>
        </w:rPr>
        <w:t>改进建议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（一）凝聚共识，强化保障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深化对专项工作重要性认识，积极争取党委政府支持，在自主招募、人才待遇保障（如社会保险、补贴待遇）等方面，完善政策支持，解除文化工作者后顾之忧。</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（二）精进业务，深化交流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将“三区”文化工作者服务专项作为提升人员素质、推动业务发展的重要抓手，组织交流学习、外出考察、实践练兵等活动，解放思想，激发创新，发挥人才专长，助力公共文化旅游服务水平提升。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（三）严抓监管，规范运行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落细落实专项实施方案，加强文化工作者日常管理、考核监督，健全专项资金监管机制，确保资金安全、规范使用，保障项目高效推进。</w:t>
      </w: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zh-CN"/>
        </w:rPr>
      </w:pPr>
    </w:p>
    <w:p>
      <w:pPr>
        <w:pStyle w:val="7"/>
        <w:keepNext w:val="0"/>
        <w:keepLines w:val="0"/>
        <w:pageBreakBefore w:val="0"/>
        <w:kinsoku/>
        <w:wordWrap/>
        <w:overflowPunct/>
        <w:autoSpaceDN/>
        <w:bidi w:val="0"/>
        <w:spacing w:beforeLines="0" w:line="560" w:lineRule="exact"/>
        <w:ind w:left="0" w:leftChars="0" w:right="0"/>
        <w:textAlignment w:val="auto"/>
        <w:rPr>
          <w:rFonts w:hint="eastAsia" w:ascii="黑体" w:hAnsi="黑体" w:eastAsia="黑体" w:cs="黑体"/>
          <w:color w:val="auto"/>
          <w:kern w:val="0"/>
          <w:sz w:val="32"/>
          <w:szCs w:val="32"/>
          <w:highlight w:val="none"/>
          <w:shd w:val="clear" w:color="auto" w:fill="FFFFFF"/>
          <w:lang w:val="en-US" w:eastAsia="zh-CN"/>
        </w:rPr>
      </w:pPr>
      <w:r>
        <w:rPr>
          <w:rFonts w:hint="eastAsia" w:ascii="黑体" w:hAnsi="黑体" w:eastAsia="黑体" w:cs="黑体"/>
          <w:color w:val="auto"/>
          <w:kern w:val="0"/>
          <w:sz w:val="32"/>
          <w:szCs w:val="32"/>
          <w:highlight w:val="none"/>
          <w:shd w:val="clear" w:color="auto" w:fill="FFFFFF"/>
          <w:lang w:val="zh-CN"/>
        </w:rPr>
        <w:t>附件</w:t>
      </w:r>
      <w:r>
        <w:rPr>
          <w:rFonts w:hint="eastAsia" w:ascii="黑体" w:hAnsi="黑体" w:eastAsia="黑体" w:cs="黑体"/>
          <w:color w:val="auto"/>
          <w:kern w:val="0"/>
          <w:sz w:val="32"/>
          <w:szCs w:val="32"/>
          <w:highlight w:val="none"/>
          <w:shd w:val="clear" w:color="auto" w:fill="FFFFFF"/>
          <w:lang w:val="en-US" w:eastAsia="zh-CN"/>
        </w:rPr>
        <w:t>3</w:t>
      </w:r>
    </w:p>
    <w:p>
      <w:pPr>
        <w:pStyle w:val="7"/>
        <w:keepNext w:val="0"/>
        <w:keepLines w:val="0"/>
        <w:pageBreakBefore w:val="0"/>
        <w:kinsoku/>
        <w:wordWrap/>
        <w:overflowPunct/>
        <w:autoSpaceDN/>
        <w:bidi w:val="0"/>
        <w:spacing w:beforeLines="0" w:line="560" w:lineRule="exact"/>
        <w:ind w:left="0" w:leftChars="0" w:right="0"/>
        <w:textAlignment w:val="auto"/>
        <w:rPr>
          <w:rFonts w:hint="eastAsia" w:hAnsi="宋体" w:cs="宋体"/>
          <w:color w:val="auto"/>
          <w:kern w:val="0"/>
          <w:sz w:val="32"/>
          <w:szCs w:val="32"/>
          <w:highlight w:val="none"/>
          <w:shd w:val="clear" w:color="auto" w:fill="FFFFFF"/>
          <w:lang w:val="en-US" w:eastAsia="zh-CN"/>
        </w:rPr>
      </w:pPr>
    </w:p>
    <w:p>
      <w:pPr>
        <w:pStyle w:val="37"/>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小金县文化广播电视体育和旅游局</w:t>
      </w:r>
    </w:p>
    <w:p>
      <w:pPr>
        <w:pStyle w:val="37"/>
        <w:keepNext w:val="0"/>
        <w:keepLines w:val="0"/>
        <w:pageBreakBefore w:val="0"/>
        <w:widowControl w:val="0"/>
        <w:kinsoku/>
        <w:wordWrap/>
        <w:overflowPunct/>
        <w:topLinePunct w:val="0"/>
        <w:autoSpaceDE/>
        <w:autoSpaceDN/>
        <w:bidi w:val="0"/>
        <w:spacing w:line="560" w:lineRule="exact"/>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2025年公共图书馆免费开放</w:t>
      </w:r>
      <w:r>
        <w:rPr>
          <w:rFonts w:hint="default" w:ascii="方正小标宋简体" w:hAnsi="方正小标宋简体" w:eastAsia="方正小标宋简体" w:cs="方正小标宋简体"/>
          <w:color w:val="auto"/>
          <w:kern w:val="2"/>
          <w:sz w:val="44"/>
          <w:szCs w:val="44"/>
          <w:highlight w:val="none"/>
          <w:lang w:val="en-US" w:eastAsia="zh-CN"/>
        </w:rPr>
        <w:t>专项预算绩效自评报告</w:t>
      </w:r>
    </w:p>
    <w:p>
      <w:pPr>
        <w:pStyle w:val="37"/>
        <w:keepNext w:val="0"/>
        <w:keepLines w:val="0"/>
        <w:pageBreakBefore w:val="0"/>
        <w:widowControl w:val="0"/>
        <w:kinsoku/>
        <w:wordWrap/>
        <w:overflowPunct/>
        <w:topLinePunct w:val="0"/>
        <w:autoSpaceDE/>
        <w:autoSpaceDN/>
        <w:bidi w:val="0"/>
        <w:spacing w:line="560" w:lineRule="exact"/>
        <w:jc w:val="left"/>
        <w:textAlignment w:val="auto"/>
        <w:rPr>
          <w:rFonts w:hint="default" w:ascii="方正小标宋简体" w:hAnsi="方正小标宋简体" w:eastAsia="方正小标宋简体" w:cs="方正小标宋简体"/>
          <w:color w:val="auto"/>
          <w:kern w:val="2"/>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pPr>
        <w:pStyle w:val="17"/>
        <w:keepNext w:val="0"/>
        <w:keepLines w:val="0"/>
        <w:pageBreakBefore w:val="0"/>
        <w:widowControl/>
        <w:suppressLineNumbers w:val="0"/>
        <w:kinsoku/>
        <w:wordWrap/>
        <w:overflowPunct/>
        <w:topLinePunct w:val="0"/>
        <w:autoSpaceDE w:val="0"/>
        <w:autoSpaceDN/>
        <w:bidi w:val="0"/>
        <w:snapToGrid w:val="0"/>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小金县图书馆、文化馆属“三级馆”，是公益一类事业单位，直属小金县文化广播电视体育和旅游局，设有外借阅览室、亲子绘本阅览室、舞蹈室等对外服务窗口。全部场馆常态实施“零门槛  全免费”对外开放服务，常年开展免费开放服务、全民阅读推广、流动图书服务、公益讲座展览、</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演出、</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分馆（基层服务点）业务指导等工作。</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方正仿宋_GBK" w:hAnsi="方正仿宋_GBK" w:eastAsia="方正仿宋_GBK" w:cs="方正仿宋_GBK"/>
          <w:color w:val="auto"/>
          <w:kern w:val="0"/>
          <w:sz w:val="32"/>
          <w:szCs w:val="32"/>
          <w:highlight w:val="none"/>
          <w:u w:val="none"/>
          <w:shd w:val="clear" w:color="auto" w:fill="FFFFFF"/>
          <w:lang w:val="zh-CN" w:eastAsia="zh-CN" w:bidi="ar-SA"/>
        </w:rPr>
      </w:pP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依据国家基本文化服务标准“</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bidi="ar-SA"/>
        </w:rPr>
        <w:t>三馆一站”</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免费开放需要，促进专业交流、丰富群众文化生活。更好地履行我</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bidi="ar-SA"/>
        </w:rPr>
        <w:t>县</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公共文化服务窗口单位职能，完成文化部规定的文化工作任务，切实做到文化为民、文化惠民。</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default" w:ascii="方正仿宋_GBK" w:hAnsi="方正仿宋_GBK" w:eastAsia="方正仿宋_GBK" w:cs="方正仿宋_GBK"/>
          <w:color w:val="auto"/>
          <w:kern w:val="0"/>
          <w:sz w:val="32"/>
          <w:szCs w:val="32"/>
          <w:highlight w:val="none"/>
          <w:u w:val="none"/>
          <w:shd w:val="clear" w:color="auto" w:fill="FFFFFF"/>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bidi="ar-SA"/>
        </w:rPr>
        <w:t>项目资金采取报账制，严格按照规定的程序报销，并按照政府会计制度进行管理，财务人员严格执行单位的有关规定，并做到资金的专项管理，专款专用、重点使用。</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bidi="ar-SA"/>
        </w:rPr>
        <w:t>全面落实支出责任，构建了“权责明晰、流程规范、监管有效”的责任履行体系。主要负责人对资金支付均需签字确认。同时加强财务人员业务培训，每年度开展内部检查，确保资金使用合规。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cs="Times New Roman"/>
          <w:color w:val="FF0000"/>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根据阿州财教〔2025〕2号、阿州财教〔2025〕48号文件，2025年公共图书馆、美术馆、文化馆（站）免费开放补助资金下达130万元，实际到位122.72万元，已完成支付122.46万元，所有资金均用于三馆一站免费开放工作。具体分配如下：图书馆使用18.84万元，文化馆使用18.72万元，文化站使用84.9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本项目是面向群众，面向基层，实施公益文化服务，保障人民群众基本文化权益，大力开展公共文化活动，为我县精神文明建设做贡献。周一至周日全程免费开放，每周开放56小时以上，提高群众文化业余生活。</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通过绩效评价，进一步规范财政专项支出项目资金的管理和使用，强化支出责任，优化资源配置，认真总结经验，及时发现存在的问题，制定整改措施，从而推进</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免开</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相关工作真正落到实处。</w:t>
      </w:r>
    </w:p>
    <w:p>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作为项目实施单位，县文化</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广播电视</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体育和旅游局按照相关财经纪律，建立健全财务管理制度，所有项目资金均按相关文件精神合理、合规、合法运用，账务处理及时，会计核算规范。为保障项目资金用实、用好、发挥效能，该项目资金严格按照批准的项目和资金计划执行，不存在截留或挪用专项资金，未影响项目进度。同时严格执行国家统一的会计制度，相关会计信息真实、准确、完整、规范，专项资金实行了单独核算。</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根据阿州财教〔2025〕2号、阿州财教〔2025〕48号文件，2025年公共图书馆、美术馆、文化馆（站）免费开放补助资金下达122.72万元，2025年全部下达至我县财政局，</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到位率</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百分百，到位及时。</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该项目使用单位自评法进行绩效评价。</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本单位评价组人员构成由财务负责人和各项目负责人组成，财务室组织预算绩效管理工作推进、整体提升。负责督促单位各股室（馆、所）项目负责人提交绩效自评报告和指标体系表并汇总形成部门整体绩效自评报告，送财政相关科室审核。</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1.项目决策。</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项目决策程序严密，得6分；项目规划论证符合要求，项目绩效目标设置科学合理，得6分；资金投向于项目相匹配，得6分。共计18分。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2.项目管理。</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项目制度办法体系健全、要素完备，得2分；分配因素符合管理要求，得10分；项目绩效监管按要求开展，指导有力有效，得6分。共计18分。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2"/>
          <w:szCs w:val="32"/>
          <w:highlight w:val="none"/>
          <w:u w:val="none"/>
          <w:shd w:val="clear" w:color="auto" w:fill="FFFFFF"/>
          <w:lang w:val="en-US" w:eastAsia="zh-CN"/>
        </w:rPr>
        <w:t>3.项目实施。</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项目资金拨付及时全部下发到位，得6分。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资金拨付遵守相关法律法规，无截留、挤占、挪用等情况，得3分。共计9分。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b/>
          <w:bCs/>
          <w:color w:val="auto"/>
          <w:kern w:val="0"/>
          <w:sz w:val="30"/>
          <w:szCs w:val="30"/>
          <w:highlight w:val="none"/>
          <w:u w:val="none"/>
          <w:shd w:val="clear" w:color="auto" w:fill="FFFFFF"/>
          <w:lang w:val="en-US" w:eastAsia="zh-CN"/>
        </w:rPr>
        <w:t>4.项目结果。</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该项目完成了预期目标，实施结果与绩效目标相匹配，得9分。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2.民生保障。2025年公共图书馆、美术馆、文化馆（站）免费开放中央补助资金预算项目，从资金支付范围、支付标准、支付进度、支付依据、都符合项目要求且合规合法，与预算相符，不存在多发、漏发、重发、迟发等情况，资金收益群体满意度100%，共计得30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outlineLvl w:val="9"/>
        <w:rPr>
          <w:rFonts w:hint="default" w:ascii="Times New Roman" w:hAnsi="Times New Roman" w:cs="Times New Roman"/>
          <w:color w:val="auto"/>
          <w:szCs w:val="32"/>
          <w:lang w:val="en-US" w:eastAsia="zh-CN"/>
        </w:rPr>
      </w:pPr>
      <w:r>
        <w:rPr>
          <w:rFonts w:hint="eastAsia" w:ascii="仿宋_GB2312" w:hAnsi="宋体" w:eastAsia="仿宋_GB2312" w:cs="Times New Roman"/>
          <w:kern w:val="2"/>
          <w:sz w:val="32"/>
          <w:szCs w:val="32"/>
          <w:lang w:val="en-US" w:eastAsia="zh-CN" w:bidi="ar-SA"/>
        </w:rPr>
        <w:t>为深入推进文化惠民工程走深走实，充分发挥</w:t>
      </w:r>
      <w:r>
        <w:rPr>
          <w:rFonts w:hint="eastAsia" w:ascii="仿宋_GB2312" w:hAnsi="宋体" w:cs="Times New Roman"/>
          <w:kern w:val="2"/>
          <w:sz w:val="32"/>
          <w:szCs w:val="32"/>
          <w:lang w:val="en-US" w:eastAsia="zh-CN" w:bidi="ar-SA"/>
        </w:rPr>
        <w:t>三馆一站</w:t>
      </w:r>
      <w:r>
        <w:rPr>
          <w:rFonts w:hint="eastAsia" w:ascii="仿宋_GB2312" w:hAnsi="宋体" w:eastAsia="仿宋_GB2312" w:cs="Times New Roman"/>
          <w:kern w:val="2"/>
          <w:sz w:val="32"/>
          <w:szCs w:val="32"/>
          <w:lang w:val="en-US" w:eastAsia="zh-CN" w:bidi="ar-SA"/>
        </w:rPr>
        <w:t>在公共文化服务体系建设中的职能作用，加大免费开放力度，切实满足群众多层次、多方面、多样化的精神文化需求，从可行性、推广性、实用性上合理设置艺术培训课程，丰富群众业余文化生活，切实增强群众获得感、幸福感，让公益培训既有“气质”更有“品质”</w:t>
      </w:r>
      <w:r>
        <w:rPr>
          <w:rFonts w:hint="eastAsia" w:ascii="仿宋_GB2312" w:hAnsi="宋体" w:cs="Times New Roman"/>
          <w:kern w:val="2"/>
          <w:sz w:val="32"/>
          <w:szCs w:val="32"/>
          <w:lang w:val="en-US" w:eastAsia="zh-CN" w:bidi="ar-SA"/>
        </w:rPr>
        <w:t>。得分14分。</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该项目基本落实了本单位公共文化服务功能要求，为社会公众提供良好的公共文化服务，充分发挥了公益性文化机构在提高群众文化素质、促进文化大繁荣、大发展方面的作用,真正将“文化惠民、文化便民、文化利民”政策落到实处，公众的满意度为9</w:t>
      </w:r>
      <w:r>
        <w:rPr>
          <w:rFonts w:hint="eastAsia" w:ascii="仿宋_GB2312" w:hAnsi="宋体" w:cs="Times New Roman"/>
          <w:kern w:val="2"/>
          <w:sz w:val="32"/>
          <w:szCs w:val="32"/>
          <w:lang w:val="en-US" w:eastAsia="zh-CN" w:bidi="ar-SA"/>
        </w:rPr>
        <w:t>8</w:t>
      </w:r>
      <w:r>
        <w:rPr>
          <w:rFonts w:hint="eastAsia" w:ascii="仿宋_GB2312" w:hAnsi="宋体" w:eastAsia="仿宋_GB2312" w:cs="Times New Roman"/>
          <w:kern w:val="2"/>
          <w:sz w:val="32"/>
          <w:szCs w:val="32"/>
          <w:lang w:val="en-US" w:eastAsia="zh-CN" w:bidi="ar-SA"/>
        </w:rPr>
        <w:t>%以上。</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黑体" w:cs="Times New Roman"/>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eastAsia" w:ascii="仿宋_GB2312" w:hAnsi="宋体" w:eastAsia="仿宋_GB2312" w:cs="Times New Roman"/>
          <w:kern w:val="2"/>
          <w:position w:val="0"/>
          <w:sz w:val="32"/>
          <w:szCs w:val="32"/>
          <w:lang w:val="en-US" w:eastAsia="zh-CN" w:bidi="ar-SA"/>
        </w:rPr>
      </w:pPr>
      <w:r>
        <w:rPr>
          <w:rFonts w:hint="eastAsia" w:ascii="仿宋_GB2312" w:hAnsi="宋体" w:eastAsia="仿宋_GB2312" w:cs="Times New Roman"/>
          <w:kern w:val="2"/>
          <w:position w:val="0"/>
          <w:sz w:val="32"/>
          <w:szCs w:val="32"/>
          <w:lang w:val="en-US" w:eastAsia="zh-CN" w:bidi="ar-SA"/>
        </w:rPr>
        <w:t>免费开放阵地条件不能适应群众日益增长的文化需求。文图两馆修建于2008年,馆舍面积小,功能室基本是综合使用,与群众各类文化活动需求实际不相适应;随着近年来城镇化越来越快、城镇人口增加的现状,两馆原有功能室单一、空间狭小等原因,已无法适应发展现状,导致免费开放场地受限,免费开放资金严重不足,馆舍运转困难</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加大对基层免费开放阵地设施的投入力度,改善开放条件,促进免开水平的提高,适当增加建设资金进行改扩建,满足当地广大群众和文化活动开展、免费开放项目增加等日益增长的需求</w:t>
      </w:r>
      <w:r>
        <w:rPr>
          <w:rFonts w:hint="eastAsia" w:ascii="仿宋_GB2312" w:hAnsi="宋体" w:cs="Times New Roman"/>
          <w:kern w:val="2"/>
          <w:sz w:val="32"/>
          <w:szCs w:val="32"/>
          <w:lang w:val="en-US" w:eastAsia="zh-CN" w:bidi="ar-SA"/>
        </w:rPr>
        <w:t>。</w:t>
      </w: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left="0" w:leftChars="0" w:right="0" w:firstLine="640"/>
        <w:textAlignment w:val="auto"/>
        <w:rPr>
          <w:rFonts w:hint="eastAsia" w:ascii="仿宋_GB2312" w:hAnsi="宋体" w:cs="Times New Roman"/>
          <w:kern w:val="2"/>
          <w:sz w:val="32"/>
          <w:szCs w:val="32"/>
          <w:lang w:val="en-US" w:eastAsia="zh-CN" w:bidi="ar-SA"/>
        </w:rPr>
      </w:pPr>
    </w:p>
    <w:p>
      <w:pPr>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textAlignment w:val="auto"/>
        <w:rPr>
          <w:rFonts w:hint="eastAsia" w:ascii="仿宋_GB2312" w:hAnsi="宋体" w:cs="Times New Roman"/>
          <w:kern w:val="2"/>
          <w:sz w:val="32"/>
          <w:szCs w:val="32"/>
          <w:lang w:val="en-US" w:eastAsia="zh-CN" w:bidi="ar-SA"/>
        </w:rPr>
      </w:pPr>
    </w:p>
    <w:p>
      <w:pPr>
        <w:pStyle w:val="2"/>
        <w:keepNext w:val="0"/>
        <w:keepLines w:val="0"/>
        <w:pageBreakBefore w:val="0"/>
        <w:kinsoku/>
        <w:wordWrap/>
        <w:overflowPunct/>
        <w:autoSpaceDN/>
        <w:bidi w:val="0"/>
        <w:spacing w:line="560" w:lineRule="exact"/>
        <w:ind w:left="0" w:leftChars="0" w:firstLine="0" w:firstLineChars="0"/>
        <w:textAlignment w:val="auto"/>
        <w:rPr>
          <w:rFonts w:hint="eastAsia" w:ascii="仿宋_GB2312"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附件4</w:t>
      </w:r>
    </w:p>
    <w:p>
      <w:pPr>
        <w:pStyle w:val="7"/>
        <w:keepNext w:val="0"/>
        <w:keepLines w:val="0"/>
        <w:pageBreakBefore w:val="0"/>
        <w:kinsoku/>
        <w:wordWrap/>
        <w:overflowPunct/>
        <w:autoSpaceDN/>
        <w:bidi w:val="0"/>
        <w:spacing w:beforeLines="0" w:line="560" w:lineRule="exact"/>
        <w:ind w:right="0"/>
        <w:textAlignment w:val="auto"/>
        <w:rPr>
          <w:rFonts w:hint="eastAsia" w:hAnsi="宋体" w:cs="Times New Roman"/>
          <w:kern w:val="2"/>
          <w:sz w:val="32"/>
          <w:szCs w:val="32"/>
          <w:lang w:val="en-US" w:eastAsia="zh-CN" w:bidi="ar-SA"/>
        </w:rPr>
      </w:pP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20"/>
          <w:rFonts w:hint="eastAsia" w:ascii="方正小标宋简体" w:hAnsi="方正小标宋简体" w:eastAsia="方正小标宋简体" w:cs="方正小标宋简体"/>
          <w:color w:val="auto"/>
          <w:sz w:val="44"/>
          <w:szCs w:val="44"/>
          <w:u w:val="none"/>
          <w:lang w:eastAsia="zh-CN"/>
        </w:rPr>
      </w:pPr>
      <w:r>
        <w:rPr>
          <w:rStyle w:val="20"/>
          <w:rFonts w:hint="eastAsia" w:ascii="方正小标宋简体" w:hAnsi="方正小标宋简体" w:eastAsia="方正小标宋简体" w:cs="方正小标宋简体"/>
          <w:color w:val="auto"/>
          <w:sz w:val="44"/>
          <w:szCs w:val="44"/>
          <w:u w:val="none"/>
          <w:lang w:eastAsia="zh-CN"/>
        </w:rPr>
        <w:t>小金县文化广播电视体育和旅游局</w:t>
      </w: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Style w:val="20"/>
          <w:rFonts w:hint="eastAsia" w:ascii="方正小标宋简体" w:hAnsi="方正小标宋简体" w:eastAsia="方正小标宋简体" w:cs="方正小标宋简体"/>
          <w:color w:val="auto"/>
          <w:sz w:val="44"/>
          <w:szCs w:val="44"/>
          <w:u w:val="none"/>
          <w:lang w:eastAsia="zh-CN"/>
        </w:rPr>
        <w:t>关于</w:t>
      </w:r>
      <w:r>
        <w:rPr>
          <w:rStyle w:val="20"/>
          <w:rFonts w:hint="eastAsia" w:ascii="方正小标宋简体" w:hAnsi="方正小标宋简体" w:eastAsia="方正小标宋简体" w:cs="方正小标宋简体"/>
          <w:color w:val="auto"/>
          <w:sz w:val="44"/>
          <w:szCs w:val="44"/>
          <w:u w:val="none"/>
          <w:lang w:val="en-US" w:eastAsia="zh-CN"/>
        </w:rPr>
        <w:t>2025年</w:t>
      </w:r>
      <w:r>
        <w:rPr>
          <w:rStyle w:val="20"/>
          <w:rFonts w:hint="eastAsia" w:ascii="方正小标宋简体" w:hAnsi="方正小标宋简体" w:eastAsia="方正小标宋简体" w:cs="方正小标宋简体"/>
          <w:color w:val="auto"/>
          <w:sz w:val="44"/>
          <w:szCs w:val="44"/>
          <w:u w:val="none"/>
          <w:lang w:eastAsia="zh-CN"/>
        </w:rPr>
        <w:t>博物馆</w:t>
      </w:r>
      <w:r>
        <w:rPr>
          <w:rStyle w:val="20"/>
          <w:rFonts w:hint="eastAsia" w:ascii="方正小标宋简体" w:hAnsi="方正小标宋简体" w:eastAsia="方正小标宋简体" w:cs="方正小标宋简体"/>
          <w:color w:val="auto"/>
          <w:sz w:val="44"/>
          <w:szCs w:val="44"/>
          <w:u w:val="none"/>
          <w:lang w:eastAsia="zh-CN"/>
        </w:rPr>
        <w:fldChar w:fldCharType="begin"/>
      </w:r>
      <w:r>
        <w:rPr>
          <w:rStyle w:val="20"/>
          <w:rFonts w:hint="eastAsia" w:ascii="方正小标宋简体" w:hAnsi="方正小标宋简体" w:eastAsia="方正小标宋简体" w:cs="方正小标宋简体"/>
          <w:color w:val="auto"/>
          <w:sz w:val="44"/>
          <w:szCs w:val="44"/>
          <w:u w:val="none"/>
          <w:lang w:eastAsia="zh-CN"/>
        </w:rPr>
        <w:instrText xml:space="preserve"> HYPERLINK "http://baike.baidu.com/view/984478.htm" </w:instrText>
      </w:r>
      <w:r>
        <w:rPr>
          <w:rStyle w:val="20"/>
          <w:rFonts w:hint="eastAsia" w:ascii="方正小标宋简体" w:hAnsi="方正小标宋简体" w:eastAsia="方正小标宋简体" w:cs="方正小标宋简体"/>
          <w:color w:val="auto"/>
          <w:sz w:val="44"/>
          <w:szCs w:val="44"/>
          <w:u w:val="none"/>
          <w:lang w:eastAsia="zh-CN"/>
        </w:rPr>
        <w:fldChar w:fldCharType="separate"/>
      </w:r>
      <w:r>
        <w:rPr>
          <w:rStyle w:val="20"/>
          <w:rFonts w:hint="eastAsia" w:ascii="方正小标宋简体" w:hAnsi="方正小标宋简体" w:eastAsia="方正小标宋简体" w:cs="方正小标宋简体"/>
          <w:color w:val="auto"/>
          <w:sz w:val="44"/>
          <w:szCs w:val="44"/>
          <w:u w:val="none"/>
          <w:lang w:eastAsia="zh-CN"/>
        </w:rPr>
        <w:t>纪念馆</w:t>
      </w:r>
      <w:r>
        <w:rPr>
          <w:rStyle w:val="20"/>
          <w:rFonts w:hint="eastAsia" w:ascii="方正小标宋简体" w:hAnsi="方正小标宋简体" w:eastAsia="方正小标宋简体" w:cs="方正小标宋简体"/>
          <w:color w:val="auto"/>
          <w:sz w:val="44"/>
          <w:szCs w:val="44"/>
          <w:u w:val="none"/>
          <w:lang w:eastAsia="zh-CN"/>
        </w:rPr>
        <w:fldChar w:fldCharType="end"/>
      </w:r>
      <w:r>
        <w:rPr>
          <w:rStyle w:val="20"/>
          <w:rFonts w:hint="eastAsia" w:ascii="方正小标宋简体" w:hAnsi="方正小标宋简体" w:eastAsia="方正小标宋简体" w:cs="方正小标宋简体"/>
          <w:color w:val="auto"/>
          <w:sz w:val="44"/>
          <w:szCs w:val="44"/>
          <w:u w:val="none"/>
          <w:lang w:eastAsia="zh-CN"/>
        </w:rPr>
        <w:t>免费开放</w:t>
      </w:r>
      <w:r>
        <w:rPr>
          <w:rStyle w:val="20"/>
          <w:rFonts w:hint="eastAsia" w:ascii="方正小标宋简体" w:hAnsi="方正小标宋简体" w:eastAsia="方正小标宋简体" w:cs="方正小标宋简体"/>
          <w:color w:val="auto"/>
          <w:sz w:val="44"/>
          <w:szCs w:val="44"/>
          <w:u w:val="none"/>
          <w:lang w:val="en-US" w:eastAsia="zh-CN"/>
        </w:rPr>
        <w:t>专项预算项目绩效评价报</w:t>
      </w:r>
      <w:r>
        <w:rPr>
          <w:rFonts w:hint="eastAsia" w:ascii="方正小标宋简体" w:hAnsi="方正小标宋简体" w:eastAsia="方正小标宋简体" w:cs="方正小标宋简体"/>
          <w:color w:val="auto"/>
          <w:kern w:val="2"/>
          <w:sz w:val="44"/>
          <w:szCs w:val="44"/>
          <w:highlight w:val="none"/>
          <w:lang w:val="en-US" w:eastAsia="zh-CN"/>
        </w:rPr>
        <w:t>告</w:t>
      </w: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880" w:firstLineChars="200"/>
        <w:jc w:val="both"/>
        <w:textAlignment w:val="auto"/>
        <w:rPr>
          <w:rFonts w:ascii="黑体" w:hAnsi="宋体" w:eastAsia="黑体"/>
          <w:sz w:val="44"/>
          <w:szCs w:val="44"/>
          <w:highlight w:val="none"/>
          <w:lang w:val="zh-CN"/>
        </w:rPr>
      </w:pPr>
      <w:r>
        <w:rPr>
          <w:rFonts w:hint="eastAsia" w:ascii="黑体" w:hAnsi="宋体" w:eastAsia="黑体"/>
          <w:sz w:val="44"/>
          <w:szCs w:val="44"/>
          <w:highlight w:val="none"/>
        </w:rPr>
        <w:t>一、</w:t>
      </w:r>
      <w:r>
        <w:rPr>
          <w:rFonts w:hint="eastAsia" w:ascii="黑体" w:hAnsi="宋体" w:eastAsia="黑体"/>
          <w:sz w:val="44"/>
          <w:szCs w:val="44"/>
          <w:highlight w:val="none"/>
          <w:lang w:val="zh-CN"/>
        </w:rPr>
        <w:t>项目概况</w:t>
      </w:r>
    </w:p>
    <w:p>
      <w:pPr>
        <w:pStyle w:val="17"/>
        <w:keepNext w:val="0"/>
        <w:keepLines w:val="0"/>
        <w:pageBreakBefore w:val="0"/>
        <w:widowControl/>
        <w:shd w:val="clear" w:color="auto" w:fill="FFFFFF"/>
        <w:kinsoku/>
        <w:wordWrap/>
        <w:overflowPunct/>
        <w:topLinePunct w:val="0"/>
        <w:autoSpaceDE/>
        <w:autoSpaceDN/>
        <w:bidi w:val="0"/>
        <w:spacing w:beforeAutospacing="0" w:afterAutospacing="0" w:line="56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项目主要涉及两河口会议纪念馆及达维会师陈列馆的免费开放运营。</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项目资金管理严格遵循《纪念馆免费开放专项资金管理暂行办法》及县文广体旅局内控机制、“三重一大”决策制度。项目实施目的是确保</w:t>
      </w:r>
      <w:r>
        <w:rPr>
          <w:rFonts w:hint="eastAsia" w:ascii="仿宋_GB2312" w:hAnsi="仿宋_GB2312" w:cs="仿宋_GB2312"/>
          <w:color w:val="auto"/>
          <w:kern w:val="0"/>
          <w:sz w:val="32"/>
          <w:szCs w:val="32"/>
          <w:highlight w:val="none"/>
          <w:u w:val="none"/>
          <w:shd w:val="clear" w:color="auto" w:fill="FFFFFF"/>
          <w:lang w:val="en-US" w:eastAsia="zh-CN"/>
        </w:rPr>
        <w:t>博物馆</w:t>
      </w:r>
      <w:r>
        <w:rPr>
          <w:rFonts w:hint="eastAsia" w:ascii="仿宋_GB2312" w:hAnsi="仿宋_GB2312" w:eastAsia="仿宋_GB2312" w:cs="仿宋_GB2312"/>
          <w:color w:val="auto"/>
          <w:kern w:val="0"/>
          <w:sz w:val="32"/>
          <w:szCs w:val="32"/>
          <w:highlight w:val="none"/>
          <w:u w:val="none"/>
          <w:shd w:val="clear" w:color="auto" w:fill="FFFFFF"/>
          <w:lang w:val="en-US" w:eastAsia="zh-CN"/>
        </w:rPr>
        <w:t>纪念馆高质量运营，主要工作任务为专款专用。资金支持方向：免开经费主要用于两河口会议会址纪念馆及达维会师陈列馆的日常运营管理、讲解人员及管理人员工资等支出。</w:t>
      </w:r>
    </w:p>
    <w:p>
      <w:pPr>
        <w:keepNext w:val="0"/>
        <w:keepLines w:val="0"/>
        <w:pageBreakBefore w:val="0"/>
        <w:kinsoku/>
        <w:wordWrap/>
        <w:overflowPunct/>
        <w:topLinePunct w:val="0"/>
        <w:autoSpaceDE/>
        <w:autoSpaceDN/>
        <w:bidi w:val="0"/>
        <w:spacing w:line="560" w:lineRule="exact"/>
        <w:ind w:left="0" w:leftChars="0"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按照“科学预算、专款专用”的原则，对运营管理、维修、人员工资等内容进行细化预算。2025年，博物馆纪念馆免开补助资金为100万元。截至2025年底，该资金已全部支出，主要用于改善基本陈列展览、加强配套设施建设、设备更新购置、购买服务及日常运营等方面。</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jc w:val="both"/>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项目年初科学设定绩效目标，确保州级下拨资金按预算全额保障两河口会议纪念馆及达维会师陈列馆的正常运营。项目自评工作围绕目标完成情况展开，重点考察资金使用效益。</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left="0" w:leftChars="0" w:firstLine="643" w:firstLineChars="20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color w:val="auto"/>
          <w:kern w:val="0"/>
          <w:sz w:val="32"/>
          <w:szCs w:val="32"/>
          <w:highlight w:val="none"/>
          <w:u w:val="none"/>
          <w:shd w:val="clear" w:color="auto" w:fill="FFFFFF"/>
          <w:lang w:val="zh-CN" w:eastAsia="zh-CN"/>
        </w:rPr>
        <w:t>通过绩效自评，核查2025年下拨的免开补助资金是否按预算要求全额用于保障两河口会议纪念馆及达维会师陈列馆的正常运营，确保资金专款专用，发挥最大效益。</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color w:val="auto"/>
          <w:kern w:val="0"/>
          <w:sz w:val="32"/>
          <w:szCs w:val="32"/>
          <w:highlight w:val="none"/>
          <w:u w:val="none"/>
          <w:shd w:val="clear" w:color="auto" w:fill="FFFFFF"/>
          <w:lang w:val="zh-CN" w:eastAsia="zh-CN"/>
        </w:rPr>
        <w:t>按照绩效评价指标体系，对资金支出使用的全过程及实施效果进行综合评价。2025年，免开补助资金已全部用于改善两馆基本陈列展览、加强配套设施建设、设备更新购置、购买服务及日常运营等。资金的有效投入保障了两馆的高质量运营。</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项目绩效自评所抽样点位情况：</w:t>
      </w:r>
      <w:r>
        <w:rPr>
          <w:rFonts w:hint="eastAsia" w:ascii="仿宋_GB2312" w:hAnsi="仿宋_GB2312" w:eastAsia="仿宋_GB2312" w:cs="仿宋_GB2312"/>
          <w:color w:val="auto"/>
          <w:kern w:val="0"/>
          <w:sz w:val="32"/>
          <w:szCs w:val="32"/>
          <w:highlight w:val="none"/>
          <w:u w:val="none"/>
          <w:shd w:val="clear" w:color="auto" w:fill="FFFFFF"/>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zh-CN" w:eastAsia="zh-CN"/>
        </w:rPr>
        <w:t>两河口会议纪念馆及达维会师陈列馆免开补助资金中抽取讲解员工资、讲解内容、服务态度进行评价，满意率达</w:t>
      </w:r>
      <w:r>
        <w:rPr>
          <w:rFonts w:hint="eastAsia" w:ascii="仿宋_GB2312" w:hAnsi="仿宋_GB2312" w:eastAsia="仿宋_GB2312" w:cs="仿宋_GB2312"/>
          <w:color w:val="auto"/>
          <w:kern w:val="0"/>
          <w:sz w:val="32"/>
          <w:szCs w:val="32"/>
          <w:highlight w:val="none"/>
          <w:u w:val="none"/>
          <w:shd w:val="clear" w:color="auto" w:fill="FFFFFF"/>
          <w:lang w:val="en-US" w:eastAsia="zh-CN"/>
        </w:rPr>
        <w:t>90%</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color w:val="auto"/>
          <w:kern w:val="0"/>
          <w:sz w:val="32"/>
          <w:szCs w:val="32"/>
          <w:highlight w:val="none"/>
          <w:u w:val="none"/>
          <w:shd w:val="clear" w:color="auto" w:fill="FFFFFF"/>
          <w:lang w:val="zh-CN" w:eastAsia="zh-CN"/>
        </w:rPr>
        <w:t>主要采用单位自评法、实地勘察法、座谈调研法相结合的方式开展评价。</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eastAsia="仿宋_GB2312" w:cs="Times New Roman"/>
          <w:bCs/>
          <w:lang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color w:val="auto"/>
          <w:kern w:val="0"/>
          <w:sz w:val="32"/>
          <w:szCs w:val="32"/>
          <w:highlight w:val="none"/>
          <w:u w:val="none"/>
          <w:shd w:val="clear" w:color="auto" w:fill="FFFFFF"/>
          <w:lang w:val="zh-CN" w:eastAsia="zh-CN"/>
        </w:rPr>
        <w:t>评价组由县文广体旅局分管负责人、文旅公司负责人、文物管理所负责人组成。分管负责人负责整体协调及群众座谈，文旅公司及文管所负责人负责实地踏勘、听取讲解及组织学员、研学者座谈。</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项目决策。</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项目决策程序严密，得6分；项目规划论证符合要求，项目绩效目标设置科学合理，得6分；资金投向与项目相匹配，得6分。共计18分。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2.</w:t>
      </w:r>
      <w:r>
        <w:rPr>
          <w:rFonts w:hint="eastAsia" w:ascii="仿宋_GB2312" w:hAnsi="仿宋_GB2312" w:eastAsia="仿宋_GB2312" w:cs="仿宋_GB2312"/>
          <w:b/>
          <w:bCs/>
          <w:color w:val="auto"/>
          <w:kern w:val="0"/>
          <w:sz w:val="32"/>
          <w:szCs w:val="32"/>
          <w:highlight w:val="none"/>
          <w:u w:val="none"/>
          <w:shd w:val="clear" w:color="auto" w:fill="FFFFFF"/>
          <w:lang w:val="zh-CN" w:eastAsia="zh-CN"/>
        </w:rPr>
        <w:t>项目管理。</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w:t>
      </w:r>
      <w:r>
        <w:rPr>
          <w:rFonts w:hint="eastAsia" w:ascii="仿宋_GB2312" w:hAnsi="仿宋_GB2312" w:eastAsia="仿宋_GB2312" w:cs="仿宋_GB2312"/>
          <w:color w:val="auto"/>
          <w:kern w:val="0"/>
          <w:sz w:val="32"/>
          <w:szCs w:val="32"/>
          <w:highlight w:val="none"/>
          <w:u w:val="none"/>
          <w:shd w:val="clear" w:color="auto" w:fill="FFFFFF"/>
          <w:lang w:val="zh-CN" w:eastAsia="zh-CN"/>
        </w:rPr>
        <w:t>制度办法</w:t>
      </w:r>
      <w:r>
        <w:rPr>
          <w:rFonts w:hint="eastAsia" w:ascii="仿宋_GB2312" w:hAnsi="仿宋_GB2312" w:eastAsia="仿宋_GB2312" w:cs="仿宋_GB2312"/>
          <w:color w:val="auto"/>
          <w:kern w:val="0"/>
          <w:sz w:val="32"/>
          <w:szCs w:val="32"/>
          <w:highlight w:val="none"/>
          <w:u w:val="none"/>
          <w:shd w:val="clear" w:color="auto" w:fill="FFFFFF"/>
          <w:lang w:val="en-US" w:eastAsia="zh-CN"/>
        </w:rPr>
        <w:t>体系健全</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要素完备，得2分；</w:t>
      </w:r>
      <w:r>
        <w:rPr>
          <w:rFonts w:hint="eastAsia" w:ascii="仿宋_GB2312" w:hAnsi="仿宋_GB2312" w:eastAsia="仿宋_GB2312" w:cs="仿宋_GB2312"/>
          <w:color w:val="auto"/>
          <w:kern w:val="0"/>
          <w:sz w:val="32"/>
          <w:szCs w:val="32"/>
          <w:highlight w:val="none"/>
          <w:u w:val="none"/>
          <w:shd w:val="clear" w:color="auto" w:fill="FFFFFF"/>
          <w:lang w:val="zh-CN" w:eastAsia="zh-CN"/>
        </w:rPr>
        <w:t>分配</w:t>
      </w:r>
      <w:r>
        <w:rPr>
          <w:rFonts w:hint="eastAsia" w:ascii="仿宋_GB2312" w:hAnsi="仿宋_GB2312" w:eastAsia="仿宋_GB2312" w:cs="仿宋_GB2312"/>
          <w:color w:val="auto"/>
          <w:kern w:val="0"/>
          <w:sz w:val="32"/>
          <w:szCs w:val="32"/>
          <w:highlight w:val="none"/>
          <w:u w:val="none"/>
          <w:shd w:val="clear" w:color="auto" w:fill="FFFFFF"/>
          <w:lang w:val="en-US" w:eastAsia="zh-CN"/>
        </w:rPr>
        <w:t>因素符合</w:t>
      </w:r>
      <w:r>
        <w:rPr>
          <w:rFonts w:hint="eastAsia" w:ascii="仿宋_GB2312" w:hAnsi="仿宋_GB2312" w:eastAsia="仿宋_GB2312" w:cs="仿宋_GB2312"/>
          <w:color w:val="auto"/>
          <w:kern w:val="0"/>
          <w:sz w:val="32"/>
          <w:szCs w:val="32"/>
          <w:highlight w:val="none"/>
          <w:u w:val="none"/>
          <w:shd w:val="clear" w:color="auto" w:fill="FFFFFF"/>
          <w:lang w:val="zh-CN" w:eastAsia="zh-CN"/>
        </w:rPr>
        <w:t>管理</w:t>
      </w:r>
      <w:r>
        <w:rPr>
          <w:rFonts w:hint="eastAsia" w:ascii="仿宋_GB2312" w:hAnsi="仿宋_GB2312" w:eastAsia="仿宋_GB2312" w:cs="仿宋_GB2312"/>
          <w:color w:val="auto"/>
          <w:kern w:val="0"/>
          <w:sz w:val="32"/>
          <w:szCs w:val="32"/>
          <w:highlight w:val="none"/>
          <w:u w:val="none"/>
          <w:shd w:val="clear" w:color="auto" w:fill="FFFFFF"/>
          <w:lang w:val="en-US" w:eastAsia="zh-CN"/>
        </w:rPr>
        <w:t>要求，得8分；项目</w:t>
      </w:r>
      <w:r>
        <w:rPr>
          <w:rFonts w:hint="eastAsia" w:ascii="仿宋_GB2312" w:hAnsi="仿宋_GB2312" w:eastAsia="仿宋_GB2312" w:cs="仿宋_GB2312"/>
          <w:color w:val="auto"/>
          <w:kern w:val="0"/>
          <w:sz w:val="32"/>
          <w:szCs w:val="32"/>
          <w:highlight w:val="none"/>
          <w:u w:val="none"/>
          <w:shd w:val="clear" w:color="auto" w:fill="FFFFFF"/>
          <w:lang w:val="zh-CN" w:eastAsia="zh-CN"/>
        </w:rPr>
        <w:t>绩效监管</w:t>
      </w:r>
      <w:r>
        <w:rPr>
          <w:rFonts w:hint="eastAsia" w:ascii="仿宋_GB2312" w:hAnsi="仿宋_GB2312" w:eastAsia="仿宋_GB2312" w:cs="仿宋_GB2312"/>
          <w:color w:val="auto"/>
          <w:kern w:val="0"/>
          <w:sz w:val="32"/>
          <w:szCs w:val="32"/>
          <w:highlight w:val="none"/>
          <w:u w:val="none"/>
          <w:shd w:val="clear" w:color="auto" w:fill="FFFFFF"/>
          <w:lang w:val="en-US" w:eastAsia="zh-CN"/>
        </w:rPr>
        <w:t>按要求开展，指导有力有效，得5分</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共计15分。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3.项目实施。</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项目资金拨付及时全部下发到位，得6分。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资金拨付遵守相关法律法规，无截留、挤占、挪用等情况，得3分。共计9分。</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color w:val="auto"/>
          <w:kern w:val="0"/>
          <w:sz w:val="32"/>
          <w:szCs w:val="32"/>
          <w:highlight w:val="none"/>
          <w:u w:val="none"/>
          <w:shd w:val="clear" w:color="auto" w:fill="FFFFFF"/>
          <w:lang w:val="en-US" w:eastAsia="zh-CN"/>
        </w:rPr>
        <w:t>4.项目结果。</w:t>
      </w:r>
      <w:r>
        <w:rPr>
          <w:rFonts w:hint="eastAsia" w:ascii="仿宋_GB2312" w:hAnsi="仿宋_GB2312" w:eastAsia="仿宋_GB2312" w:cs="仿宋_GB2312"/>
          <w:color w:val="auto"/>
          <w:kern w:val="0"/>
          <w:sz w:val="32"/>
          <w:szCs w:val="32"/>
          <w:highlight w:val="none"/>
          <w:u w:val="none"/>
          <w:shd w:val="clear" w:color="auto" w:fill="FFFFFF"/>
          <w:lang w:val="en-US" w:eastAsia="zh-CN"/>
        </w:rPr>
        <w:t>该项目完成了预期目标，实施结果与绩效目标相匹配，综合情况得7分。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仿宋_GB2312" w:hAnsi="仿宋_GB2312" w:eastAsia="仿宋_GB2312" w:cs="仿宋_GB2312"/>
          <w:color w:val="auto"/>
          <w:kern w:val="0"/>
          <w:sz w:val="32"/>
          <w:szCs w:val="32"/>
          <w:highlight w:val="none"/>
          <w:u w:val="none"/>
          <w:shd w:val="clear" w:color="auto" w:fill="FFFFFF"/>
          <w:lang w:val="zh-CN" w:eastAsia="zh-CN"/>
        </w:rPr>
        <w:t>民生保障。</w:t>
      </w:r>
      <w:r>
        <w:rPr>
          <w:rFonts w:hint="eastAsia" w:ascii="仿宋_GB2312" w:hAnsi="仿宋_GB2312" w:eastAsia="仿宋_GB2312" w:cs="仿宋_GB2312"/>
          <w:color w:val="auto"/>
          <w:kern w:val="0"/>
          <w:sz w:val="32"/>
          <w:szCs w:val="32"/>
          <w:highlight w:val="none"/>
          <w:u w:val="none"/>
          <w:shd w:val="clear" w:color="auto" w:fill="FFFFFF"/>
          <w:lang w:val="en-US" w:eastAsia="zh-CN"/>
        </w:rPr>
        <w:t>纪念馆及陈列馆的建立，不仅传承了红色基因，更有效带动了当地红色旅游发展，增加了就业岗位，帮助当地藏族群众吃上“旅游饭”，为农牧民增收致富和巩固脱贫攻坚成果奠定了坚实基础。综合情况得26分。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jc w:val="both"/>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仿宋_GB2312" w:eastAsia="仿宋_GB2312" w:cs="仿宋_GB2312"/>
          <w:color w:val="auto"/>
          <w:kern w:val="0"/>
          <w:sz w:val="32"/>
          <w:szCs w:val="32"/>
          <w:highlight w:val="none"/>
          <w:u w:val="none"/>
          <w:shd w:val="clear" w:color="auto" w:fill="FFFFFF"/>
          <w:lang w:val="zh-CN" w:eastAsia="zh-CN"/>
        </w:rPr>
        <w:t>一是免开资金全额用于两河口会议纪念馆及达维会师陈列馆；二是资金支出符合相关规定；三是资金使用达到了预期效果，场馆运营状况良好。</w:t>
      </w:r>
      <w:r>
        <w:rPr>
          <w:rFonts w:hint="eastAsia" w:ascii="仿宋_GB2312" w:hAnsi="仿宋_GB2312" w:eastAsia="仿宋_GB2312" w:cs="仿宋_GB2312"/>
          <w:color w:val="auto"/>
          <w:kern w:val="0"/>
          <w:sz w:val="32"/>
          <w:szCs w:val="32"/>
          <w:highlight w:val="none"/>
          <w:u w:val="none"/>
          <w:shd w:val="clear" w:color="auto" w:fill="FFFFFF"/>
          <w:lang w:val="en-US" w:eastAsia="zh-CN"/>
        </w:rPr>
        <w:t>综合情况得13分。</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决策科学，免开经费符合公益性红色纪念馆的实际需求；资金使用过程严谨、透明、合规；取得了显著的社会效益，有效保障了场馆运营，传承了红色文化。专项预算项目绩效自评总体结论为良，评价总分89分。</w:t>
      </w:r>
    </w:p>
    <w:p>
      <w:pPr>
        <w:pStyle w:val="7"/>
        <w:keepNext w:val="0"/>
        <w:keepLines w:val="0"/>
        <w:pageBreakBefore w:val="0"/>
        <w:numPr>
          <w:ilvl w:val="0"/>
          <w:numId w:val="5"/>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eastAsia" w:ascii="黑体" w:hAnsi="宋体" w:eastAsia="黑体" w:cs="Times New Roman"/>
          <w:color w:val="auto"/>
          <w:sz w:val="32"/>
          <w:szCs w:val="32"/>
          <w:highlight w:val="none"/>
          <w:u w:val="none"/>
          <w:lang w:eastAsia="zh-CN"/>
        </w:rPr>
      </w:pPr>
      <w:r>
        <w:rPr>
          <w:rFonts w:hint="eastAsia" w:ascii="黑体" w:hAnsi="宋体"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资金保障与实际需求存在差距：当前免开补助资金标准未能充分考虑高原地区纪念馆的特殊性。高海拔、极端气候导致设施设备折旧率、损坏率高，能耗及维护成本显著高于一般地区，现有资金难以满足高质量运营需求。</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left="0" w:leftChars="0" w:firstLine="640" w:firstLineChars="200"/>
        <w:jc w:val="both"/>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bookmarkStart w:id="88" w:name="_Hlk110546638"/>
      <w:r>
        <w:rPr>
          <w:rFonts w:hint="eastAsia" w:ascii="仿宋_GB2312" w:hAnsi="仿宋_GB2312" w:eastAsia="仿宋_GB2312" w:cs="仿宋_GB2312"/>
          <w:b w:val="0"/>
          <w:bCs w:val="0"/>
          <w:kern w:val="0"/>
          <w:position w:val="0"/>
          <w:sz w:val="32"/>
          <w:szCs w:val="32"/>
          <w:highlight w:val="none"/>
          <w:lang w:val="en-US" w:eastAsia="zh-CN" w:bidi="ar-SA"/>
        </w:rPr>
        <w:t>建议上级部门在分配免开补助资金时，充分考虑纪念馆所处地理位置、海拔高程、气候条件等综合因素，建立差异化补助机制。对地处高寒、高海拔等艰苦地区的公益性红色纪念馆，适当提高补助标准，避免“一刀切”，确保资金能真正保障场馆长期稳定、高质量运行。</w:t>
      </w:r>
      <w:bookmarkEnd w:id="88"/>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rPr>
          <w:rFonts w:hint="default" w:hAnsi="宋体" w:cs="Times New Roman"/>
          <w:kern w:val="2"/>
          <w:sz w:val="32"/>
          <w:szCs w:val="32"/>
          <w:lang w:val="en-US" w:eastAsia="zh-CN" w:bidi="ar-SA"/>
        </w:rPr>
      </w:pPr>
    </w:p>
    <w:p>
      <w:pPr>
        <w:pStyle w:val="2"/>
        <w:rPr>
          <w:rFonts w:hint="default"/>
          <w:lang w:val="en-US" w:eastAsia="zh-CN"/>
        </w:rPr>
      </w:pPr>
    </w:p>
    <w:p>
      <w:pPr>
        <w:pStyle w:val="7"/>
        <w:keepNext w:val="0"/>
        <w:keepLines w:val="0"/>
        <w:pageBreakBefore w:val="0"/>
        <w:kinsoku/>
        <w:wordWrap/>
        <w:overflowPunct/>
        <w:autoSpaceDN/>
        <w:bidi w:val="0"/>
        <w:spacing w:beforeLines="0" w:line="560" w:lineRule="exact"/>
        <w:ind w:right="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附件5</w:t>
      </w:r>
    </w:p>
    <w:p>
      <w:pPr>
        <w:pStyle w:val="7"/>
        <w:keepNext w:val="0"/>
        <w:keepLines w:val="0"/>
        <w:pageBreakBefore w:val="0"/>
        <w:kinsoku/>
        <w:wordWrap/>
        <w:overflowPunct/>
        <w:autoSpaceDN/>
        <w:bidi w:val="0"/>
        <w:spacing w:beforeLines="0" w:line="560" w:lineRule="exact"/>
        <w:ind w:right="0"/>
        <w:textAlignment w:val="auto"/>
        <w:rPr>
          <w:rFonts w:hint="eastAsia" w:hAnsi="宋体" w:cs="Times New Roman"/>
          <w:kern w:val="2"/>
          <w:sz w:val="32"/>
          <w:szCs w:val="32"/>
          <w:lang w:val="en-US" w:eastAsia="zh-CN" w:bidi="ar-SA"/>
        </w:rPr>
      </w:pP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20"/>
          <w:rFonts w:hint="eastAsia" w:ascii="方正小标宋简体" w:hAnsi="方正小标宋简体" w:eastAsia="方正小标宋简体" w:cs="方正小标宋简体"/>
          <w:color w:val="auto"/>
          <w:sz w:val="44"/>
          <w:szCs w:val="44"/>
          <w:u w:val="none"/>
          <w:lang w:eastAsia="zh-CN"/>
        </w:rPr>
      </w:pPr>
      <w:r>
        <w:rPr>
          <w:rStyle w:val="20"/>
          <w:rFonts w:hint="eastAsia" w:ascii="方正小标宋简体" w:hAnsi="方正小标宋简体" w:eastAsia="方正小标宋简体" w:cs="方正小标宋简体"/>
          <w:color w:val="auto"/>
          <w:sz w:val="44"/>
          <w:szCs w:val="44"/>
          <w:u w:val="none"/>
          <w:lang w:eastAsia="zh-CN"/>
        </w:rPr>
        <w:t>小金县文化广播电视体育和旅游局</w:t>
      </w: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color w:val="000000" w:themeColor="text1"/>
          <w:kern w:val="2"/>
          <w:sz w:val="44"/>
          <w:szCs w:val="44"/>
          <w:lang w:val="en-US"/>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lang w:val="en-US" w:eastAsia="zh-CN"/>
          <w14:textFill>
            <w14:solidFill>
              <w14:schemeClr w14:val="tx1"/>
            </w14:solidFill>
          </w14:textFill>
        </w:rPr>
        <w:t>关于</w:t>
      </w:r>
      <w:r>
        <w:rPr>
          <w:rFonts w:hint="eastAsia" w:ascii="方正小标宋简体" w:hAnsi="方正小标宋简体" w:eastAsia="方正小标宋简体" w:cs="方正小标宋简体"/>
          <w:color w:val="000000" w:themeColor="text1"/>
          <w:kern w:val="2"/>
          <w:sz w:val="44"/>
          <w:szCs w:val="44"/>
          <w:lang w:val="en-US"/>
          <w14:textFill>
            <w14:solidFill>
              <w14:schemeClr w14:val="tx1"/>
            </w14:solidFill>
          </w14:textFill>
        </w:rPr>
        <w:t>202</w:t>
      </w:r>
      <w:r>
        <w:rPr>
          <w:rFonts w:hint="eastAsia" w:ascii="方正小标宋简体" w:hAnsi="方正小标宋简体" w:eastAsia="方正小标宋简体" w:cs="方正小标宋简体"/>
          <w:color w:val="000000" w:themeColor="text1"/>
          <w:kern w:val="2"/>
          <w:sz w:val="44"/>
          <w:szCs w:val="44"/>
          <w:lang w:val="en-US" w:eastAsia="zh-CN"/>
          <w14:textFill>
            <w14:solidFill>
              <w14:schemeClr w14:val="tx1"/>
            </w14:solidFill>
          </w14:textFill>
        </w:rPr>
        <w:t>5</w:t>
      </w:r>
      <w:r>
        <w:rPr>
          <w:rFonts w:hint="eastAsia" w:ascii="方正小标宋简体" w:hAnsi="方正小标宋简体" w:eastAsia="方正小标宋简体" w:cs="方正小标宋简体"/>
          <w:color w:val="000000" w:themeColor="text1"/>
          <w:kern w:val="2"/>
          <w:sz w:val="44"/>
          <w:szCs w:val="44"/>
          <w:lang w:val="en-US"/>
          <w14:textFill>
            <w14:solidFill>
              <w14:schemeClr w14:val="tx1"/>
            </w14:solidFill>
          </w14:textFill>
        </w:rPr>
        <w:t>年中央支持地方公共文化服务体系建设（戏曲进乡村）补助资金专项预算项目绩效评价报告</w:t>
      </w:r>
    </w:p>
    <w:p>
      <w:pPr>
        <w:pStyle w:val="37"/>
        <w:keepNext w:val="0"/>
        <w:keepLines w:val="0"/>
        <w:pageBreakBefore w:val="0"/>
        <w:kinsoku/>
        <w:wordWrap/>
        <w:overflowPunct/>
        <w:autoSpaceDN/>
        <w:bidi w:val="0"/>
        <w:spacing w:line="560" w:lineRule="exact"/>
        <w:ind w:firstLine="640"/>
        <w:jc w:val="center"/>
        <w:textAlignment w:val="auto"/>
        <w:rPr>
          <w:rFonts w:ascii="宋体" w:hAnsi="宋体"/>
          <w:color w:val="000000" w:themeColor="text1"/>
          <w:kern w:val="2"/>
          <w:sz w:val="32"/>
          <w:szCs w:val="32"/>
          <w14:textFill>
            <w14:solidFill>
              <w14:schemeClr w14:val="tx1"/>
            </w14:solidFill>
          </w14:textFill>
        </w:rPr>
      </w:pPr>
    </w:p>
    <w:p>
      <w:pPr>
        <w:keepNext w:val="0"/>
        <w:keepLines w:val="0"/>
        <w:pageBreakBefore w:val="0"/>
        <w:kinsoku/>
        <w:wordWrap/>
        <w:overflowPunct/>
        <w:autoSpaceDN/>
        <w:bidi w:val="0"/>
        <w:adjustRightInd w:val="0"/>
        <w:snapToGrid w:val="0"/>
        <w:spacing w:line="560" w:lineRule="exact"/>
        <w:ind w:firstLine="640" w:firstLineChars="200"/>
        <w:textAlignment w:val="auto"/>
        <w:rPr>
          <w:rFonts w:ascii="黑体" w:hAnsi="宋体" w:eastAsia="黑体"/>
          <w:color w:val="000000" w:themeColor="text1"/>
          <w:sz w:val="32"/>
          <w:szCs w:val="32"/>
          <w:lang w:val="zh-CN"/>
          <w14:textFill>
            <w14:solidFill>
              <w14:schemeClr w14:val="tx1"/>
            </w14:solidFill>
          </w14:textFill>
        </w:rPr>
      </w:pPr>
      <w:r>
        <w:rPr>
          <w:rFonts w:hint="eastAsia" w:ascii="黑体" w:hAnsi="宋体" w:eastAsia="黑体"/>
          <w:color w:val="000000" w:themeColor="text1"/>
          <w:sz w:val="32"/>
          <w:szCs w:val="32"/>
          <w14:textFill>
            <w14:solidFill>
              <w14:schemeClr w14:val="tx1"/>
            </w14:solidFill>
          </w14:textFill>
        </w:rPr>
        <w:t>一、</w:t>
      </w:r>
      <w:r>
        <w:rPr>
          <w:rFonts w:hint="eastAsia" w:ascii="黑体" w:hAnsi="宋体" w:eastAsia="黑体"/>
          <w:color w:val="000000" w:themeColor="text1"/>
          <w:sz w:val="32"/>
          <w:szCs w:val="32"/>
          <w:lang w:val="zh-CN"/>
          <w14:textFill>
            <w14:solidFill>
              <w14:schemeClr w14:val="tx1"/>
            </w14:solidFill>
          </w14:textFill>
        </w:rPr>
        <w:t>项目概况</w:t>
      </w:r>
    </w:p>
    <w:p>
      <w:pPr>
        <w:pStyle w:val="17"/>
        <w:keepNext w:val="0"/>
        <w:keepLines w:val="0"/>
        <w:pageBreakBefore w:val="0"/>
        <w:kinsoku/>
        <w:wordWrap/>
        <w:overflowPunct/>
        <w:autoSpaceDN/>
        <w:bidi w:val="0"/>
        <w:spacing w:before="0" w:beforeAutospacing="0" w:after="0" w:afterAutospacing="0" w:line="560" w:lineRule="exact"/>
        <w:ind w:firstLine="643" w:firstLineChars="200"/>
        <w:textAlignment w:val="auto"/>
        <w:rPr>
          <w:rFonts w:ascii="仿宋_GB2312" w:hAnsi="仿宋_GB2312" w:cs="仿宋_GB2312"/>
          <w:color w:val="000000" w:themeColor="text1"/>
          <w:shd w:val="clear" w:color="auto" w:fill="FFFFFF"/>
          <w:lang w:val="zh-CN"/>
          <w14:textFill>
            <w14:solidFill>
              <w14:schemeClr w14:val="tx1"/>
            </w14:solidFill>
          </w14:textFill>
        </w:rPr>
      </w:pPr>
      <w:r>
        <w:rPr>
          <w:rFonts w:hint="eastAsia" w:ascii="楷体_GB2312" w:eastAsia="楷体_GB2312"/>
          <w:b/>
          <w:color w:val="000000" w:themeColor="text1"/>
          <w:sz w:val="32"/>
          <w:szCs w:val="32"/>
          <w:lang w:val="zh-CN"/>
          <w14:textFill>
            <w14:solidFill>
              <w14:schemeClr w14:val="tx1"/>
            </w14:solidFill>
          </w14:textFill>
        </w:rPr>
        <w:t>（一）设立背景及基本情况。</w:t>
      </w:r>
      <w:r>
        <w:rPr>
          <w:rFonts w:hint="eastAsia" w:ascii="仿宋" w:hAnsi="仿宋" w:eastAsia="仿宋" w:cs="仿宋_GB2312"/>
          <w:sz w:val="32"/>
          <w:szCs w:val="32"/>
        </w:rPr>
        <w:t>为进一步丰富基层公共文化服务供给，提升基层公共文化服务水平中的积极作用，充分发挥传承中华优秀传统文化、丰富群众精神文化生活。按照相关要求，精心开展了“戏曲进乡村、进校园”工作，多举措提升演出质量，扩大基层群众受众率，让广大基层群众真正享受高质量的文化生活。</w:t>
      </w:r>
    </w:p>
    <w:p>
      <w:pPr>
        <w:keepNext w:val="0"/>
        <w:keepLines w:val="0"/>
        <w:pageBreakBefore w:val="0"/>
        <w:kinsoku/>
        <w:wordWrap/>
        <w:overflowPunct/>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b/>
          <w:color w:val="000000" w:themeColor="text1"/>
          <w:sz w:val="32"/>
          <w:szCs w:val="32"/>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（二）</w:t>
      </w:r>
      <w:r>
        <w:rPr>
          <w:rFonts w:ascii="楷体_GB2312" w:hAnsi="宋体" w:eastAsia="楷体_GB2312"/>
          <w:b/>
          <w:color w:val="000000" w:themeColor="text1"/>
          <w:sz w:val="32"/>
          <w:szCs w:val="32"/>
          <w14:textFill>
            <w14:solidFill>
              <w14:schemeClr w14:val="tx1"/>
            </w14:solidFill>
          </w14:textFill>
        </w:rPr>
        <w:t>实施目的及支持方向</w:t>
      </w:r>
      <w:r>
        <w:rPr>
          <w:rFonts w:hint="eastAsia" w:ascii="楷体_GB2312" w:hAnsi="宋体" w:eastAsia="楷体_GB2312"/>
          <w:b/>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kern w:val="0"/>
          <w:sz w:val="32"/>
          <w:szCs w:val="32"/>
          <w:shd w:val="clear" w:color="auto" w:fill="FFFFFF"/>
          <w14:textFill>
            <w14:solidFill>
              <w14:schemeClr w14:val="tx1"/>
            </w14:solidFill>
          </w14:textFill>
        </w:rPr>
        <w:t>项目资金严格按照规定的程序报销，并按照政府会计制度进行管理，财务人员严格执行单位的有关规定，并做到资金的专项管理，专款专用、重点使用。</w:t>
      </w:r>
    </w:p>
    <w:p>
      <w:pPr>
        <w:keepNext w:val="0"/>
        <w:keepLines w:val="0"/>
        <w:pageBreakBefore w:val="0"/>
        <w:widowControl/>
        <w:kinsoku/>
        <w:wordWrap/>
        <w:overflowPunct/>
        <w:autoSpaceDN/>
        <w:bidi w:val="0"/>
        <w:adjustRightInd w:val="0"/>
        <w:snapToGrid w:val="0"/>
        <w:spacing w:line="560" w:lineRule="exact"/>
        <w:ind w:firstLine="643" w:firstLineChars="200"/>
        <w:contextualSpacing/>
        <w:jc w:val="left"/>
        <w:textAlignment w:val="auto"/>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（三）</w:t>
      </w:r>
      <w:r>
        <w:rPr>
          <w:rFonts w:ascii="楷体_GB2312" w:hAnsi="宋体" w:eastAsia="楷体_GB2312"/>
          <w:b/>
          <w:color w:val="000000" w:themeColor="text1"/>
          <w:sz w:val="32"/>
          <w:szCs w:val="32"/>
          <w14:textFill>
            <w14:solidFill>
              <w14:schemeClr w14:val="tx1"/>
            </w14:solidFill>
          </w14:textFill>
        </w:rPr>
        <w:t>预算安排及分配管理</w:t>
      </w:r>
      <w:r>
        <w:rPr>
          <w:rFonts w:hint="eastAsia" w:ascii="楷体_GB2312" w:hAnsi="宋体" w:eastAsia="楷体_GB2312"/>
          <w:b/>
          <w:color w:val="000000" w:themeColor="text1"/>
          <w:sz w:val="32"/>
          <w:szCs w:val="32"/>
          <w:lang w:val="zh-CN"/>
          <w14:textFill>
            <w14:solidFill>
              <w14:schemeClr w14:val="tx1"/>
            </w14:solidFill>
          </w14:textFill>
        </w:rPr>
        <w:t>。</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2025年</w:t>
      </w:r>
      <w:r>
        <w:rPr>
          <w:rFonts w:hint="eastAsia" w:ascii="方正仿宋_GBK" w:hAnsi="方正仿宋_GBK" w:eastAsia="方正仿宋_GBK" w:cs="方正仿宋_GBK"/>
          <w:color w:val="000000" w:themeColor="text1"/>
          <w:kern w:val="0"/>
          <w:sz w:val="32"/>
          <w:szCs w:val="32"/>
          <w:shd w:val="clear" w:color="auto" w:fill="FFFFFF"/>
          <w:lang w:val="en-US" w:eastAsia="zh-CN"/>
          <w14:textFill>
            <w14:solidFill>
              <w14:schemeClr w14:val="tx1"/>
            </w14:solidFill>
          </w14:textFill>
        </w:rPr>
        <w:t>中央</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下达</w:t>
      </w:r>
      <w:r>
        <w:rPr>
          <w:rFonts w:hint="eastAsia" w:ascii="方正仿宋_GBK" w:hAnsi="方正仿宋_GBK" w:eastAsia="方正仿宋_GBK" w:cs="方正仿宋_GBK"/>
          <w:color w:val="000000" w:themeColor="text1"/>
          <w:kern w:val="0"/>
          <w:sz w:val="32"/>
          <w:szCs w:val="32"/>
          <w:shd w:val="clear" w:color="auto" w:fill="FFFFFF"/>
          <w:lang w:val="en-US" w:eastAsia="zh-CN"/>
          <w14:textFill>
            <w14:solidFill>
              <w14:schemeClr w14:val="tx1"/>
            </w14:solidFill>
          </w14:textFill>
        </w:rPr>
        <w:t>54万元</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，用于完成2025年</w:t>
      </w:r>
      <w:r>
        <w:rPr>
          <w:rFonts w:hint="eastAsia" w:ascii="方正仿宋_GBK" w:hAnsi="方正仿宋_GBK" w:eastAsia="方正仿宋_GBK" w:cs="方正仿宋_GBK"/>
          <w:color w:val="000000" w:themeColor="text1"/>
          <w:kern w:val="0"/>
          <w:sz w:val="32"/>
          <w:szCs w:val="32"/>
          <w:shd w:val="clear" w:color="auto" w:fill="FFFFFF"/>
          <w14:textFill>
            <w14:solidFill>
              <w14:schemeClr w14:val="tx1"/>
            </w14:solidFill>
          </w14:textFill>
        </w:rPr>
        <w:t>中央支持地方公共文化服务体系建设——戏曲进乡村</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演出活动162场次。</w:t>
      </w:r>
    </w:p>
    <w:p>
      <w:pPr>
        <w:keepNext w:val="0"/>
        <w:keepLines w:val="0"/>
        <w:pageBreakBefore w:val="0"/>
        <w:kinsoku/>
        <w:wordWrap/>
        <w:overflowPunct/>
        <w:autoSpaceDN/>
        <w:bidi w:val="0"/>
        <w:spacing w:line="560" w:lineRule="exact"/>
        <w:ind w:firstLine="643" w:firstLineChars="200"/>
        <w:textAlignment w:val="auto"/>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（四）项目绩效目标设置。</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本项目资金是用于小金县2025年</w:t>
      </w:r>
      <w:r>
        <w:rPr>
          <w:rFonts w:hint="eastAsia" w:ascii="方正仿宋_GBK" w:hAnsi="方正仿宋_GBK" w:eastAsia="方正仿宋_GBK" w:cs="方正仿宋_GBK"/>
          <w:color w:val="000000" w:themeColor="text1"/>
          <w:kern w:val="0"/>
          <w:sz w:val="32"/>
          <w:szCs w:val="32"/>
          <w:shd w:val="clear" w:color="auto" w:fill="FFFFFF"/>
          <w14:textFill>
            <w14:solidFill>
              <w14:schemeClr w14:val="tx1"/>
            </w14:solidFill>
          </w14:textFill>
        </w:rPr>
        <w:t>戏曲进乡村</w:t>
      </w:r>
      <w:r>
        <w:rPr>
          <w:rFonts w:hint="eastAsia" w:ascii="方正仿宋_GBK" w:hAnsi="方正仿宋_GBK" w:eastAsia="方正仿宋_GBK" w:cs="方正仿宋_GBK"/>
          <w:color w:val="000000" w:themeColor="text1"/>
          <w:kern w:val="0"/>
          <w:sz w:val="32"/>
          <w:szCs w:val="32"/>
          <w:shd w:val="clear" w:color="auto" w:fill="FFFFFF"/>
          <w:lang w:val="zh-CN"/>
          <w14:textFill>
            <w14:solidFill>
              <w14:schemeClr w14:val="tx1"/>
            </w14:solidFill>
          </w14:textFill>
        </w:rPr>
        <w:t>演出活动，</w:t>
      </w:r>
      <w:r>
        <w:rPr>
          <w:rFonts w:hint="eastAsia" w:ascii="方正仿宋_GBK" w:hAnsi="方正仿宋_GBK" w:eastAsia="方正仿宋_GBK" w:cs="方正仿宋_GBK"/>
          <w:sz w:val="32"/>
          <w:szCs w:val="32"/>
        </w:rPr>
        <w:t>进一步丰富基层公共文化服务供给，充分发挥戏曲在传承中华优秀传统文化、提升基层公共文化服务水平中的积极作用，满足人民群众精神文化需求，</w:t>
      </w:r>
      <w:r>
        <w:rPr>
          <w:rFonts w:hint="eastAsia" w:ascii="方正仿宋_GBK" w:hAnsi="方正仿宋_GBK" w:eastAsia="方正仿宋_GBK" w:cs="方正仿宋_GBK"/>
          <w:color w:val="000000" w:themeColor="text1"/>
          <w:sz w:val="32"/>
          <w:szCs w:val="32"/>
          <w14:textFill>
            <w14:solidFill>
              <w14:schemeClr w14:val="tx1"/>
            </w14:solidFill>
          </w14:textFill>
        </w:rPr>
        <w:t>增强人民群众获得感幸福感安全感。</w:t>
      </w:r>
    </w:p>
    <w:p>
      <w:pPr>
        <w:keepNext w:val="0"/>
        <w:keepLines w:val="0"/>
        <w:pageBreakBefore w:val="0"/>
        <w:kinsoku/>
        <w:wordWrap/>
        <w:overflowPunct/>
        <w:autoSpaceDN/>
        <w:bidi w:val="0"/>
        <w:adjustRightInd w:val="0"/>
        <w:snapToGrid w:val="0"/>
        <w:spacing w:line="560" w:lineRule="exact"/>
        <w:ind w:firstLine="640" w:firstLineChars="200"/>
        <w:textAlignment w:val="auto"/>
        <w:rPr>
          <w:rFonts w:ascii="黑体" w:hAnsi="宋体" w:eastAsia="黑体"/>
          <w:color w:val="000000" w:themeColor="text1"/>
          <w:sz w:val="32"/>
          <w:szCs w:val="32"/>
          <w14:textFill>
            <w14:solidFill>
              <w14:schemeClr w14:val="tx1"/>
            </w14:solidFill>
          </w14:textFill>
        </w:rPr>
      </w:pPr>
      <w:r>
        <w:rPr>
          <w:rFonts w:hint="eastAsia" w:ascii="黑体" w:hAnsi="宋体" w:eastAsia="黑体"/>
          <w:color w:val="000000" w:themeColor="text1"/>
          <w:sz w:val="32"/>
          <w:szCs w:val="32"/>
          <w14:textFill>
            <w14:solidFill>
              <w14:schemeClr w14:val="tx1"/>
            </w14:solidFill>
          </w14:textFill>
        </w:rPr>
        <w:t>二、评价实施</w:t>
      </w:r>
    </w:p>
    <w:p>
      <w:pPr>
        <w:keepNext w:val="0"/>
        <w:keepLines w:val="0"/>
        <w:pageBreakBefore w:val="0"/>
        <w:kinsoku/>
        <w:wordWrap/>
        <w:overflowPunct/>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楷体_GB2312" w:hAnsi="宋体" w:eastAsia="楷体_GB2312"/>
          <w:b/>
          <w:color w:val="000000" w:themeColor="text1"/>
          <w:sz w:val="32"/>
          <w:szCs w:val="32"/>
          <w:lang w:val="zh-CN"/>
          <w14:textFill>
            <w14:solidFill>
              <w14:schemeClr w14:val="tx1"/>
            </w14:solidFill>
          </w14:textFill>
        </w:rPr>
        <w:t>（一）评价目的。</w:t>
      </w:r>
      <w:r>
        <w:rPr>
          <w:rFonts w:hint="eastAsia" w:ascii="方正仿宋_GBK" w:hAnsi="方正仿宋_GBK" w:eastAsia="方正仿宋_GBK" w:cs="方正仿宋_GBK"/>
          <w:sz w:val="32"/>
          <w:szCs w:val="32"/>
        </w:rPr>
        <w:t>通过绩效评价，进一步规范财政专项支出项目资金的管理和使用，强化支出责任，优化资源配置，认真总结经验，及时发现存在的问题，制定整改措施，从而推进免开</w:t>
      </w:r>
      <w:r>
        <w:rPr>
          <w:rFonts w:hint="eastAsia" w:ascii="方正仿宋_GBK" w:hAnsi="方正仿宋_GBK" w:eastAsia="方正仿宋_GBK" w:cs="方正仿宋_GBK"/>
          <w:sz w:val="32"/>
          <w:szCs w:val="32"/>
          <w:lang w:val="zh-CN"/>
        </w:rPr>
        <w:t>相关工作真正落到实处。</w:t>
      </w:r>
    </w:p>
    <w:p>
      <w:pPr>
        <w:keepNext w:val="0"/>
        <w:keepLines w:val="0"/>
        <w:pageBreakBefore w:val="0"/>
        <w:kinsoku/>
        <w:wordWrap/>
        <w:overflowPunct/>
        <w:autoSpaceDN/>
        <w:bidi w:val="0"/>
        <w:adjustRightInd w:val="0"/>
        <w:snapToGrid w:val="0"/>
        <w:spacing w:line="560" w:lineRule="exact"/>
        <w:ind w:firstLine="720"/>
        <w:textAlignment w:val="auto"/>
        <w:rPr>
          <w:rFonts w:hint="eastAsia" w:ascii="方正仿宋_GBK" w:hAnsi="方正仿宋_GBK" w:eastAsia="方正仿宋_GBK" w:cs="方正仿宋_GBK"/>
          <w:sz w:val="32"/>
          <w:szCs w:val="32"/>
        </w:rPr>
      </w:pPr>
      <w:r>
        <w:rPr>
          <w:rFonts w:hint="eastAsia" w:ascii="楷体_GB2312" w:hAnsi="宋体" w:eastAsia="楷体_GB2312"/>
          <w:b/>
          <w:color w:val="000000" w:themeColor="text1"/>
          <w:sz w:val="32"/>
          <w:szCs w:val="32"/>
          <w:lang w:val="zh-CN"/>
          <w14:textFill>
            <w14:solidFill>
              <w14:schemeClr w14:val="tx1"/>
            </w14:solidFill>
          </w14:textFill>
        </w:rPr>
        <w:t>（二）预设问题及评价重点。</w:t>
      </w:r>
      <w:r>
        <w:rPr>
          <w:rFonts w:hint="eastAsia" w:ascii="方正仿宋_GBK" w:hAnsi="方正仿宋_GBK" w:eastAsia="方正仿宋_GBK" w:cs="方正仿宋_GBK"/>
          <w:sz w:val="32"/>
          <w:szCs w:val="32"/>
          <w:lang w:val="zh-CN"/>
        </w:rPr>
        <w:t>县文化</w:t>
      </w:r>
      <w:r>
        <w:rPr>
          <w:rFonts w:hint="eastAsia" w:ascii="方正仿宋_GBK" w:hAnsi="方正仿宋_GBK" w:eastAsia="方正仿宋_GBK" w:cs="方正仿宋_GBK"/>
          <w:sz w:val="32"/>
          <w:szCs w:val="32"/>
        </w:rPr>
        <w:t>广播电视</w:t>
      </w:r>
      <w:r>
        <w:rPr>
          <w:rFonts w:hint="eastAsia" w:ascii="方正仿宋_GBK" w:hAnsi="方正仿宋_GBK" w:eastAsia="方正仿宋_GBK" w:cs="方正仿宋_GBK"/>
          <w:sz w:val="32"/>
          <w:szCs w:val="32"/>
          <w:lang w:val="zh-CN"/>
        </w:rPr>
        <w:t>体育和旅游局按照相关财经纪律，建立健全财务管理制度，所有项目资金均按相关文件精神合理、合规、合法运用，账务处理及时，会计核算规范。为保障项目资金用实、用好、发挥效能，该项目资金严格按照批准的项目和资金计划执行，不存在截留或挪用专项资金，未影响项目进度。同时严格执行国家统一的会计制度，相关会计信息真实、准确、完整、规范，专项资金实行了单独核算。</w:t>
      </w:r>
    </w:p>
    <w:p>
      <w:pPr>
        <w:keepNext w:val="0"/>
        <w:keepLines w:val="0"/>
        <w:pageBreakBefore w:val="0"/>
        <w:kinsoku/>
        <w:wordWrap/>
        <w:overflowPunct/>
        <w:autoSpaceDN/>
        <w:bidi w:val="0"/>
        <w:spacing w:line="560" w:lineRule="exact"/>
        <w:ind w:firstLine="643" w:firstLineChars="200"/>
        <w:textAlignment w:val="auto"/>
        <w:rPr>
          <w:color w:val="000000" w:themeColor="text1"/>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（三）评价选点。</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根据</w:t>
      </w:r>
      <w:r>
        <w:rPr>
          <w:rFonts w:hint="eastAsia" w:ascii="方正仿宋_GBK" w:hAnsi="方正仿宋_GBK" w:eastAsia="方正仿宋_GBK" w:cs="方正仿宋_GBK"/>
          <w:sz w:val="32"/>
          <w:szCs w:val="32"/>
        </w:rPr>
        <w:t>阿州财教《关于下达</w:t>
      </w:r>
      <w:r>
        <w:rPr>
          <w:rFonts w:hint="eastAsia" w:ascii="方正仿宋_GBK" w:hAnsi="方正仿宋_GBK" w:eastAsia="方正仿宋_GBK" w:cs="方正仿宋_GBK"/>
          <w:sz w:val="32"/>
          <w:szCs w:val="32"/>
          <w:lang w:eastAsia="zh-CN"/>
        </w:rPr>
        <w:t>2025年</w:t>
      </w:r>
      <w:r>
        <w:rPr>
          <w:rFonts w:hint="eastAsia" w:ascii="方正仿宋_GBK" w:hAnsi="方正仿宋_GBK" w:eastAsia="方正仿宋_GBK" w:cs="方正仿宋_GBK"/>
          <w:sz w:val="32"/>
          <w:szCs w:val="32"/>
        </w:rPr>
        <w:t>中央支持地方公共文化服务体系建设（戏曲进乡村）补助资金预算的通知》(〔202</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31</w:t>
      </w:r>
      <w:r>
        <w:rPr>
          <w:rFonts w:hint="eastAsia" w:ascii="方正仿宋_GBK" w:hAnsi="方正仿宋_GBK" w:eastAsia="方正仿宋_GBK" w:cs="方正仿宋_GBK"/>
          <w:sz w:val="32"/>
          <w:szCs w:val="32"/>
        </w:rPr>
        <w:t>号)文件精神</w:t>
      </w:r>
      <w:r>
        <w:rPr>
          <w:rFonts w:hint="eastAsia" w:ascii="方正仿宋_GBK" w:hAnsi="方正仿宋_GBK" w:eastAsia="方正仿宋_GBK" w:cs="方正仿宋_GBK"/>
          <w:color w:val="000000" w:themeColor="text1"/>
          <w:sz w:val="32"/>
          <w:szCs w:val="32"/>
          <w14:textFill>
            <w14:solidFill>
              <w14:schemeClr w14:val="tx1"/>
            </w14:solidFill>
          </w14:textFill>
        </w:rPr>
        <w:t>，项目预算安排</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54万元</w:t>
      </w:r>
      <w:r>
        <w:rPr>
          <w:rFonts w:hint="eastAsia" w:ascii="方正仿宋_GBK" w:hAnsi="方正仿宋_GBK" w:eastAsia="方正仿宋_GBK" w:cs="方正仿宋_GBK"/>
          <w:color w:val="000000" w:themeColor="text1"/>
          <w:sz w:val="32"/>
          <w:szCs w:val="32"/>
          <w14:textFill>
            <w14:solidFill>
              <w14:schemeClr w14:val="tx1"/>
            </w14:solidFill>
          </w14:textFill>
        </w:rPr>
        <w:t>，因该项目进行了挂网招标，中标价为</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51.8</w:t>
      </w:r>
      <w:r>
        <w:rPr>
          <w:rFonts w:hint="eastAsia" w:ascii="方正仿宋_GBK" w:hAnsi="方正仿宋_GBK" w:eastAsia="方正仿宋_GBK" w:cs="方正仿宋_GBK"/>
          <w:color w:val="000000" w:themeColor="text1"/>
          <w:sz w:val="32"/>
          <w:szCs w:val="32"/>
          <w14:textFill>
            <w14:solidFill>
              <w14:schemeClr w14:val="tx1"/>
            </w14:solidFill>
          </w14:textFill>
        </w:rPr>
        <w:t>万。</w:t>
      </w:r>
    </w:p>
    <w:p>
      <w:pPr>
        <w:keepNext w:val="0"/>
        <w:keepLines w:val="0"/>
        <w:pageBreakBefore w:val="0"/>
        <w:kinsoku/>
        <w:wordWrap/>
        <w:overflowPunct/>
        <w:autoSpaceDN/>
        <w:bidi w:val="0"/>
        <w:spacing w:line="560" w:lineRule="exact"/>
        <w:ind w:firstLine="640"/>
        <w:textAlignment w:val="auto"/>
        <w:rPr>
          <w:rFonts w:ascii="楷体_GB2312" w:hAnsi="宋体" w:eastAsia="楷体_GB2312"/>
          <w:b/>
          <w:color w:val="000000" w:themeColor="text1"/>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（四）评价方法。</w:t>
      </w:r>
      <w:r>
        <w:rPr>
          <w:rFonts w:hint="eastAsia" w:ascii="方正仿宋_GBK" w:hAnsi="方正仿宋_GBK" w:eastAsia="方正仿宋_GBK" w:cs="方正仿宋_GBK"/>
          <w:color w:val="000000" w:themeColor="text1"/>
          <w:sz w:val="32"/>
          <w:szCs w:val="32"/>
          <w:lang w:val="zh-CN" w:eastAsia="zh-CN"/>
          <w14:textFill>
            <w14:solidFill>
              <w14:schemeClr w14:val="tx1"/>
            </w14:solidFill>
          </w14:textFill>
        </w:rPr>
        <w:t>该项目使用单位自评法进行绩效评价</w:t>
      </w:r>
      <w:r>
        <w:rPr>
          <w:rFonts w:hint="eastAsia" w:ascii="方正仿宋_GBK" w:hAnsi="方正仿宋_GBK" w:eastAsia="方正仿宋_GBK" w:cs="方正仿宋_GBK"/>
          <w:b/>
          <w:color w:val="000000" w:themeColor="text1"/>
          <w:sz w:val="32"/>
          <w:szCs w:val="32"/>
          <w:lang w:val="zh-CN"/>
          <w14:textFill>
            <w14:solidFill>
              <w14:schemeClr w14:val="tx1"/>
            </w14:solidFill>
          </w14:textFill>
        </w:rPr>
        <w:t>。</w:t>
      </w:r>
    </w:p>
    <w:p>
      <w:pPr>
        <w:keepNext w:val="0"/>
        <w:keepLines w:val="0"/>
        <w:pageBreakBefore w:val="0"/>
        <w:kinsoku/>
        <w:wordWrap/>
        <w:overflowPunct/>
        <w:autoSpaceDN/>
        <w:bidi w:val="0"/>
        <w:adjustRightInd w:val="0"/>
        <w:snapToGrid w:val="0"/>
        <w:spacing w:line="560" w:lineRule="exact"/>
        <w:ind w:firstLine="720"/>
        <w:textAlignment w:val="auto"/>
        <w:rPr>
          <w:bCs/>
          <w:color w:val="000000" w:themeColor="text1"/>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（五）评价组织。</w:t>
      </w:r>
      <w:r>
        <w:rPr>
          <w:rFonts w:hint="eastAsia" w:ascii="方正仿宋_GBK" w:hAnsi="方正仿宋_GBK" w:eastAsia="方正仿宋_GBK" w:cs="方正仿宋_GBK"/>
          <w:color w:val="000000" w:themeColor="text1"/>
          <w:sz w:val="32"/>
          <w:szCs w:val="32"/>
          <w14:textFill>
            <w14:solidFill>
              <w14:schemeClr w14:val="tx1"/>
            </w14:solidFill>
          </w14:textFill>
        </w:rPr>
        <w:t>本单位评价组人员构成由财务负责人和各项目分管领导组成，财务室组织预算绩效管理工作推进、整体提升。负责督促单位各股室（馆、所）项目负责人提交绩效自评报告和指标体系表并汇总形成部门整体绩效自评报告，送财政相关科室审核。</w:t>
      </w:r>
    </w:p>
    <w:p>
      <w:pPr>
        <w:keepNext w:val="0"/>
        <w:keepLines w:val="0"/>
        <w:pageBreakBefore w:val="0"/>
        <w:kinsoku/>
        <w:wordWrap/>
        <w:overflowPunct/>
        <w:autoSpaceDN/>
        <w:bidi w:val="0"/>
        <w:adjustRightInd w:val="0"/>
        <w:snapToGrid w:val="0"/>
        <w:spacing w:line="560" w:lineRule="exact"/>
        <w:ind w:firstLine="640" w:firstLineChars="200"/>
        <w:textAlignment w:val="auto"/>
        <w:rPr>
          <w:rFonts w:ascii="仿宋_GB2312" w:hAnsi="宋体"/>
          <w:color w:val="000000" w:themeColor="text1"/>
          <w:sz w:val="32"/>
          <w:szCs w:val="32"/>
          <w:lang w:val="zh-CN"/>
          <w14:textFill>
            <w14:solidFill>
              <w14:schemeClr w14:val="tx1"/>
            </w14:solidFill>
          </w14:textFill>
        </w:rPr>
      </w:pPr>
      <w:r>
        <w:rPr>
          <w:rFonts w:hint="eastAsia" w:ascii="黑体" w:hAnsi="宋体" w:eastAsia="黑体"/>
          <w:color w:val="000000" w:themeColor="text1"/>
          <w:sz w:val="32"/>
          <w:szCs w:val="32"/>
          <w14:textFill>
            <w14:solidFill>
              <w14:schemeClr w14:val="tx1"/>
            </w14:solidFill>
          </w14:textFill>
        </w:rPr>
        <w:t>三、绩效分析</w:t>
      </w:r>
      <w:r>
        <w:rPr>
          <w:rFonts w:hint="eastAsia" w:ascii="仿宋_GB2312" w:hAnsi="宋体"/>
          <w:color w:val="000000" w:themeColor="text1"/>
          <w:sz w:val="32"/>
          <w:szCs w:val="32"/>
          <w:lang w:val="zh-CN"/>
          <w14:textFill>
            <w14:solidFill>
              <w14:schemeClr w14:val="tx1"/>
            </w14:solidFill>
          </w14:textFill>
        </w:rPr>
        <w:tab/>
      </w:r>
    </w:p>
    <w:p>
      <w:pPr>
        <w:keepNext w:val="0"/>
        <w:keepLines w:val="0"/>
        <w:pageBreakBefore w:val="0"/>
        <w:kinsoku/>
        <w:wordWrap/>
        <w:overflowPunct/>
        <w:autoSpaceDN/>
        <w:bidi w:val="0"/>
        <w:spacing w:line="560" w:lineRule="exact"/>
        <w:ind w:firstLine="64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zh-CN"/>
          <w14:textFill>
            <w14:solidFill>
              <w14:schemeClr w14:val="tx1"/>
            </w14:solidFill>
          </w14:textFill>
        </w:rPr>
        <w:t>根据项目预算绩效评价指标体系“通用指标”“专用指标”“个性指标”涉及二、三级指标进行逐项绩效分析并评分</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keepNext w:val="0"/>
        <w:keepLines w:val="0"/>
        <w:pageBreakBefore w:val="0"/>
        <w:kinsoku/>
        <w:wordWrap/>
        <w:overflowPunct/>
        <w:autoSpaceDN/>
        <w:bidi w:val="0"/>
        <w:spacing w:line="560" w:lineRule="exact"/>
        <w:ind w:firstLine="640"/>
        <w:textAlignment w:val="auto"/>
        <w:rPr>
          <w:rFonts w:ascii="楷体_GB2312" w:hAnsi="宋体" w:eastAsia="楷体_GB2312"/>
          <w:b/>
          <w:color w:val="000000" w:themeColor="text1"/>
          <w:sz w:val="32"/>
          <w:szCs w:val="32"/>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（一）</w:t>
      </w:r>
      <w:r>
        <w:rPr>
          <w:rFonts w:hint="eastAsia" w:ascii="楷体_GB2312" w:hAnsi="宋体" w:eastAsia="楷体_GB2312"/>
          <w:b/>
          <w:color w:val="000000" w:themeColor="text1"/>
          <w:sz w:val="32"/>
          <w:szCs w:val="32"/>
          <w14:textFill>
            <w14:solidFill>
              <w14:schemeClr w14:val="tx1"/>
            </w14:solidFill>
          </w14:textFill>
        </w:rPr>
        <w:t>通用指标</w:t>
      </w:r>
      <w:r>
        <w:rPr>
          <w:rFonts w:eastAsia="楷体_GB2312"/>
          <w:b/>
          <w:bCs/>
          <w:color w:val="000000" w:themeColor="text1"/>
          <w:kern w:val="0"/>
          <w:sz w:val="32"/>
          <w:szCs w:val="32"/>
          <w:shd w:val="clear" w:color="auto" w:fill="FFFFFF"/>
          <w:lang w:val="zh-CN"/>
          <w14:textFill>
            <w14:solidFill>
              <w14:schemeClr w14:val="tx1"/>
            </w14:solidFill>
          </w14:textFill>
        </w:rPr>
        <w:t>绩效分析。</w:t>
      </w:r>
    </w:p>
    <w:p>
      <w:pPr>
        <w:keepNext w:val="0"/>
        <w:keepLines w:val="0"/>
        <w:pageBreakBefore w:val="0"/>
        <w:kinsoku/>
        <w:wordWrap/>
        <w:overflowPunct/>
        <w:autoSpaceDN/>
        <w:bidi w:val="0"/>
        <w:spacing w:line="560" w:lineRule="exact"/>
        <w:ind w:firstLine="640"/>
        <w:textAlignment w:val="auto"/>
        <w:rPr>
          <w:rFonts w:hint="eastAsia" w:ascii="方正仿宋_GBK" w:hAnsi="方正仿宋_GBK" w:eastAsia="方正仿宋_GBK" w:cs="方正仿宋_GBK"/>
          <w:color w:val="000000" w:themeColor="text1"/>
          <w:sz w:val="32"/>
          <w:szCs w:val="32"/>
          <w:lang w:val="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val="zh-CN"/>
          <w14:textFill>
            <w14:solidFill>
              <w14:schemeClr w14:val="tx1"/>
            </w14:solidFill>
          </w14:textFill>
        </w:rPr>
        <w:t>1.项目决策。</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项目决策程序严密，得6分；项目规划论证符合要求，项目绩效目标设置科学合理，得6分；资金投向于项目相匹配，得6分。共计18分。</w:t>
      </w:r>
    </w:p>
    <w:p>
      <w:pPr>
        <w:keepNext w:val="0"/>
        <w:keepLines w:val="0"/>
        <w:pageBreakBefore w:val="0"/>
        <w:kinsoku/>
        <w:wordWrap/>
        <w:overflowPunct/>
        <w:autoSpaceDN/>
        <w:bidi w:val="0"/>
        <w:spacing w:line="560" w:lineRule="exact"/>
        <w:ind w:firstLine="640"/>
        <w:textAlignment w:val="auto"/>
        <w:rPr>
          <w:rFonts w:hint="eastAsia" w:ascii="方正仿宋_GBK" w:hAnsi="方正仿宋_GBK" w:eastAsia="方正仿宋_GBK" w:cs="方正仿宋_GBK"/>
          <w:color w:val="000000" w:themeColor="text1"/>
          <w:sz w:val="32"/>
          <w:szCs w:val="32"/>
          <w:lang w:val="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val="zh-CN"/>
          <w14:textFill>
            <w14:solidFill>
              <w14:schemeClr w14:val="tx1"/>
            </w14:solidFill>
          </w14:textFill>
        </w:rPr>
        <w:t>2.项目管理。</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项目制度办法体系健全、要素完备，得2分；分配因素符合管理要求，得</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分；项目绩效监管按要求开展，指导有力有效，得</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分。共计</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分。</w:t>
      </w:r>
    </w:p>
    <w:p>
      <w:pPr>
        <w:keepNext w:val="0"/>
        <w:keepLines w:val="0"/>
        <w:pageBreakBefore w:val="0"/>
        <w:kinsoku/>
        <w:wordWrap/>
        <w:overflowPunct/>
        <w:autoSpaceDN/>
        <w:bidi w:val="0"/>
        <w:spacing w:line="560" w:lineRule="exact"/>
        <w:ind w:firstLine="640"/>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val="zh-CN"/>
          <w14:textFill>
            <w14:solidFill>
              <w14:schemeClr w14:val="tx1"/>
            </w14:solidFill>
          </w14:textFill>
        </w:rPr>
        <w:t>3.项目实施。</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已完成162场演出任务，</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得</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分。</w:t>
      </w:r>
      <w:r>
        <w:rPr>
          <w:rFonts w:hint="eastAsia" w:ascii="方正仿宋_GBK" w:hAnsi="方正仿宋_GBK" w:eastAsia="方正仿宋_GBK" w:cs="方正仿宋_GBK"/>
          <w:color w:val="000000" w:themeColor="text1"/>
          <w:sz w:val="32"/>
          <w:szCs w:val="32"/>
          <w:lang w:val="zh-CN" w:eastAsia="zh-CN"/>
          <w14:textFill>
            <w14:solidFill>
              <w14:schemeClr w14:val="tx1"/>
            </w14:solidFill>
          </w14:textFill>
        </w:rPr>
        <w:t>资金支付</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51.8万元</w:t>
      </w:r>
      <w:r>
        <w:rPr>
          <w:rFonts w:hint="eastAsia" w:ascii="方正仿宋_GBK" w:hAnsi="方正仿宋_GBK" w:eastAsia="方正仿宋_GBK" w:cs="方正仿宋_GBK"/>
          <w:color w:val="000000" w:themeColor="text1"/>
          <w:sz w:val="32"/>
          <w:szCs w:val="32"/>
          <w:lang w:val="zh-CN" w:eastAsia="zh-CN"/>
          <w14:textFill>
            <w14:solidFill>
              <w14:schemeClr w14:val="tx1"/>
            </w14:solidFill>
          </w14:textFill>
        </w:rPr>
        <w:t>拨付。综合评定得</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7分</w:t>
      </w:r>
      <w:r>
        <w:rPr>
          <w:rFonts w:hint="eastAsia" w:ascii="方正仿宋_GBK" w:hAnsi="方正仿宋_GBK" w:eastAsia="方正仿宋_GBK" w:cs="方正仿宋_GBK"/>
          <w:color w:val="000000" w:themeColor="text1"/>
          <w:sz w:val="32"/>
          <w:szCs w:val="32"/>
          <w:lang w:val="zh-CN" w:eastAsia="zh-CN"/>
          <w14:textFill>
            <w14:solidFill>
              <w14:schemeClr w14:val="tx1"/>
            </w14:solidFill>
          </w14:textFill>
        </w:rPr>
        <w:t>。</w:t>
      </w:r>
    </w:p>
    <w:p>
      <w:pPr>
        <w:keepNext w:val="0"/>
        <w:keepLines w:val="0"/>
        <w:pageBreakBefore w:val="0"/>
        <w:kinsoku/>
        <w:wordWrap/>
        <w:overflowPunct/>
        <w:autoSpaceDN/>
        <w:bidi w:val="0"/>
        <w:spacing w:line="560" w:lineRule="exact"/>
        <w:ind w:firstLine="640"/>
        <w:textAlignment w:val="auto"/>
        <w:rPr>
          <w:rFonts w:hint="eastAsia" w:ascii="方正仿宋_GBK" w:hAnsi="方正仿宋_GBK" w:eastAsia="方正仿宋_GBK" w:cs="方正仿宋_GBK"/>
          <w:color w:val="000000" w:themeColor="text1"/>
          <w:sz w:val="32"/>
          <w:szCs w:val="32"/>
          <w:lang w:val="zh-CN"/>
          <w14:textFill>
            <w14:solidFill>
              <w14:schemeClr w14:val="tx1"/>
            </w14:solidFill>
          </w14:textFill>
        </w:rPr>
      </w:pPr>
      <w:r>
        <w:rPr>
          <w:rFonts w:hint="eastAsia" w:ascii="方正仿宋_GBK" w:hAnsi="方正仿宋_GBK" w:eastAsia="方正仿宋_GBK" w:cs="方正仿宋_GBK"/>
          <w:b/>
          <w:bCs/>
          <w:color w:val="000000" w:themeColor="text1"/>
          <w:sz w:val="32"/>
          <w:szCs w:val="32"/>
          <w:lang w:val="zh-CN"/>
          <w14:textFill>
            <w14:solidFill>
              <w14:schemeClr w14:val="tx1"/>
            </w14:solidFill>
          </w14:textFill>
        </w:rPr>
        <w:t>4.项目结果。</w:t>
      </w:r>
      <w:r>
        <w:rPr>
          <w:rFonts w:hint="eastAsia" w:ascii="方正仿宋_GBK" w:hAnsi="方正仿宋_GBK" w:eastAsia="方正仿宋_GBK" w:cs="方正仿宋_GBK"/>
          <w:color w:val="000000" w:themeColor="text1"/>
          <w:sz w:val="32"/>
          <w:szCs w:val="32"/>
          <w:lang w:val="zh-CN"/>
          <w14:textFill>
            <w14:solidFill>
              <w14:schemeClr w14:val="tx1"/>
            </w14:solidFill>
          </w14:textFill>
        </w:rPr>
        <w:t>该项目完成了预期目标，实施结果与绩效目标相匹配，得9分。</w:t>
      </w:r>
    </w:p>
    <w:p>
      <w:pPr>
        <w:keepNext w:val="0"/>
        <w:keepLines w:val="0"/>
        <w:pageBreakBefore w:val="0"/>
        <w:kinsoku/>
        <w:wordWrap/>
        <w:overflowPunct/>
        <w:autoSpaceDN/>
        <w:bidi w:val="0"/>
        <w:spacing w:line="560" w:lineRule="exact"/>
        <w:ind w:firstLine="643" w:firstLineChars="200"/>
        <w:textAlignment w:val="auto"/>
        <w:rPr>
          <w:rFonts w:ascii="楷体_GB2312" w:hAnsi="楷体_GB2312" w:eastAsia="楷体_GB2312" w:cs="楷体_GB2312"/>
          <w:color w:val="000000" w:themeColor="text1"/>
          <w:sz w:val="32"/>
          <w:szCs w:val="32"/>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（二）</w:t>
      </w:r>
      <w:r>
        <w:rPr>
          <w:rFonts w:hint="eastAsia" w:ascii="楷体_GB2312" w:hAnsi="宋体" w:eastAsia="楷体_GB2312"/>
          <w:b/>
          <w:color w:val="000000" w:themeColor="text1"/>
          <w:sz w:val="32"/>
          <w:szCs w:val="32"/>
          <w14:textFill>
            <w14:solidFill>
              <w14:schemeClr w14:val="tx1"/>
            </w14:solidFill>
          </w14:textFill>
        </w:rPr>
        <w:t>专用指标</w:t>
      </w:r>
      <w:r>
        <w:rPr>
          <w:rFonts w:eastAsia="楷体_GB2312"/>
          <w:b/>
          <w:bCs/>
          <w:color w:val="000000" w:themeColor="text1"/>
          <w:kern w:val="0"/>
          <w:sz w:val="32"/>
          <w:szCs w:val="32"/>
          <w:shd w:val="clear" w:color="auto" w:fill="FFFFFF"/>
          <w:lang w:val="zh-CN"/>
          <w14:textFill>
            <w14:solidFill>
              <w14:schemeClr w14:val="tx1"/>
            </w14:solidFill>
          </w14:textFill>
        </w:rPr>
        <w:t>绩效分析。</w:t>
      </w:r>
    </w:p>
    <w:p>
      <w:pPr>
        <w:keepNext w:val="0"/>
        <w:keepLines w:val="0"/>
        <w:pageBreakBefore w:val="0"/>
        <w:kinsoku/>
        <w:wordWrap/>
        <w:overflowPunct/>
        <w:autoSpaceDN/>
        <w:bidi w:val="0"/>
        <w:spacing w:line="56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1.民生保障。项目实施与中央、省委省政府支持重点、事业支持政策符合，项目实施对小金县文化事业成长性具有较大促进作用，在一定程度上提升了</w:t>
      </w:r>
      <w:r>
        <w:rPr>
          <w:rFonts w:hint="eastAsia" w:ascii="方正仿宋_GBK" w:hAnsi="方正仿宋_GBK" w:eastAsia="方正仿宋_GBK" w:cs="方正仿宋_GBK"/>
          <w:sz w:val="32"/>
          <w:szCs w:val="32"/>
        </w:rPr>
        <w:t>基层公共文化服务水平中的积极作用，丰富群众精神文化生活</w:t>
      </w:r>
      <w:r>
        <w:rPr>
          <w:rFonts w:hint="eastAsia" w:ascii="方正仿宋_GBK" w:hAnsi="方正仿宋_GBK" w:eastAsia="方正仿宋_GBK" w:cs="方正仿宋_GBK"/>
          <w:color w:val="000000" w:themeColor="text1"/>
          <w:sz w:val="32"/>
          <w:szCs w:val="32"/>
          <w14:textFill>
            <w14:solidFill>
              <w14:schemeClr w14:val="tx1"/>
            </w14:solidFill>
          </w14:textFill>
        </w:rPr>
        <w:t>，共计得分</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26</w:t>
      </w:r>
      <w:r>
        <w:rPr>
          <w:rFonts w:hint="eastAsia" w:ascii="方正仿宋_GBK" w:hAnsi="方正仿宋_GBK" w:eastAsia="方正仿宋_GBK" w:cs="方正仿宋_GBK"/>
          <w:color w:val="000000" w:themeColor="text1"/>
          <w:sz w:val="32"/>
          <w:szCs w:val="32"/>
          <w14:textFill>
            <w14:solidFill>
              <w14:schemeClr w14:val="tx1"/>
            </w14:solidFill>
          </w14:textFill>
        </w:rPr>
        <w:t>分。</w:t>
      </w:r>
    </w:p>
    <w:p>
      <w:pPr>
        <w:keepNext w:val="0"/>
        <w:keepLines w:val="0"/>
        <w:pageBreakBefore w:val="0"/>
        <w:kinsoku/>
        <w:wordWrap/>
        <w:overflowPunct/>
        <w:autoSpaceDN/>
        <w:bidi w:val="0"/>
        <w:spacing w:line="560" w:lineRule="exact"/>
        <w:ind w:firstLine="640"/>
        <w:textAlignment w:val="auto"/>
        <w:rPr>
          <w:rFonts w:eastAsia="楷体_GB2312"/>
          <w:b/>
          <w:bCs/>
          <w:color w:val="000000" w:themeColor="text1"/>
          <w:kern w:val="0"/>
          <w:sz w:val="32"/>
          <w:szCs w:val="32"/>
          <w:shd w:val="clear" w:color="auto" w:fill="FFFFFF"/>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（三）</w:t>
      </w:r>
      <w:r>
        <w:rPr>
          <w:rFonts w:hint="eastAsia" w:ascii="楷体_GB2312" w:hAnsi="宋体" w:eastAsia="楷体_GB2312"/>
          <w:b/>
          <w:color w:val="000000" w:themeColor="text1"/>
          <w:sz w:val="32"/>
          <w:szCs w:val="32"/>
          <w14:textFill>
            <w14:solidFill>
              <w14:schemeClr w14:val="tx1"/>
            </w14:solidFill>
          </w14:textFill>
        </w:rPr>
        <w:t>个性指标</w:t>
      </w:r>
      <w:r>
        <w:rPr>
          <w:rFonts w:eastAsia="楷体_GB2312"/>
          <w:b/>
          <w:bCs/>
          <w:color w:val="000000" w:themeColor="text1"/>
          <w:kern w:val="0"/>
          <w:sz w:val="32"/>
          <w:szCs w:val="32"/>
          <w:shd w:val="clear" w:color="auto" w:fill="FFFFFF"/>
          <w:lang w:val="zh-CN"/>
          <w14:textFill>
            <w14:solidFill>
              <w14:schemeClr w14:val="tx1"/>
            </w14:solidFill>
          </w14:textFill>
        </w:rPr>
        <w:t>绩效分析。</w:t>
      </w:r>
    </w:p>
    <w:p>
      <w:pPr>
        <w:keepNext w:val="0"/>
        <w:keepLines w:val="0"/>
        <w:pageBreakBefore w:val="0"/>
        <w:kinsoku/>
        <w:wordWrap/>
        <w:overflowPunct/>
        <w:autoSpaceDN/>
        <w:bidi w:val="0"/>
        <w:spacing w:line="560" w:lineRule="exact"/>
        <w:ind w:firstLine="643" w:firstLineChars="200"/>
        <w:textAlignment w:val="auto"/>
        <w:rPr>
          <w:rFonts w:ascii="仿宋" w:hAnsi="仿宋" w:eastAsia="仿宋" w:cs="Arial"/>
        </w:rPr>
      </w:pPr>
      <w:r>
        <w:rPr>
          <w:rFonts w:hint="eastAsia" w:ascii="方正仿宋_GBK" w:hAnsi="方正仿宋_GBK" w:eastAsia="方正仿宋_GBK" w:cs="方正仿宋_GBK"/>
          <w:b/>
          <w:bCs/>
          <w:sz w:val="32"/>
          <w:szCs w:val="32"/>
        </w:rPr>
        <w:t>1.实施内容。</w:t>
      </w:r>
      <w:r>
        <w:rPr>
          <w:rFonts w:hint="eastAsia" w:ascii="仿宋_GB2312" w:hAnsi="仿宋_GB2312" w:eastAsia="仿宋_GB2312" w:cs="仿宋_GB2312"/>
          <w:color w:val="000000" w:themeColor="text1"/>
          <w:kern w:val="0"/>
          <w:sz w:val="32"/>
          <w:szCs w:val="32"/>
          <w:lang w:val="zh-CN" w:eastAsia="zh-CN" w:bidi="ar-SA"/>
          <w14:textFill>
            <w14:solidFill>
              <w14:schemeClr w14:val="tx1"/>
            </w14:solidFill>
          </w14:textFill>
        </w:rPr>
        <w:t>开展戏曲进乡村到行政村、社区、养老院、军营、学校一共162场，每场演出不少于60分钟，其中每场演出要求演员不少于20人（其中舞蹈演员不少于16人），节目类型包含舞蹈、音乐、语言等多个类别。得</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7</w:t>
      </w:r>
      <w:r>
        <w:rPr>
          <w:rFonts w:hint="eastAsia" w:ascii="仿宋_GB2312" w:hAnsi="仿宋_GB2312" w:eastAsia="仿宋_GB2312" w:cs="仿宋_GB2312"/>
          <w:color w:val="000000" w:themeColor="text1"/>
          <w:kern w:val="0"/>
          <w:sz w:val="32"/>
          <w:szCs w:val="32"/>
          <w:lang w:val="zh-CN" w:eastAsia="zh-CN" w:bidi="ar-SA"/>
          <w14:textFill>
            <w14:solidFill>
              <w14:schemeClr w14:val="tx1"/>
            </w14:solidFill>
          </w14:textFill>
        </w:rPr>
        <w:t>分。</w:t>
      </w:r>
    </w:p>
    <w:p>
      <w:pPr>
        <w:pStyle w:val="42"/>
        <w:keepNext w:val="0"/>
        <w:keepLines w:val="0"/>
        <w:pageBreakBefore w:val="0"/>
        <w:shd w:val="clear" w:color="auto" w:fill="FFFFFF"/>
        <w:kinsoku/>
        <w:wordWrap/>
        <w:overflowPunct/>
        <w:autoSpaceDN/>
        <w:bidi w:val="0"/>
        <w:spacing w:before="0" w:beforeAutospacing="0" w:after="0" w:afterAutospacing="0" w:line="560" w:lineRule="exact"/>
        <w:ind w:firstLine="640"/>
        <w:textAlignment w:val="auto"/>
        <w:rPr>
          <w:rFonts w:ascii="仿宋" w:hAnsi="仿宋" w:eastAsia="仿宋" w:cs="Arial"/>
          <w:sz w:val="32"/>
          <w:szCs w:val="32"/>
        </w:rPr>
      </w:pPr>
      <w:r>
        <w:rPr>
          <w:rFonts w:hint="eastAsia" w:ascii="仿宋" w:hAnsi="仿宋" w:eastAsia="仿宋" w:cs="Arial"/>
          <w:b/>
          <w:bCs/>
          <w:kern w:val="2"/>
          <w:sz w:val="32"/>
          <w:szCs w:val="32"/>
        </w:rPr>
        <w:t>2.实施目标。</w:t>
      </w:r>
      <w:r>
        <w:rPr>
          <w:rFonts w:hint="eastAsia" w:ascii="仿宋" w:hAnsi="仿宋" w:eastAsia="仿宋" w:cs="Arial"/>
          <w:kern w:val="2"/>
          <w:sz w:val="32"/>
          <w:szCs w:val="32"/>
        </w:rPr>
        <w:t>深</w:t>
      </w:r>
      <w:r>
        <w:rPr>
          <w:rFonts w:hint="eastAsia" w:ascii="仿宋" w:hAnsi="仿宋" w:eastAsia="仿宋" w:cs="Arial"/>
          <w:sz w:val="32"/>
          <w:szCs w:val="32"/>
        </w:rPr>
        <w:t>入本县行政村、社区、养老院、军营、学校开展戏曲进乡村文艺</w:t>
      </w:r>
      <w:r>
        <w:rPr>
          <w:rFonts w:ascii="仿宋" w:hAnsi="仿宋" w:eastAsia="仿宋" w:cs="Arial"/>
          <w:sz w:val="32"/>
          <w:szCs w:val="32"/>
        </w:rPr>
        <w:t>演出</w:t>
      </w:r>
      <w:r>
        <w:rPr>
          <w:rFonts w:hint="eastAsia" w:ascii="仿宋" w:hAnsi="仿宋" w:eastAsia="仿宋" w:cs="Arial"/>
          <w:sz w:val="32"/>
          <w:szCs w:val="32"/>
        </w:rPr>
        <w:t>活动活动</w:t>
      </w:r>
      <w:r>
        <w:rPr>
          <w:rFonts w:ascii="仿宋" w:hAnsi="仿宋" w:eastAsia="仿宋" w:cs="Arial"/>
          <w:sz w:val="32"/>
          <w:szCs w:val="32"/>
        </w:rPr>
        <w:t>，保障人民群众基本文化权益，丰富</w:t>
      </w:r>
      <w:r>
        <w:rPr>
          <w:rFonts w:hint="eastAsia" w:ascii="仿宋" w:hAnsi="仿宋" w:eastAsia="仿宋" w:cs="Arial"/>
          <w:sz w:val="32"/>
          <w:szCs w:val="32"/>
        </w:rPr>
        <w:t>广大</w:t>
      </w:r>
      <w:r>
        <w:rPr>
          <w:rFonts w:ascii="仿宋" w:hAnsi="仿宋" w:eastAsia="仿宋" w:cs="Arial"/>
          <w:sz w:val="32"/>
          <w:szCs w:val="32"/>
        </w:rPr>
        <w:t>人民群众精神文化生活，为我县精神文明建设做贡献。</w:t>
      </w:r>
      <w:r>
        <w:rPr>
          <w:rFonts w:hint="eastAsia" w:ascii="仿宋" w:hAnsi="仿宋" w:eastAsia="仿宋" w:cs="Arial"/>
          <w:sz w:val="32"/>
          <w:szCs w:val="32"/>
        </w:rPr>
        <w:t>得</w:t>
      </w:r>
      <w:r>
        <w:rPr>
          <w:rFonts w:hint="eastAsia" w:ascii="仿宋" w:hAnsi="仿宋" w:eastAsia="仿宋" w:cs="Arial"/>
          <w:sz w:val="32"/>
          <w:szCs w:val="32"/>
          <w:lang w:val="en-US" w:eastAsia="zh-CN"/>
        </w:rPr>
        <w:t>7</w:t>
      </w:r>
      <w:r>
        <w:rPr>
          <w:rFonts w:hint="eastAsia" w:ascii="仿宋" w:hAnsi="仿宋" w:eastAsia="仿宋" w:cs="Arial"/>
          <w:sz w:val="32"/>
          <w:szCs w:val="32"/>
        </w:rPr>
        <w:t>分。</w:t>
      </w:r>
    </w:p>
    <w:p>
      <w:pPr>
        <w:pStyle w:val="7"/>
        <w:keepNext w:val="0"/>
        <w:keepLines w:val="0"/>
        <w:pageBreakBefore w:val="0"/>
        <w:tabs>
          <w:tab w:val="left" w:pos="2160"/>
        </w:tabs>
        <w:kinsoku/>
        <w:wordWrap/>
        <w:overflowPunct/>
        <w:autoSpaceDN/>
        <w:bidi w:val="0"/>
        <w:spacing w:line="56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四</w:t>
      </w:r>
      <w:r>
        <w:rPr>
          <w:rFonts w:hint="eastAsia" w:ascii="黑体" w:hAnsi="黑体" w:eastAsia="黑体" w:cs="黑体"/>
          <w:color w:val="000000" w:themeColor="text1"/>
          <w:sz w:val="32"/>
          <w:szCs w:val="32"/>
          <w14:textFill>
            <w14:solidFill>
              <w14:schemeClr w14:val="tx1"/>
            </w14:solidFill>
          </w14:textFill>
        </w:rPr>
        <w:t>、评价结论</w:t>
      </w:r>
    </w:p>
    <w:p>
      <w:pPr>
        <w:pStyle w:val="37"/>
        <w:keepNext w:val="0"/>
        <w:keepLines w:val="0"/>
        <w:pageBreakBefore w:val="0"/>
        <w:kinsoku/>
        <w:wordWrap/>
        <w:overflowPunct/>
        <w:autoSpaceDN/>
        <w:bidi w:val="0"/>
        <w:spacing w:line="560" w:lineRule="exact"/>
        <w:ind w:firstLine="640" w:firstLineChars="200"/>
        <w:textAlignment w:val="auto"/>
        <w:rPr>
          <w:rFonts w:ascii="Times New Roman" w:hAnsi="Times New Roman" w:eastAsia="仿宋_GB2312"/>
          <w:color w:val="000000" w:themeColor="text1"/>
          <w:kern w:val="2"/>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项目决策较为合理，目标明确；项目产出基本达到预期，项目效果较好，对本地文化事业的发展起到了积极的推动作用。</w:t>
      </w:r>
      <w:r>
        <w:rPr>
          <w:rFonts w:hint="eastAsia" w:ascii="Times New Roman" w:hAnsi="Times New Roman" w:eastAsia="仿宋_GB2312"/>
          <w:color w:val="000000" w:themeColor="text1"/>
          <w:kern w:val="2"/>
          <w:sz w:val="32"/>
          <w:szCs w:val="32"/>
          <w:lang w:val="en-US"/>
          <w14:textFill>
            <w14:solidFill>
              <w14:schemeClr w14:val="tx1"/>
            </w14:solidFill>
          </w14:textFill>
        </w:rPr>
        <w:t>综合评价得分</w:t>
      </w:r>
      <w:r>
        <w:rPr>
          <w:rFonts w:hint="eastAsia" w:ascii="Times New Roman" w:hAnsi="Times New Roman" w:eastAsia="仿宋_GB2312"/>
          <w:color w:val="000000" w:themeColor="text1"/>
          <w:kern w:val="2"/>
          <w:sz w:val="32"/>
          <w:szCs w:val="32"/>
          <w:lang w:val="en-US" w:eastAsia="zh-CN"/>
          <w14:textFill>
            <w14:solidFill>
              <w14:schemeClr w14:val="tx1"/>
            </w14:solidFill>
          </w14:textFill>
        </w:rPr>
        <w:t>89</w:t>
      </w:r>
      <w:r>
        <w:rPr>
          <w:rFonts w:hint="eastAsia" w:ascii="Times New Roman" w:hAnsi="Times New Roman" w:eastAsia="仿宋_GB2312"/>
          <w:color w:val="000000" w:themeColor="text1"/>
          <w:kern w:val="2"/>
          <w:sz w:val="32"/>
          <w:szCs w:val="32"/>
          <w:lang w:val="en-US"/>
          <w14:textFill>
            <w14:solidFill>
              <w14:schemeClr w14:val="tx1"/>
            </w14:solidFill>
          </w14:textFill>
        </w:rPr>
        <w:t>分，评价等级为</w:t>
      </w:r>
      <w:r>
        <w:rPr>
          <w:rFonts w:hint="eastAsia" w:ascii="Times New Roman" w:hAnsi="Times New Roman" w:eastAsia="仿宋_GB2312"/>
          <w:color w:val="000000" w:themeColor="text1"/>
          <w:kern w:val="2"/>
          <w:sz w:val="32"/>
          <w:szCs w:val="32"/>
          <w:lang w:val="en-US" w:eastAsia="zh-CN"/>
          <w14:textFill>
            <w14:solidFill>
              <w14:schemeClr w14:val="tx1"/>
            </w14:solidFill>
          </w14:textFill>
        </w:rPr>
        <w:t>良</w:t>
      </w:r>
      <w:r>
        <w:rPr>
          <w:rFonts w:hint="eastAsia" w:ascii="Times New Roman" w:hAnsi="Times New Roman" w:eastAsia="仿宋_GB2312"/>
          <w:color w:val="000000" w:themeColor="text1"/>
          <w:kern w:val="2"/>
          <w:sz w:val="32"/>
          <w:szCs w:val="32"/>
          <w:lang w:val="en-US"/>
          <w14:textFill>
            <w14:solidFill>
              <w14:schemeClr w14:val="tx1"/>
            </w14:solidFill>
          </w14:textFill>
        </w:rPr>
        <w:t>等。总体</w:t>
      </w:r>
      <w:r>
        <w:rPr>
          <w:rFonts w:hint="eastAsia" w:ascii="仿宋" w:hAnsi="仿宋" w:eastAsia="仿宋" w:cs="Arial"/>
          <w:color w:val="auto"/>
          <w:kern w:val="2"/>
          <w:sz w:val="32"/>
          <w:szCs w:val="32"/>
          <w:lang w:val="en-US"/>
        </w:rPr>
        <w:t>来看，</w:t>
      </w:r>
      <w:r>
        <w:rPr>
          <w:rFonts w:hint="eastAsia" w:ascii="仿宋" w:hAnsi="仿宋" w:eastAsia="仿宋" w:cs="Arial"/>
          <w:color w:val="auto"/>
          <w:kern w:val="2"/>
          <w:sz w:val="32"/>
          <w:szCs w:val="32"/>
          <w:lang w:val="en-US" w:eastAsia="zh-CN"/>
        </w:rPr>
        <w:t>2025年</w:t>
      </w:r>
      <w:r>
        <w:rPr>
          <w:rFonts w:hint="eastAsia" w:ascii="仿宋" w:hAnsi="仿宋" w:eastAsia="仿宋" w:cs="Arial"/>
          <w:color w:val="auto"/>
          <w:kern w:val="2"/>
          <w:sz w:val="32"/>
          <w:szCs w:val="32"/>
          <w:lang w:val="en-US"/>
        </w:rPr>
        <w:t>中央支持地方公共文化服务体系建设（戏曲进乡村）补助资金专项预算项目取得了一定的成效，但在满足群众精神文化需求的丰富性方面还有待进一步提高</w:t>
      </w:r>
      <w:r>
        <w:rPr>
          <w:rFonts w:hint="eastAsia" w:ascii="Times New Roman" w:hAnsi="Times New Roman" w:eastAsia="仿宋_GB2312"/>
          <w:color w:val="000000" w:themeColor="text1"/>
          <w:kern w:val="2"/>
          <w:sz w:val="32"/>
          <w:szCs w:val="32"/>
          <w:lang w:val="en-US"/>
          <w14:textFill>
            <w14:solidFill>
              <w14:schemeClr w14:val="tx1"/>
            </w14:solidFill>
          </w14:textFill>
        </w:rPr>
        <w:t>。</w:t>
      </w:r>
    </w:p>
    <w:p>
      <w:pPr>
        <w:pStyle w:val="7"/>
        <w:keepNext w:val="0"/>
        <w:keepLines w:val="0"/>
        <w:pageBreakBefore w:val="0"/>
        <w:tabs>
          <w:tab w:val="left" w:pos="2160"/>
        </w:tabs>
        <w:kinsoku/>
        <w:wordWrap/>
        <w:overflowPunct/>
        <w:autoSpaceDN/>
        <w:bidi w:val="0"/>
        <w:spacing w:line="560" w:lineRule="exact"/>
        <w:ind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五、存在主要问题</w:t>
      </w:r>
    </w:p>
    <w:p>
      <w:pPr>
        <w:pStyle w:val="7"/>
        <w:keepNext w:val="0"/>
        <w:keepLines w:val="0"/>
        <w:pageBreakBefore w:val="0"/>
        <w:tabs>
          <w:tab w:val="left" w:pos="2160"/>
        </w:tabs>
        <w:kinsoku/>
        <w:wordWrap/>
        <w:overflowPunct/>
        <w:autoSpaceDN/>
        <w:bidi w:val="0"/>
        <w:spacing w:line="560" w:lineRule="exact"/>
        <w:ind w:firstLine="640" w:firstLineChars="200"/>
        <w:textAlignment w:val="auto"/>
        <w:rPr>
          <w:rFonts w:ascii="仿宋_GB2312" w:hAnsi="仿宋_GB2312" w:eastAsia="仿宋_GB2312" w:cs="仿宋_GB2312"/>
          <w:color w:val="000000" w:themeColor="text1"/>
          <w:position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position w:val="0"/>
          <w:sz w:val="32"/>
          <w:szCs w:val="32"/>
          <w:lang w:eastAsia="zh-CN"/>
          <w14:textFill>
            <w14:solidFill>
              <w14:schemeClr w14:val="tx1"/>
            </w14:solidFill>
          </w14:textFill>
        </w:rPr>
        <w:t>无</w:t>
      </w:r>
    </w:p>
    <w:p>
      <w:pPr>
        <w:pStyle w:val="7"/>
        <w:keepNext w:val="0"/>
        <w:keepLines w:val="0"/>
        <w:pageBreakBefore w:val="0"/>
        <w:tabs>
          <w:tab w:val="left" w:pos="2160"/>
        </w:tabs>
        <w:kinsoku/>
        <w:wordWrap/>
        <w:overflowPunct/>
        <w:autoSpaceDN/>
        <w:bidi w:val="0"/>
        <w:spacing w:line="560" w:lineRule="exact"/>
        <w:ind w:firstLine="640" w:firstLineChars="200"/>
        <w:textAlignment w:val="auto"/>
        <w:rPr>
          <w:rFonts w:hint="eastAsia" w:ascii="黑体" w:hAnsi="黑体" w:eastAsia="黑体" w:cs="黑体"/>
          <w:color w:val="000000" w:themeColor="text1"/>
          <w:sz w:val="32"/>
          <w:szCs w:val="32"/>
          <w:lang w:val="zh-CN" w:eastAsia="zh-CN"/>
          <w14:textFill>
            <w14:solidFill>
              <w14:schemeClr w14:val="tx1"/>
            </w14:solidFill>
          </w14:textFill>
        </w:rPr>
      </w:pPr>
      <w:r>
        <w:rPr>
          <w:rFonts w:hint="eastAsia" w:ascii="黑体" w:hAnsi="黑体" w:eastAsia="黑体" w:cs="黑体"/>
          <w:color w:val="000000" w:themeColor="text1"/>
          <w:sz w:val="32"/>
          <w:szCs w:val="32"/>
          <w:lang w:val="zh-CN" w:eastAsia="zh-CN"/>
          <w14:textFill>
            <w14:solidFill>
              <w14:schemeClr w14:val="tx1"/>
            </w14:solidFill>
          </w14:textFill>
        </w:rPr>
        <w:t>六、改进建议</w:t>
      </w:r>
    </w:p>
    <w:p>
      <w:pPr>
        <w:pStyle w:val="7"/>
        <w:keepNext w:val="0"/>
        <w:keepLines w:val="0"/>
        <w:pageBreakBefore w:val="0"/>
        <w:tabs>
          <w:tab w:val="left" w:pos="2160"/>
        </w:tabs>
        <w:kinsoku/>
        <w:wordWrap/>
        <w:overflowPunct/>
        <w:autoSpaceDN/>
        <w:bidi w:val="0"/>
        <w:spacing w:line="560" w:lineRule="exact"/>
        <w:ind w:firstLine="640" w:firstLineChars="200"/>
        <w:textAlignment w:val="auto"/>
        <w:rPr>
          <w:rFonts w:hint="eastAsia" w:ascii="仿宋_GB2312" w:hAnsi="仿宋_GB2312" w:eastAsia="仿宋_GB2312" w:cs="仿宋_GB2312"/>
          <w:color w:val="000000" w:themeColor="text1"/>
          <w:position w:val="0"/>
          <w:sz w:val="32"/>
          <w:szCs w:val="32"/>
          <w:lang w:val="zh-CN" w:eastAsia="zh-CN"/>
          <w14:textFill>
            <w14:solidFill>
              <w14:schemeClr w14:val="tx1"/>
            </w14:solidFill>
          </w14:textFill>
        </w:rPr>
      </w:pPr>
      <w:r>
        <w:rPr>
          <w:rFonts w:hint="eastAsia" w:ascii="仿宋_GB2312" w:hAnsi="仿宋_GB2312" w:eastAsia="仿宋_GB2312" w:cs="仿宋_GB2312"/>
          <w:color w:val="000000" w:themeColor="text1"/>
          <w:position w:val="0"/>
          <w:sz w:val="32"/>
          <w:szCs w:val="32"/>
          <w:lang w:val="zh-CN" w:eastAsia="zh-CN"/>
          <w14:textFill>
            <w14:solidFill>
              <w14:schemeClr w14:val="tx1"/>
            </w14:solidFill>
          </w14:textFill>
        </w:rPr>
        <w:t>无</w:t>
      </w: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autoSpaceDN/>
        <w:bidi w:val="0"/>
        <w:spacing w:beforeLines="0" w:line="560" w:lineRule="exact"/>
        <w:ind w:right="0"/>
        <w:textAlignment w:val="auto"/>
        <w:rPr>
          <w:rFonts w:hint="default" w:hAnsi="宋体" w:cs="Times New Roman"/>
          <w:kern w:val="2"/>
          <w:sz w:val="32"/>
          <w:szCs w:val="32"/>
          <w:lang w:val="en-US" w:eastAsia="zh-CN" w:bidi="ar-SA"/>
        </w:rPr>
      </w:pPr>
    </w:p>
    <w:p>
      <w:pPr>
        <w:rPr>
          <w:rFonts w:hint="default" w:hAnsi="宋体" w:cs="Times New Roman"/>
          <w:kern w:val="2"/>
          <w:sz w:val="32"/>
          <w:szCs w:val="32"/>
          <w:lang w:val="en-US" w:eastAsia="zh-CN" w:bidi="ar-SA"/>
        </w:rPr>
      </w:pPr>
    </w:p>
    <w:p>
      <w:pPr>
        <w:pStyle w:val="2"/>
        <w:ind w:left="0" w:leftChars="0" w:firstLine="0" w:firstLineChars="0"/>
        <w:rPr>
          <w:rFonts w:hint="default" w:hAnsi="宋体" w:cs="Times New Roman"/>
          <w:kern w:val="2"/>
          <w:sz w:val="32"/>
          <w:szCs w:val="32"/>
          <w:lang w:val="en-US" w:eastAsia="zh-CN" w:bidi="ar-SA"/>
        </w:rPr>
      </w:pPr>
    </w:p>
    <w:p>
      <w:pPr>
        <w:pStyle w:val="7"/>
        <w:keepNext w:val="0"/>
        <w:keepLines w:val="0"/>
        <w:pageBreakBefore w:val="0"/>
        <w:kinsoku/>
        <w:wordWrap/>
        <w:overflowPunct/>
        <w:autoSpaceDE/>
        <w:autoSpaceDN/>
        <w:bidi w:val="0"/>
        <w:spacing w:beforeLines="0" w:line="560" w:lineRule="exact"/>
        <w:ind w:right="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附件6</w:t>
      </w:r>
    </w:p>
    <w:p>
      <w:pPr>
        <w:pStyle w:val="7"/>
        <w:keepNext w:val="0"/>
        <w:keepLines w:val="0"/>
        <w:pageBreakBefore w:val="0"/>
        <w:kinsoku/>
        <w:wordWrap/>
        <w:overflowPunct/>
        <w:autoSpaceDE/>
        <w:autoSpaceDN/>
        <w:bidi w:val="0"/>
        <w:spacing w:beforeLines="0" w:line="560" w:lineRule="exact"/>
        <w:ind w:right="0"/>
        <w:textAlignment w:val="auto"/>
        <w:rPr>
          <w:rFonts w:hint="eastAsia" w:hAnsi="宋体" w:cs="Times New Roman"/>
          <w:kern w:val="2"/>
          <w:sz w:val="32"/>
          <w:szCs w:val="32"/>
          <w:lang w:val="en-US" w:eastAsia="zh-CN" w:bidi="ar-SA"/>
        </w:rPr>
      </w:pPr>
    </w:p>
    <w:p>
      <w:pPr>
        <w:pStyle w:val="3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小金县文化广播电视体育和旅游局</w:t>
      </w:r>
    </w:p>
    <w:p>
      <w:pPr>
        <w:pStyle w:val="3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简体" w:hAnsi="方正小标宋简体" w:eastAsia="方正小标宋简体" w:cs="方正小标宋简体"/>
          <w:color w:val="auto"/>
          <w:kern w:val="2"/>
          <w:sz w:val="40"/>
          <w:szCs w:val="40"/>
          <w:highlight w:val="none"/>
          <w:lang w:val="en-US" w:eastAsia="zh-CN"/>
        </w:rPr>
      </w:pPr>
      <w:r>
        <w:rPr>
          <w:rFonts w:hint="eastAsia" w:ascii="方正小标宋简体" w:hAnsi="方正小标宋简体" w:eastAsia="方正小标宋简体" w:cs="方正小标宋简体"/>
          <w:sz w:val="40"/>
          <w:szCs w:val="40"/>
          <w:lang w:val="en-US" w:eastAsia="zh-CN"/>
        </w:rPr>
        <w:t>关于体育馆免开专项资金</w:t>
      </w:r>
      <w:r>
        <w:rPr>
          <w:rFonts w:hint="eastAsia" w:ascii="方正小标宋简体" w:hAnsi="方正小标宋简体" w:eastAsia="方正小标宋简体" w:cs="方正小标宋简体"/>
          <w:color w:val="auto"/>
          <w:kern w:val="2"/>
          <w:sz w:val="40"/>
          <w:szCs w:val="40"/>
          <w:highlight w:val="none"/>
          <w:lang w:val="en-US" w:eastAsia="zh-CN"/>
        </w:rPr>
        <w:t>项目绩效评价报告</w:t>
      </w:r>
    </w:p>
    <w:p>
      <w:pPr>
        <w:pStyle w:val="37"/>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楷体_GB2312" w:hAnsi="宋体" w:eastAsia="仿宋_GB2312"/>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（一）设立背景及基本情况。一是</w:t>
      </w:r>
      <w:r>
        <w:rPr>
          <w:rFonts w:hint="eastAsia" w:ascii="Times New Roman" w:hAnsi="Times New Roman" w:eastAsia="仿宋_GB2312" w:cs="仿宋_GB2312"/>
          <w:sz w:val="32"/>
          <w:szCs w:val="32"/>
          <w:lang w:val="zh-CN"/>
        </w:rPr>
        <w:t>满足群众日益增长的健身需求，建设体育强国，解决群众去哪里健身的问题。</w:t>
      </w:r>
      <w:r>
        <w:rPr>
          <w:rFonts w:hint="eastAsia" w:ascii="Times New Roman" w:hAnsi="Times New Roman" w:cs="仿宋_GB2312"/>
          <w:b/>
          <w:bCs/>
          <w:sz w:val="32"/>
          <w:szCs w:val="32"/>
          <w:lang w:val="zh-CN"/>
        </w:rPr>
        <w:t>二是</w:t>
      </w:r>
      <w:r>
        <w:rPr>
          <w:rFonts w:hint="eastAsia" w:ascii="Times New Roman" w:hAnsi="Times New Roman" w:eastAsia="仿宋_GB2312" w:cs="仿宋_GB2312"/>
          <w:sz w:val="32"/>
          <w:szCs w:val="32"/>
        </w:rPr>
        <w:t>小金县体育馆自</w:t>
      </w:r>
      <w:r>
        <w:rPr>
          <w:rFonts w:ascii="Times New Roman" w:hAnsi="Times New Roman" w:eastAsia="仿宋_GB2312" w:cs="仿宋_GB2312"/>
          <w:sz w:val="32"/>
          <w:szCs w:val="32"/>
        </w:rPr>
        <w:t>2013</w:t>
      </w:r>
      <w:r>
        <w:rPr>
          <w:rFonts w:hint="eastAsia" w:ascii="Times New Roman" w:hAnsi="Times New Roman" w:eastAsia="仿宋_GB2312" w:cs="仿宋_GB2312"/>
          <w:sz w:val="32"/>
          <w:szCs w:val="32"/>
        </w:rPr>
        <w:t>年建成以来即坚持常年免费对外开放，体育馆用地面积</w:t>
      </w:r>
      <w:r>
        <w:rPr>
          <w:rFonts w:ascii="Times New Roman" w:hAnsi="Times New Roman" w:eastAsia="仿宋_GB2312" w:cs="仿宋_GB2312"/>
          <w:sz w:val="32"/>
          <w:szCs w:val="32"/>
        </w:rPr>
        <w:t>7459</w:t>
      </w:r>
      <w:r>
        <w:rPr>
          <w:rFonts w:hint="eastAsia" w:ascii="Times New Roman" w:hAnsi="Times New Roman" w:eastAsia="仿宋_GB2312" w:cs="仿宋_GB2312"/>
          <w:sz w:val="32"/>
          <w:szCs w:val="32"/>
        </w:rPr>
        <w:t>㎡，建筑面积</w:t>
      </w:r>
      <w:r>
        <w:rPr>
          <w:rFonts w:ascii="Times New Roman" w:hAnsi="Times New Roman" w:eastAsia="仿宋_GB2312" w:cs="仿宋_GB2312"/>
          <w:sz w:val="32"/>
          <w:szCs w:val="32"/>
        </w:rPr>
        <w:t>5599</w:t>
      </w:r>
      <w:r>
        <w:rPr>
          <w:rFonts w:hint="eastAsia" w:ascii="Times New Roman" w:hAnsi="Times New Roman" w:eastAsia="仿宋_GB2312" w:cs="仿宋_GB2312"/>
          <w:sz w:val="32"/>
          <w:szCs w:val="32"/>
        </w:rPr>
        <w:t>㎡，室内场地面积</w:t>
      </w:r>
      <w:r>
        <w:rPr>
          <w:rFonts w:ascii="Times New Roman" w:hAnsi="Times New Roman" w:eastAsia="仿宋_GB2312" w:cs="仿宋_GB2312"/>
          <w:sz w:val="32"/>
          <w:szCs w:val="32"/>
        </w:rPr>
        <w:t>4100</w:t>
      </w:r>
      <w:r>
        <w:rPr>
          <w:rFonts w:hint="eastAsia" w:ascii="Times New Roman" w:hAnsi="Times New Roman" w:eastAsia="仿宋_GB2312" w:cs="仿宋_GB2312"/>
          <w:sz w:val="32"/>
          <w:szCs w:val="32"/>
        </w:rPr>
        <w:t>㎡，室外场地面积</w:t>
      </w:r>
      <w:r>
        <w:rPr>
          <w:rFonts w:ascii="Times New Roman" w:hAnsi="Times New Roman" w:eastAsia="仿宋_GB2312" w:cs="仿宋_GB2312"/>
          <w:sz w:val="32"/>
          <w:szCs w:val="32"/>
        </w:rPr>
        <w:t>1860</w:t>
      </w:r>
      <w:r>
        <w:rPr>
          <w:rFonts w:hint="eastAsia" w:ascii="Times New Roman" w:hAnsi="Times New Roman" w:eastAsia="仿宋_GB2312" w:cs="仿宋_GB2312"/>
          <w:sz w:val="32"/>
          <w:szCs w:val="32"/>
        </w:rPr>
        <w:t>㎡，总投资</w:t>
      </w:r>
      <w:r>
        <w:rPr>
          <w:rFonts w:ascii="Times New Roman" w:hAnsi="Times New Roman" w:eastAsia="仿宋_GB2312" w:cs="仿宋_GB2312"/>
          <w:sz w:val="32"/>
          <w:szCs w:val="32"/>
        </w:rPr>
        <w:t>2400</w:t>
      </w:r>
      <w:r>
        <w:rPr>
          <w:rFonts w:hint="eastAsia" w:ascii="Times New Roman" w:hAnsi="Times New Roman" w:eastAsia="仿宋_GB2312" w:cs="仿宋_GB2312"/>
          <w:sz w:val="32"/>
          <w:szCs w:val="32"/>
        </w:rPr>
        <w:t>万元。可作为篮球、羽毛球、排球、乒乓球的赛事场地，也可作为庆典、展览、大型会议、演出活动的场所，还可以作为体育教学和训练场地，能容纳</w:t>
      </w:r>
      <w:r>
        <w:rPr>
          <w:rFonts w:ascii="Times New Roman" w:hAnsi="Times New Roman" w:eastAsia="仿宋_GB2312" w:cs="仿宋_GB2312"/>
          <w:sz w:val="32"/>
          <w:szCs w:val="32"/>
        </w:rPr>
        <w:t>3200</w:t>
      </w:r>
      <w:r>
        <w:rPr>
          <w:rFonts w:hint="eastAsia" w:ascii="Times New Roman" w:hAnsi="Times New Roman" w:eastAsia="仿宋_GB2312" w:cs="仿宋_GB2312"/>
          <w:sz w:val="32"/>
          <w:szCs w:val="32"/>
        </w:rPr>
        <w:t>位观众；有一个标准篮球场及适当的缓冲区域和工作场地</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还有健身、体质监测、排球、乒乓球、练功房等辅助用房。同时场馆还配备了</w:t>
      </w:r>
      <w:r>
        <w:rPr>
          <w:rFonts w:ascii="Times New Roman" w:hAnsi="Times New Roman" w:eastAsia="仿宋_GB2312" w:cs="仿宋_GB2312"/>
          <w:sz w:val="32"/>
          <w:szCs w:val="32"/>
        </w:rPr>
        <w:t>6</w:t>
      </w:r>
      <w:r>
        <w:rPr>
          <w:rFonts w:hint="eastAsia" w:ascii="Times New Roman" w:hAnsi="Times New Roman" w:eastAsia="仿宋_GB2312" w:cs="仿宋_GB2312"/>
          <w:sz w:val="32"/>
          <w:szCs w:val="32"/>
        </w:rPr>
        <w:t>人负责开馆、闭馆</w:t>
      </w:r>
      <w:r>
        <w:rPr>
          <w:rFonts w:hint="eastAsia" w:ascii="Times New Roman" w:hAnsi="Times New Roman" w:eastAsia="仿宋_GB2312" w:cs="仿宋_GB2312"/>
          <w:sz w:val="32"/>
          <w:szCs w:val="32"/>
          <w:lang w:eastAsia="zh-CN"/>
        </w:rPr>
        <w:t>和</w:t>
      </w:r>
      <w:r>
        <w:rPr>
          <w:rFonts w:hint="eastAsia" w:ascii="Times New Roman" w:hAnsi="Times New Roman" w:eastAsia="仿宋_GB2312" w:cs="仿宋_GB2312"/>
          <w:sz w:val="32"/>
          <w:szCs w:val="32"/>
        </w:rPr>
        <w:t>安全卫生等工作。</w:t>
      </w:r>
    </w:p>
    <w:p>
      <w:pPr>
        <w:keepNext w:val="0"/>
        <w:keepLines w:val="0"/>
        <w:pageBreakBefore w:val="0"/>
        <w:kinsoku/>
        <w:wordWrap/>
        <w:overflowPunct/>
        <w:autoSpaceDE/>
        <w:autoSpaceDN/>
        <w:bidi w:val="0"/>
        <w:spacing w:line="560" w:lineRule="exact"/>
        <w:ind w:left="0" w:right="0" w:firstLine="643" w:firstLineChars="200"/>
        <w:jc w:val="both"/>
        <w:textAlignment w:val="auto"/>
        <w:rPr>
          <w:rFonts w:hint="eastAsia" w:ascii="Times New Roman" w:hAnsi="Times New Roman" w:eastAsia="仿宋_GB2312" w:cs="仿宋_GB2312"/>
          <w:sz w:val="32"/>
          <w:szCs w:val="32"/>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Times New Roman" w:hAnsi="Times New Roman" w:eastAsia="仿宋_GB2312" w:cs="仿宋_GB2312"/>
          <w:sz w:val="32"/>
          <w:szCs w:val="32"/>
          <w:lang w:val="en-US" w:eastAsia="zh-CN"/>
        </w:rPr>
        <w:t>该项目资金采取报账制，严格按照规定的程序报销，并按照政府会计制度进行管理，财务人员严格按照《免开资金使用管理办法》的有关规定执行，并做到资金的专项管理，专款专用、设立专账，资金主要用于体育馆免费对外开放、日常维护、管理、保险等。</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kern w:val="2"/>
          <w:sz w:val="32"/>
          <w:szCs w:val="32"/>
          <w:lang w:val="en-US" w:eastAsia="zh-CN" w:bidi="ar-SA"/>
        </w:rPr>
        <w:t>根据</w:t>
      </w:r>
      <w:r>
        <w:rPr>
          <w:rFonts w:hint="eastAsia" w:ascii="仿宋_GB2312" w:hAnsi="仿宋_GB2312" w:eastAsia="仿宋_GB2312" w:cs="仿宋_GB2312"/>
          <w:b w:val="0"/>
          <w:bCs/>
          <w:kern w:val="2"/>
          <w:sz w:val="32"/>
          <w:szCs w:val="32"/>
          <w:lang w:val="zh-CN" w:eastAsia="zh-CN" w:bidi="ar-SA"/>
        </w:rPr>
        <w:t>阿州财教【20</w:t>
      </w:r>
      <w:r>
        <w:rPr>
          <w:rFonts w:hint="eastAsia" w:ascii="仿宋_GB2312" w:hAnsi="仿宋_GB2312" w:eastAsia="仿宋_GB2312" w:cs="仿宋_GB2312"/>
          <w:b w:val="0"/>
          <w:bCs/>
          <w:kern w:val="2"/>
          <w:sz w:val="32"/>
          <w:szCs w:val="32"/>
          <w:lang w:val="en-US" w:eastAsia="zh-CN" w:bidi="ar-SA"/>
        </w:rPr>
        <w:t>2</w:t>
      </w:r>
      <w:r>
        <w:rPr>
          <w:rFonts w:hint="eastAsia" w:ascii="仿宋_GB2312" w:hAnsi="仿宋_GB2312" w:cs="仿宋_GB2312"/>
          <w:b w:val="0"/>
          <w:bCs/>
          <w:kern w:val="2"/>
          <w:sz w:val="32"/>
          <w:szCs w:val="32"/>
          <w:lang w:val="en-US" w:eastAsia="zh-CN" w:bidi="ar-SA"/>
        </w:rPr>
        <w:t>5</w:t>
      </w:r>
      <w:r>
        <w:rPr>
          <w:rFonts w:hint="eastAsia" w:ascii="仿宋_GB2312" w:hAnsi="仿宋_GB2312" w:eastAsia="仿宋_GB2312" w:cs="仿宋_GB2312"/>
          <w:b w:val="0"/>
          <w:bCs/>
          <w:kern w:val="2"/>
          <w:sz w:val="32"/>
          <w:szCs w:val="32"/>
          <w:lang w:val="zh-CN" w:eastAsia="zh-CN" w:bidi="ar-SA"/>
        </w:rPr>
        <w:t>】</w:t>
      </w:r>
      <w:r>
        <w:rPr>
          <w:rFonts w:hint="eastAsia" w:ascii="仿宋_GB2312" w:hAnsi="仿宋_GB2312" w:cs="仿宋_GB2312"/>
          <w:b w:val="0"/>
          <w:bCs/>
          <w:kern w:val="2"/>
          <w:sz w:val="32"/>
          <w:szCs w:val="32"/>
          <w:lang w:val="en-US" w:eastAsia="zh-CN" w:bidi="ar-SA"/>
        </w:rPr>
        <w:t>18</w:t>
      </w:r>
      <w:r>
        <w:rPr>
          <w:rFonts w:hint="eastAsia" w:ascii="仿宋_GB2312" w:hAnsi="仿宋_GB2312" w:eastAsia="仿宋_GB2312" w:cs="仿宋_GB2312"/>
          <w:b w:val="0"/>
          <w:bCs/>
          <w:kern w:val="2"/>
          <w:sz w:val="32"/>
          <w:szCs w:val="32"/>
          <w:lang w:val="zh-CN" w:eastAsia="zh-CN" w:bidi="ar-SA"/>
        </w:rPr>
        <w:t>号</w:t>
      </w:r>
      <w:r>
        <w:rPr>
          <w:rFonts w:hint="eastAsia" w:ascii="仿宋_GB2312" w:hAnsi="仿宋_GB2312" w:eastAsia="仿宋_GB2312" w:cs="仿宋_GB2312"/>
          <w:b w:val="0"/>
          <w:bCs/>
          <w:kern w:val="2"/>
          <w:sz w:val="32"/>
          <w:szCs w:val="32"/>
          <w:lang w:val="en-US" w:eastAsia="zh-CN" w:bidi="ar-SA"/>
        </w:rPr>
        <w:t>文件精神，下达至小金县</w:t>
      </w:r>
      <w:r>
        <w:rPr>
          <w:rFonts w:hint="eastAsia" w:ascii="仿宋_GB2312" w:hAnsi="仿宋_GB2312" w:cs="仿宋_GB2312"/>
          <w:b w:val="0"/>
          <w:bCs/>
          <w:kern w:val="2"/>
          <w:sz w:val="32"/>
          <w:szCs w:val="32"/>
          <w:lang w:val="zh-CN" w:eastAsia="zh-CN" w:bidi="ar-SA"/>
        </w:rPr>
        <w:t>2025年体育馆免开资金</w:t>
      </w:r>
      <w:r>
        <w:rPr>
          <w:rFonts w:hint="eastAsia" w:ascii="仿宋_GB2312" w:hAnsi="仿宋_GB2312" w:eastAsia="仿宋_GB2312" w:cs="仿宋_GB2312"/>
          <w:b w:val="0"/>
          <w:bCs/>
          <w:kern w:val="2"/>
          <w:sz w:val="32"/>
          <w:szCs w:val="32"/>
          <w:lang w:val="zh-CN" w:eastAsia="zh-CN" w:bidi="ar-SA"/>
        </w:rPr>
        <w:t>资金</w:t>
      </w:r>
      <w:r>
        <w:rPr>
          <w:rFonts w:hint="eastAsia" w:ascii="仿宋_GB2312" w:hAnsi="仿宋_GB2312" w:cs="仿宋_GB2312"/>
          <w:b w:val="0"/>
          <w:bCs/>
          <w:kern w:val="2"/>
          <w:sz w:val="32"/>
          <w:szCs w:val="32"/>
          <w:lang w:val="en-US" w:eastAsia="zh-CN" w:bidi="ar-SA"/>
        </w:rPr>
        <w:t>25</w:t>
      </w:r>
      <w:r>
        <w:rPr>
          <w:rFonts w:hint="eastAsia" w:ascii="仿宋_GB2312" w:hAnsi="仿宋_GB2312" w:eastAsia="仿宋_GB2312" w:cs="仿宋_GB2312"/>
          <w:b w:val="0"/>
          <w:bCs/>
          <w:kern w:val="2"/>
          <w:sz w:val="32"/>
          <w:szCs w:val="32"/>
          <w:lang w:val="zh-CN" w:eastAsia="zh-CN" w:bidi="ar-SA"/>
        </w:rPr>
        <w:t>万元，</w:t>
      </w:r>
      <w:r>
        <w:rPr>
          <w:rFonts w:hint="eastAsia" w:ascii="仿宋_GB2312" w:hAnsi="仿宋_GB2312" w:eastAsia="仿宋_GB2312" w:cs="仿宋_GB2312"/>
          <w:sz w:val="32"/>
          <w:szCs w:val="32"/>
        </w:rPr>
        <w:t>主要用于以下支出。器材、设备更新；场馆维护、维修；日常办公、水、电等</w:t>
      </w:r>
      <w:r>
        <w:rPr>
          <w:rFonts w:hint="eastAsia" w:ascii="仿宋_GB2312" w:hAnsi="仿宋_GB2312" w:cs="仿宋_GB2312"/>
          <w:sz w:val="32"/>
          <w:szCs w:val="32"/>
          <w:lang w:eastAsia="zh-CN"/>
        </w:rPr>
        <w:t>以及</w:t>
      </w:r>
      <w:r>
        <w:rPr>
          <w:rFonts w:hint="eastAsia" w:ascii="仿宋_GB2312" w:hAnsi="仿宋_GB2312" w:eastAsia="仿宋_GB2312" w:cs="仿宋_GB2312"/>
          <w:sz w:val="32"/>
          <w:szCs w:val="32"/>
        </w:rPr>
        <w:t>管理人员工资、保险等</w:t>
      </w:r>
      <w:r>
        <w:rPr>
          <w:rFonts w:hint="eastAsia" w:ascii="仿宋_GB2312" w:hAnsi="仿宋_GB2312" w:eastAsia="仿宋_GB2312" w:cs="仿宋_GB2312"/>
          <w:b w:val="0"/>
          <w:bCs/>
          <w:kern w:val="2"/>
          <w:sz w:val="32"/>
          <w:szCs w:val="32"/>
          <w:lang w:val="en-US" w:eastAsia="zh-CN" w:bidi="ar-SA"/>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1.每周</w:t>
      </w:r>
      <w:r>
        <w:rPr>
          <w:rFonts w:hint="eastAsia" w:ascii="仿宋_GB2312" w:hAnsi="仿宋_GB2312" w:cs="仿宋_GB2312"/>
          <w:sz w:val="32"/>
          <w:szCs w:val="32"/>
          <w:lang w:val="en-US" w:eastAsia="zh-CN"/>
        </w:rPr>
        <w:t>免费</w:t>
      </w:r>
      <w:r>
        <w:rPr>
          <w:rFonts w:hint="eastAsia" w:ascii="仿宋_GB2312" w:hAnsi="仿宋_GB2312" w:eastAsia="仿宋_GB2312" w:cs="仿宋_GB2312"/>
          <w:sz w:val="32"/>
          <w:szCs w:val="32"/>
          <w:lang w:val="en-US" w:eastAsia="zh-CN"/>
        </w:rPr>
        <w:t>对外开放时间不少于56小时，全民健身日和重大节庆日对外开放。</w:t>
      </w:r>
    </w:p>
    <w:p>
      <w:pPr>
        <w:keepNext w:val="0"/>
        <w:keepLines w:val="0"/>
        <w:pageBreakBefore w:val="0"/>
        <w:kinsoku/>
        <w:wordWrap/>
        <w:overflowPunct/>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2.每年免开人次不少于5万人次，举办公益性体育活动、体育培训不少于4次，坚持常年对外开放、坚持</w:t>
      </w:r>
      <w:r>
        <w:rPr>
          <w:rFonts w:hint="eastAsia" w:ascii="仿宋_GB2312" w:hAnsi="仿宋_GB2312" w:cs="仿宋_GB2312"/>
          <w:sz w:val="32"/>
          <w:szCs w:val="32"/>
          <w:lang w:val="en-US" w:eastAsia="zh-CN"/>
        </w:rPr>
        <w:t>免开的</w:t>
      </w:r>
      <w:r>
        <w:rPr>
          <w:rFonts w:hint="eastAsia" w:ascii="仿宋_GB2312" w:hAnsi="仿宋_GB2312" w:eastAsia="仿宋_GB2312" w:cs="仿宋_GB2312"/>
          <w:sz w:val="32"/>
          <w:szCs w:val="32"/>
          <w:lang w:val="en-US" w:eastAsia="zh-CN"/>
        </w:rPr>
        <w:t>公益性方向。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kinsoku/>
        <w:wordWrap/>
        <w:overflowPunct/>
        <w:autoSpaceDE/>
        <w:autoSpaceDN/>
        <w:bidi w:val="0"/>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sz w:val="32"/>
          <w:szCs w:val="32"/>
          <w:lang w:val="en-US" w:eastAsia="zh-CN"/>
        </w:rPr>
        <w:t>通过对场馆开放服务人数指标完成情况；开放服务质量；免费举办群众文化体育活动；场馆开放社会效益等情况进行评价。了解存在的问题，通过不断改进，更好发挥资金</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场馆效益。</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宋体" w:eastAsia="楷体_GB2312" w:cs="Times New Roman"/>
          <w:b/>
          <w:color w:val="auto"/>
          <w:sz w:val="32"/>
          <w:szCs w:val="32"/>
          <w:highlight w:val="none"/>
          <w:u w:val="none"/>
          <w:lang w:val="zh-CN" w:eastAsia="zh-CN"/>
        </w:rPr>
        <w:t>（二）预设问题及评价重点。</w:t>
      </w:r>
      <w:r>
        <w:rPr>
          <w:rFonts w:hint="eastAsia" w:ascii="仿宋_GB2312" w:hAnsi="仿宋_GB2312" w:cs="仿宋_GB2312"/>
          <w:sz w:val="32"/>
          <w:szCs w:val="32"/>
          <w:lang w:val="zh-CN" w:eastAsia="zh-CN"/>
        </w:rPr>
        <w:t>资金是否用于支持</w:t>
      </w:r>
      <w:r>
        <w:rPr>
          <w:rStyle w:val="43"/>
          <w:rFonts w:hint="eastAsia" w:ascii="仿宋_GB2312" w:hAnsi="仿宋_GB2312" w:eastAsia="仿宋_GB2312"/>
          <w:color w:val="auto"/>
          <w:sz w:val="32"/>
          <w:szCs w:val="32"/>
          <w:u w:val="none" w:color="auto"/>
        </w:rPr>
        <w:t>和鼓励</w:t>
      </w:r>
      <w:r>
        <w:rPr>
          <w:rStyle w:val="43"/>
          <w:rFonts w:hint="eastAsia" w:ascii="仿宋_GB2312" w:hAnsi="仿宋_GB2312" w:eastAsia="仿宋_GB2312"/>
          <w:color w:val="auto"/>
          <w:sz w:val="32"/>
          <w:szCs w:val="32"/>
          <w:u w:val="none" w:color="auto"/>
          <w:lang w:eastAsia="zh-CN"/>
        </w:rPr>
        <w:t>各地</w:t>
      </w:r>
      <w:r>
        <w:rPr>
          <w:rStyle w:val="43"/>
          <w:rFonts w:hint="eastAsia" w:ascii="仿宋_GB2312" w:hAnsi="仿宋_GB2312" w:eastAsia="仿宋_GB2312"/>
          <w:color w:val="auto"/>
          <w:sz w:val="32"/>
          <w:szCs w:val="32"/>
          <w:u w:val="none" w:color="auto"/>
        </w:rPr>
        <w:t>体育</w:t>
      </w:r>
      <w:r>
        <w:rPr>
          <w:rStyle w:val="43"/>
          <w:rFonts w:hint="eastAsia" w:ascii="仿宋_GB2312" w:hAnsi="仿宋_GB2312" w:eastAsia="仿宋_GB2312"/>
          <w:color w:val="auto"/>
          <w:sz w:val="32"/>
          <w:szCs w:val="32"/>
          <w:u w:val="none" w:color="auto"/>
          <w:lang w:eastAsia="zh-CN"/>
        </w:rPr>
        <w:t>行政</w:t>
      </w:r>
      <w:r>
        <w:rPr>
          <w:rStyle w:val="43"/>
          <w:rFonts w:hint="eastAsia" w:ascii="仿宋_GB2312" w:hAnsi="仿宋_GB2312" w:eastAsia="仿宋_GB2312"/>
          <w:color w:val="auto"/>
          <w:sz w:val="32"/>
          <w:szCs w:val="32"/>
          <w:u w:val="none" w:color="auto"/>
        </w:rPr>
        <w:t>部门所属公共体育场馆向社会免费或低收费开放。</w:t>
      </w:r>
      <w:r>
        <w:rPr>
          <w:rStyle w:val="43"/>
          <w:rFonts w:hint="eastAsia" w:ascii="仿宋_GB2312" w:hAnsi="仿宋_GB2312"/>
          <w:color w:val="auto"/>
          <w:sz w:val="32"/>
          <w:szCs w:val="32"/>
          <w:u w:val="none" w:color="auto"/>
          <w:lang w:eastAsia="zh-CN"/>
        </w:rPr>
        <w:t>重点评价</w:t>
      </w:r>
      <w:r>
        <w:rPr>
          <w:rFonts w:hint="eastAsia" w:ascii="仿宋_GB2312" w:hAnsi="仿宋_GB2312" w:eastAsia="仿宋_GB2312" w:cs="仿宋_GB2312"/>
          <w:sz w:val="32"/>
          <w:szCs w:val="32"/>
          <w:lang w:val="en-US" w:eastAsia="zh-CN"/>
        </w:rPr>
        <w:t>场馆开放服务人数指标完成情况；开放服务质量；免费举办群众文化体育活动；场馆开放社会效益等。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Style w:val="43"/>
          <w:rFonts w:hint="eastAsia" w:ascii="仿宋_GB2312" w:hAnsi="仿宋_GB2312" w:eastAsia="仿宋_GB2312" w:cstheme="minorBidi"/>
          <w:color w:val="auto"/>
          <w:sz w:val="32"/>
          <w:szCs w:val="32"/>
          <w:u w:val="none" w:color="auto"/>
          <w:lang w:val="zh-CN" w:eastAsia="zh-CN"/>
        </w:rPr>
      </w:pPr>
      <w:r>
        <w:rPr>
          <w:rFonts w:hint="eastAsia" w:ascii="楷体_GB2312" w:hAnsi="宋体" w:eastAsia="楷体_GB2312"/>
          <w:b/>
          <w:color w:val="auto"/>
          <w:sz w:val="32"/>
          <w:szCs w:val="32"/>
          <w:highlight w:val="none"/>
          <w:u w:val="none"/>
          <w:lang w:val="zh-CN"/>
        </w:rPr>
        <w:t>（三）评价选点。</w:t>
      </w:r>
      <w:r>
        <w:rPr>
          <w:rStyle w:val="43"/>
          <w:rFonts w:hint="eastAsia" w:ascii="仿宋_GB2312" w:hAnsi="仿宋_GB2312" w:eastAsia="仿宋_GB2312" w:cstheme="minorBidi"/>
          <w:color w:val="auto"/>
          <w:sz w:val="32"/>
          <w:szCs w:val="32"/>
          <w:u w:val="none" w:color="auto"/>
          <w:lang w:val="zh-CN"/>
        </w:rPr>
        <w:t>小金县体育馆</w:t>
      </w:r>
      <w:r>
        <w:rPr>
          <w:rStyle w:val="43"/>
          <w:rFonts w:hint="eastAsia" w:ascii="仿宋_GB2312" w:hAnsi="仿宋_GB2312" w:eastAsia="仿宋_GB2312" w:cstheme="minorBidi"/>
          <w:color w:val="auto"/>
          <w:sz w:val="32"/>
          <w:szCs w:val="32"/>
          <w:u w:val="none" w:color="auto"/>
          <w:lang w:val="zh-CN" w:eastAsia="zh-CN"/>
        </w:rPr>
        <w:t>。</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Style w:val="43"/>
          <w:rFonts w:hint="eastAsia" w:ascii="仿宋_GB2312" w:hAnsi="仿宋_GB2312" w:eastAsia="仿宋_GB2312" w:cstheme="minorBidi"/>
          <w:color w:val="auto"/>
          <w:sz w:val="32"/>
          <w:szCs w:val="32"/>
          <w:u w:val="none" w:color="auto"/>
          <w:lang w:eastAsia="zh-CN"/>
        </w:rPr>
      </w:pPr>
      <w:r>
        <w:rPr>
          <w:rFonts w:hint="eastAsia" w:ascii="楷体_GB2312" w:hAnsi="宋体" w:eastAsia="楷体_GB2312"/>
          <w:b/>
          <w:color w:val="auto"/>
          <w:sz w:val="32"/>
          <w:szCs w:val="32"/>
          <w:highlight w:val="none"/>
          <w:u w:val="none"/>
          <w:lang w:val="zh-CN"/>
        </w:rPr>
        <w:t>（四）评价方法。</w:t>
      </w:r>
      <w:r>
        <w:rPr>
          <w:rStyle w:val="43"/>
          <w:rFonts w:hint="eastAsia" w:ascii="仿宋_GB2312" w:hAnsi="仿宋_GB2312" w:eastAsia="仿宋_GB2312" w:cstheme="minorBidi"/>
          <w:color w:val="auto"/>
          <w:sz w:val="32"/>
          <w:szCs w:val="32"/>
          <w:u w:val="none" w:color="auto"/>
        </w:rPr>
        <w:t>联合教育、统计、财政等部门成立评估工作小组，通过实地调查、对照《小金县</w:t>
      </w:r>
      <w:r>
        <w:rPr>
          <w:rStyle w:val="43"/>
          <w:rFonts w:hint="eastAsia" w:ascii="仿宋_GB2312" w:hAnsi="仿宋_GB2312" w:cstheme="minorBidi"/>
          <w:color w:val="auto"/>
          <w:sz w:val="32"/>
          <w:szCs w:val="32"/>
          <w:u w:val="none" w:color="auto"/>
          <w:lang w:eastAsia="zh-CN"/>
        </w:rPr>
        <w:t>2025年</w:t>
      </w:r>
      <w:r>
        <w:rPr>
          <w:rStyle w:val="43"/>
          <w:rFonts w:hint="eastAsia" w:ascii="仿宋_GB2312" w:hAnsi="仿宋_GB2312" w:eastAsia="仿宋_GB2312" w:cstheme="minorBidi"/>
          <w:color w:val="auto"/>
          <w:sz w:val="32"/>
          <w:szCs w:val="32"/>
          <w:u w:val="none" w:color="auto"/>
        </w:rPr>
        <w:t>体育馆免费开放方案》中提出的发展目标、主要任务等完成情况进行科学全面的评估。</w:t>
      </w:r>
    </w:p>
    <w:p>
      <w:pPr>
        <w:keepNext w:val="0"/>
        <w:keepLines w:val="0"/>
        <w:pageBreakBefore w:val="0"/>
        <w:kinsoku/>
        <w:wordWrap/>
        <w:overflowPunct/>
        <w:autoSpaceDE/>
        <w:autoSpaceDN/>
        <w:bidi w:val="0"/>
        <w:spacing w:line="560" w:lineRule="exact"/>
        <w:ind w:firstLine="643" w:firstLineChars="200"/>
        <w:textAlignment w:val="auto"/>
        <w:rPr>
          <w:rFonts w:hint="eastAsia" w:ascii="仿宋" w:hAnsi="仿宋" w:eastAsia="仿宋" w:cs="仿宋"/>
          <w:sz w:val="32"/>
          <w:szCs w:val="32"/>
          <w:lang w:eastAsia="zh-CN"/>
        </w:rPr>
      </w:pPr>
      <w:r>
        <w:rPr>
          <w:rFonts w:hint="eastAsia" w:ascii="楷体_GB2312" w:hAnsi="宋体" w:eastAsia="楷体_GB2312"/>
          <w:b/>
          <w:color w:val="auto"/>
          <w:sz w:val="32"/>
          <w:szCs w:val="32"/>
          <w:highlight w:val="none"/>
          <w:u w:val="none"/>
          <w:lang w:val="zh-CN"/>
        </w:rPr>
        <w:t>（五）评价组织。</w:t>
      </w:r>
      <w:r>
        <w:rPr>
          <w:rStyle w:val="43"/>
          <w:rFonts w:hint="eastAsia" w:ascii="仿宋_GB2312" w:hAnsi="仿宋_GB2312" w:eastAsia="仿宋_GB2312" w:cstheme="minorBidi"/>
          <w:color w:val="auto"/>
          <w:sz w:val="32"/>
          <w:szCs w:val="32"/>
          <w:u w:val="none" w:color="auto"/>
        </w:rPr>
        <w:t>联合教育、统计、财政等部门成立评估工作小组，通过实地调查、对照《小金县</w:t>
      </w:r>
      <w:r>
        <w:rPr>
          <w:rStyle w:val="43"/>
          <w:rFonts w:hint="eastAsia" w:ascii="仿宋_GB2312" w:hAnsi="仿宋_GB2312" w:cstheme="minorBidi"/>
          <w:color w:val="auto"/>
          <w:sz w:val="32"/>
          <w:szCs w:val="32"/>
          <w:u w:val="none" w:color="auto"/>
          <w:lang w:eastAsia="zh-CN"/>
        </w:rPr>
        <w:t>2025年</w:t>
      </w:r>
      <w:r>
        <w:rPr>
          <w:rStyle w:val="43"/>
          <w:rFonts w:hint="eastAsia" w:ascii="仿宋_GB2312" w:hAnsi="仿宋_GB2312" w:eastAsia="仿宋_GB2312" w:cstheme="minorBidi"/>
          <w:color w:val="auto"/>
          <w:sz w:val="32"/>
          <w:szCs w:val="32"/>
          <w:u w:val="none" w:color="auto"/>
        </w:rPr>
        <w:t>体育馆免费开放方案》对场馆开放服务人数指标完成情况；开放服务质量；免费举办群众文化体育活动；场馆开放社会效益等情况进行</w:t>
      </w:r>
      <w:r>
        <w:rPr>
          <w:rStyle w:val="43"/>
          <w:rFonts w:hint="eastAsia" w:ascii="仿宋_GB2312" w:hAnsi="仿宋_GB2312" w:cstheme="minorBidi"/>
          <w:color w:val="auto"/>
          <w:sz w:val="32"/>
          <w:szCs w:val="32"/>
          <w:u w:val="none" w:color="auto"/>
          <w:lang w:eastAsia="zh-CN"/>
        </w:rPr>
        <w:t>评价</w:t>
      </w:r>
      <w:r>
        <w:rPr>
          <w:rStyle w:val="43"/>
          <w:rFonts w:hint="eastAsia" w:ascii="仿宋_GB2312" w:hAnsi="仿宋_GB2312" w:eastAsia="仿宋_GB2312" w:cstheme="minorBidi"/>
          <w:color w:val="auto"/>
          <w:sz w:val="32"/>
          <w:szCs w:val="32"/>
          <w:u w:val="none" w:color="auto"/>
        </w:rPr>
        <w:t>。</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kinsoku/>
        <w:wordWrap/>
        <w:overflowPunct/>
        <w:autoSpaceDE/>
        <w:autoSpaceDN/>
        <w:bidi w:val="0"/>
        <w:spacing w:line="560" w:lineRule="exact"/>
        <w:ind w:firstLine="643" w:firstLineChars="200"/>
        <w:textAlignment w:val="auto"/>
        <w:rPr>
          <w:rStyle w:val="43"/>
          <w:rFonts w:hint="default" w:ascii="仿宋_GB2312" w:hAnsi="仿宋_GB2312" w:eastAsia="仿宋_GB2312" w:cstheme="minorBidi"/>
          <w:color w:val="auto"/>
          <w:sz w:val="32"/>
          <w:szCs w:val="32"/>
          <w:u w:val="none" w:color="auto"/>
          <w:lang w:val="en-US" w:eastAsia="zh-CN"/>
        </w:rPr>
      </w:pPr>
      <w:r>
        <w:rPr>
          <w:rStyle w:val="43"/>
          <w:rFonts w:hint="eastAsia" w:ascii="仿宋_GB2312" w:hAnsi="仿宋_GB2312" w:eastAsia="仿宋_GB2312" w:cstheme="minorBidi"/>
          <w:b/>
          <w:bCs/>
          <w:color w:val="auto"/>
          <w:sz w:val="32"/>
          <w:szCs w:val="32"/>
          <w:u w:val="none" w:color="auto"/>
          <w:lang w:val="en-US" w:eastAsia="zh-CN"/>
        </w:rPr>
        <w:t>1.</w:t>
      </w:r>
      <w:r>
        <w:rPr>
          <w:rStyle w:val="43"/>
          <w:rFonts w:hint="eastAsia" w:ascii="仿宋_GB2312" w:hAnsi="仿宋_GB2312" w:eastAsia="仿宋_GB2312" w:cstheme="minorBidi"/>
          <w:b/>
          <w:bCs/>
          <w:color w:val="auto"/>
          <w:sz w:val="32"/>
          <w:szCs w:val="32"/>
          <w:u w:val="none" w:color="auto"/>
          <w:lang w:eastAsia="zh-CN"/>
        </w:rPr>
        <w:t>项目决策。</w:t>
      </w:r>
      <w:r>
        <w:rPr>
          <w:rStyle w:val="43"/>
          <w:rFonts w:hint="eastAsia" w:ascii="仿宋_GB2312" w:hAnsi="仿宋_GB2312" w:eastAsia="仿宋_GB2312" w:cstheme="minorBidi"/>
          <w:color w:val="auto"/>
          <w:sz w:val="32"/>
          <w:szCs w:val="32"/>
          <w:u w:val="none" w:color="auto"/>
          <w:lang w:eastAsia="zh-CN"/>
        </w:rPr>
        <w:t>严格按照《</w:t>
      </w:r>
      <w:r>
        <w:rPr>
          <w:rStyle w:val="43"/>
          <w:rFonts w:hint="eastAsia" w:ascii="仿宋_GB2312" w:hAnsi="仿宋_GB2312" w:eastAsia="仿宋_GB2312" w:cstheme="minorBidi"/>
          <w:color w:val="auto"/>
          <w:sz w:val="32"/>
          <w:szCs w:val="32"/>
          <w:u w:val="none" w:color="auto"/>
        </w:rPr>
        <w:t>公共体育场馆向社会免费或低收费开放补助资金管理办法</w:t>
      </w:r>
      <w:r>
        <w:rPr>
          <w:rStyle w:val="43"/>
          <w:rFonts w:hint="eastAsia" w:ascii="仿宋_GB2312" w:hAnsi="仿宋_GB2312" w:eastAsia="仿宋_GB2312" w:cstheme="minorBidi"/>
          <w:color w:val="auto"/>
          <w:sz w:val="32"/>
          <w:szCs w:val="32"/>
          <w:u w:val="none" w:color="auto"/>
          <w:lang w:eastAsia="zh-CN"/>
        </w:rPr>
        <w:t>》使用资金，项目符合财政资金管理基本规范和决策程序要求，符合中央、省委省政府有关决策部署安排。综合评定得</w:t>
      </w:r>
      <w:r>
        <w:rPr>
          <w:rStyle w:val="43"/>
          <w:rFonts w:hint="eastAsia" w:ascii="仿宋_GB2312" w:hAnsi="仿宋_GB2312" w:eastAsia="仿宋_GB2312" w:cstheme="minorBidi"/>
          <w:color w:val="auto"/>
          <w:sz w:val="32"/>
          <w:szCs w:val="32"/>
          <w:u w:val="none" w:color="auto"/>
          <w:lang w:val="en-US" w:eastAsia="zh-CN"/>
        </w:rPr>
        <w:t>18分。</w:t>
      </w:r>
    </w:p>
    <w:p>
      <w:pPr>
        <w:keepNext w:val="0"/>
        <w:keepLines w:val="0"/>
        <w:pageBreakBefore w:val="0"/>
        <w:kinsoku/>
        <w:wordWrap/>
        <w:overflowPunct/>
        <w:autoSpaceDE/>
        <w:autoSpaceDN/>
        <w:bidi w:val="0"/>
        <w:spacing w:line="560" w:lineRule="exact"/>
        <w:ind w:firstLine="643" w:firstLineChars="200"/>
        <w:textAlignment w:val="auto"/>
        <w:rPr>
          <w:rStyle w:val="43"/>
          <w:rFonts w:hint="eastAsia" w:ascii="仿宋_GB2312" w:hAnsi="仿宋_GB2312" w:eastAsia="仿宋_GB2312" w:cstheme="minorBidi"/>
          <w:color w:val="auto"/>
          <w:sz w:val="32"/>
          <w:szCs w:val="32"/>
          <w:u w:val="none" w:color="auto"/>
          <w:lang w:eastAsia="zh-CN"/>
        </w:rPr>
      </w:pPr>
      <w:r>
        <w:rPr>
          <w:rStyle w:val="43"/>
          <w:rFonts w:hint="eastAsia" w:ascii="仿宋_GB2312" w:hAnsi="仿宋_GB2312" w:eastAsia="仿宋_GB2312" w:cstheme="minorBidi"/>
          <w:b/>
          <w:bCs/>
          <w:color w:val="auto"/>
          <w:sz w:val="32"/>
          <w:szCs w:val="32"/>
          <w:u w:val="none" w:color="auto"/>
          <w:lang w:val="en-US" w:eastAsia="zh-CN"/>
        </w:rPr>
        <w:t>2.</w:t>
      </w:r>
      <w:r>
        <w:rPr>
          <w:rStyle w:val="43"/>
          <w:rFonts w:hint="eastAsia" w:ascii="仿宋_GB2312" w:hAnsi="仿宋_GB2312" w:eastAsia="仿宋_GB2312" w:cstheme="minorBidi"/>
          <w:b/>
          <w:bCs/>
          <w:color w:val="auto"/>
          <w:sz w:val="32"/>
          <w:szCs w:val="32"/>
          <w:u w:val="none" w:color="auto"/>
          <w:lang w:eastAsia="zh-CN"/>
        </w:rPr>
        <w:t>项目管理。</w:t>
      </w:r>
      <w:r>
        <w:rPr>
          <w:rStyle w:val="43"/>
          <w:rFonts w:hint="eastAsia" w:ascii="仿宋_GB2312" w:hAnsi="仿宋_GB2312" w:eastAsia="仿宋_GB2312" w:cstheme="minorBidi"/>
          <w:color w:val="auto"/>
          <w:sz w:val="32"/>
          <w:szCs w:val="32"/>
          <w:u w:val="none" w:color="auto"/>
          <w:lang w:eastAsia="zh-CN"/>
        </w:rPr>
        <w:t>该项目资金管理办法等管理制度体系健全完善，</w:t>
      </w:r>
      <w:r>
        <w:rPr>
          <w:rStyle w:val="43"/>
          <w:rFonts w:hint="eastAsia" w:ascii="仿宋_GB2312" w:hAnsi="仿宋_GB2312" w:eastAsia="仿宋_GB2312" w:cstheme="minorBidi"/>
          <w:color w:val="auto"/>
          <w:sz w:val="32"/>
          <w:szCs w:val="32"/>
          <w:u w:val="none" w:color="auto"/>
          <w:lang w:val="en-US" w:eastAsia="zh-CN"/>
        </w:rPr>
        <w:t>资金使用</w:t>
      </w:r>
      <w:r>
        <w:rPr>
          <w:rStyle w:val="43"/>
          <w:rFonts w:hint="eastAsia" w:ascii="仿宋_GB2312" w:hAnsi="仿宋_GB2312" w:eastAsia="仿宋_GB2312" w:cstheme="minorBidi"/>
          <w:color w:val="auto"/>
          <w:sz w:val="32"/>
          <w:szCs w:val="32"/>
          <w:u w:val="none" w:color="auto"/>
        </w:rPr>
        <w:t>坚持统一管理、突出重点、合理安排、注重绩效的原则。</w:t>
      </w:r>
      <w:r>
        <w:rPr>
          <w:rStyle w:val="43"/>
          <w:rFonts w:hint="eastAsia" w:ascii="仿宋_GB2312" w:hAnsi="仿宋_GB2312" w:eastAsia="仿宋_GB2312" w:cstheme="minorBidi"/>
          <w:color w:val="auto"/>
          <w:sz w:val="32"/>
          <w:szCs w:val="32"/>
          <w:u w:val="none" w:color="auto"/>
          <w:lang w:val="en-US" w:eastAsia="zh-CN"/>
        </w:rPr>
        <w:t>实现了资金拨付规范，人员管理有序，项目充分发挥绩效。</w:t>
      </w:r>
      <w:r>
        <w:rPr>
          <w:rStyle w:val="43"/>
          <w:rFonts w:hint="eastAsia" w:ascii="仿宋_GB2312" w:hAnsi="仿宋_GB2312" w:eastAsia="仿宋_GB2312" w:cstheme="minorBidi"/>
          <w:color w:val="auto"/>
          <w:sz w:val="32"/>
          <w:szCs w:val="32"/>
          <w:u w:val="none" w:color="auto"/>
          <w:lang w:eastAsia="zh-CN"/>
        </w:rPr>
        <w:t>综合评定得</w:t>
      </w:r>
      <w:r>
        <w:rPr>
          <w:rStyle w:val="43"/>
          <w:rFonts w:hint="eastAsia" w:ascii="仿宋_GB2312" w:hAnsi="仿宋_GB2312" w:eastAsia="仿宋_GB2312" w:cstheme="minorBidi"/>
          <w:color w:val="auto"/>
          <w:sz w:val="32"/>
          <w:szCs w:val="32"/>
          <w:u w:val="none" w:color="auto"/>
          <w:lang w:val="en-US" w:eastAsia="zh-CN"/>
        </w:rPr>
        <w:t>15分。</w:t>
      </w:r>
    </w:p>
    <w:p>
      <w:pPr>
        <w:keepNext w:val="0"/>
        <w:keepLines w:val="0"/>
        <w:pageBreakBefore w:val="0"/>
        <w:kinsoku/>
        <w:wordWrap/>
        <w:overflowPunct/>
        <w:autoSpaceDE/>
        <w:autoSpaceDN/>
        <w:bidi w:val="0"/>
        <w:spacing w:line="560" w:lineRule="exact"/>
        <w:ind w:firstLine="643" w:firstLineChars="200"/>
        <w:textAlignment w:val="auto"/>
        <w:rPr>
          <w:rStyle w:val="43"/>
          <w:rFonts w:hint="default" w:ascii="仿宋_GB2312" w:hAnsi="仿宋_GB2312" w:eastAsia="仿宋_GB2312" w:cstheme="minorBidi"/>
          <w:color w:val="auto"/>
          <w:sz w:val="32"/>
          <w:szCs w:val="32"/>
          <w:u w:val="none" w:color="auto"/>
          <w:lang w:val="en-US" w:eastAsia="zh-CN"/>
        </w:rPr>
      </w:pPr>
      <w:r>
        <w:rPr>
          <w:rStyle w:val="43"/>
          <w:rFonts w:hint="eastAsia" w:ascii="仿宋_GB2312" w:hAnsi="仿宋_GB2312" w:eastAsia="仿宋_GB2312" w:cstheme="minorBidi"/>
          <w:b/>
          <w:bCs/>
          <w:color w:val="auto"/>
          <w:sz w:val="32"/>
          <w:szCs w:val="32"/>
          <w:u w:val="none" w:color="auto"/>
          <w:lang w:val="en-US" w:eastAsia="zh-CN"/>
        </w:rPr>
        <w:t>3.项目实施。</w:t>
      </w:r>
      <w:r>
        <w:rPr>
          <w:rStyle w:val="43"/>
          <w:rFonts w:hint="eastAsia" w:ascii="仿宋_GB2312" w:hAnsi="仿宋_GB2312" w:eastAsia="仿宋_GB2312" w:cstheme="minorBidi"/>
          <w:color w:val="auto"/>
          <w:sz w:val="32"/>
          <w:szCs w:val="32"/>
          <w:u w:val="none" w:color="auto"/>
          <w:lang w:val="en-US" w:eastAsia="zh-CN"/>
        </w:rPr>
        <w:t>场馆开放、免开人次、活动举办、开放效益等均达到有关指标要求。</w:t>
      </w:r>
      <w:r>
        <w:rPr>
          <w:rStyle w:val="43"/>
          <w:rFonts w:hint="eastAsia" w:ascii="仿宋_GB2312" w:hAnsi="仿宋_GB2312" w:eastAsia="仿宋_GB2312" w:cstheme="minorBidi"/>
          <w:color w:val="auto"/>
          <w:sz w:val="32"/>
          <w:szCs w:val="32"/>
          <w:u w:val="none" w:color="auto"/>
          <w:lang w:eastAsia="zh-CN"/>
        </w:rPr>
        <w:t>综合评定得</w:t>
      </w:r>
      <w:r>
        <w:rPr>
          <w:rStyle w:val="43"/>
          <w:rFonts w:hint="eastAsia" w:ascii="仿宋_GB2312" w:hAnsi="仿宋_GB2312" w:eastAsia="仿宋_GB2312" w:cstheme="minorBidi"/>
          <w:color w:val="auto"/>
          <w:sz w:val="32"/>
          <w:szCs w:val="32"/>
          <w:u w:val="none" w:color="auto"/>
          <w:lang w:val="en-US" w:eastAsia="zh-CN"/>
        </w:rPr>
        <w:t>7分。</w:t>
      </w:r>
    </w:p>
    <w:p>
      <w:pPr>
        <w:keepNext w:val="0"/>
        <w:keepLines w:val="0"/>
        <w:pageBreakBefore w:val="0"/>
        <w:kinsoku/>
        <w:wordWrap/>
        <w:overflowPunct/>
        <w:autoSpaceDE/>
        <w:autoSpaceDN/>
        <w:bidi w:val="0"/>
        <w:spacing w:line="560" w:lineRule="exact"/>
        <w:ind w:firstLine="643" w:firstLineChars="200"/>
        <w:textAlignment w:val="auto"/>
        <w:rPr>
          <w:rStyle w:val="43"/>
          <w:rFonts w:hint="eastAsia" w:ascii="仿宋_GB2312" w:hAnsi="仿宋_GB2312" w:eastAsia="仿宋_GB2312" w:cstheme="minorBidi"/>
          <w:color w:val="auto"/>
          <w:sz w:val="32"/>
          <w:szCs w:val="32"/>
          <w:u w:val="none" w:color="auto"/>
          <w:lang w:val="en-US" w:eastAsia="zh-CN"/>
        </w:rPr>
      </w:pPr>
      <w:r>
        <w:rPr>
          <w:rStyle w:val="43"/>
          <w:rFonts w:hint="eastAsia" w:ascii="仿宋_GB2312" w:hAnsi="仿宋_GB2312" w:eastAsia="仿宋_GB2312" w:cstheme="minorBidi"/>
          <w:b/>
          <w:bCs/>
          <w:color w:val="auto"/>
          <w:sz w:val="32"/>
          <w:szCs w:val="32"/>
          <w:u w:val="none" w:color="auto"/>
          <w:lang w:val="en-US" w:eastAsia="zh-CN"/>
        </w:rPr>
        <w:t>4.项目结果。</w:t>
      </w:r>
      <w:r>
        <w:rPr>
          <w:rStyle w:val="43"/>
          <w:rFonts w:hint="eastAsia" w:ascii="仿宋_GB2312" w:hAnsi="仿宋_GB2312" w:eastAsia="仿宋_GB2312" w:cstheme="minorBidi"/>
          <w:color w:val="auto"/>
          <w:sz w:val="32"/>
          <w:szCs w:val="32"/>
          <w:u w:val="none" w:color="auto"/>
          <w:lang w:val="en-US" w:eastAsia="zh-CN"/>
        </w:rPr>
        <w:t>该项目完成了预期目标，实施结果与绩效目标相匹配。</w:t>
      </w:r>
      <w:r>
        <w:rPr>
          <w:rStyle w:val="43"/>
          <w:rFonts w:hint="eastAsia" w:ascii="仿宋_GB2312" w:hAnsi="仿宋_GB2312" w:eastAsia="仿宋_GB2312" w:cstheme="minorBidi"/>
          <w:color w:val="auto"/>
          <w:sz w:val="32"/>
          <w:szCs w:val="32"/>
          <w:u w:val="none" w:color="auto"/>
          <w:lang w:eastAsia="zh-CN"/>
        </w:rPr>
        <w:t>综合评定得</w:t>
      </w:r>
      <w:r>
        <w:rPr>
          <w:rStyle w:val="43"/>
          <w:rFonts w:hint="eastAsia" w:ascii="仿宋_GB2312" w:hAnsi="仿宋_GB2312" w:eastAsia="仿宋_GB2312" w:cstheme="minorBidi"/>
          <w:color w:val="auto"/>
          <w:sz w:val="32"/>
          <w:szCs w:val="32"/>
          <w:u w:val="none" w:color="auto"/>
          <w:lang w:val="en-US" w:eastAsia="zh-CN"/>
        </w:rPr>
        <w:t>8分。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kinsoku/>
        <w:wordWrap/>
        <w:overflowPunct/>
        <w:autoSpaceDE/>
        <w:autoSpaceDN/>
        <w:bidi w:val="0"/>
        <w:spacing w:line="560" w:lineRule="exact"/>
        <w:ind w:firstLine="640" w:firstLineChars="200"/>
        <w:textAlignment w:val="auto"/>
        <w:rPr>
          <w:rStyle w:val="43"/>
          <w:rFonts w:hint="eastAsia" w:ascii="仿宋_GB2312" w:hAnsi="仿宋_GB2312" w:eastAsia="仿宋_GB2312" w:cstheme="minorBidi"/>
          <w:color w:val="auto"/>
          <w:sz w:val="32"/>
          <w:szCs w:val="32"/>
          <w:u w:val="none" w:color="auto"/>
          <w:lang w:val="en-US" w:eastAsia="zh-CN"/>
        </w:rPr>
      </w:pPr>
      <w:r>
        <w:rPr>
          <w:rStyle w:val="43"/>
          <w:rFonts w:hint="eastAsia" w:ascii="仿宋_GB2312" w:hAnsi="仿宋_GB2312" w:eastAsia="仿宋_GB2312" w:cstheme="minorBidi"/>
          <w:color w:val="auto"/>
          <w:sz w:val="32"/>
          <w:szCs w:val="32"/>
          <w:u w:val="none" w:color="auto"/>
          <w:lang w:val="zh-CN" w:eastAsia="zh-CN"/>
        </w:rPr>
        <w:t>行政运转：</w:t>
      </w:r>
      <w:r>
        <w:rPr>
          <w:rStyle w:val="43"/>
          <w:rFonts w:hint="eastAsia" w:ascii="仿宋_GB2312" w:hAnsi="仿宋_GB2312" w:eastAsia="仿宋_GB2312" w:cstheme="minorBidi"/>
          <w:color w:val="auto"/>
          <w:sz w:val="32"/>
          <w:szCs w:val="32"/>
          <w:u w:val="none" w:color="auto"/>
          <w:lang w:val="en-US" w:eastAsia="zh-CN"/>
        </w:rPr>
        <w:t>小金县体育馆免开资金用途和程序、标准合规合法。综合评定得27分。</w:t>
      </w:r>
    </w:p>
    <w:p>
      <w:pPr>
        <w:keepNext w:val="0"/>
        <w:keepLines w:val="0"/>
        <w:pageBreakBefore w:val="0"/>
        <w:numPr>
          <w:ilvl w:val="0"/>
          <w:numId w:val="6"/>
        </w:numPr>
        <w:kinsoku/>
        <w:wordWrap/>
        <w:overflowPunct/>
        <w:autoSpaceDE/>
        <w:autoSpaceDN/>
        <w:bidi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numPr>
          <w:ilvl w:val="0"/>
          <w:numId w:val="0"/>
        </w:numPr>
        <w:kinsoku/>
        <w:wordWrap/>
        <w:overflowPunct/>
        <w:autoSpaceDE/>
        <w:autoSpaceDN/>
        <w:bidi w:val="0"/>
        <w:spacing w:line="560" w:lineRule="exact"/>
        <w:ind w:firstLine="643" w:firstLineChars="200"/>
        <w:textAlignment w:val="auto"/>
        <w:rPr>
          <w:rFonts w:hint="eastAsia" w:ascii="仿宋_GB2312" w:eastAsia="仿宋_GB2312"/>
          <w:b/>
          <w:bCs/>
          <w:sz w:val="32"/>
          <w:szCs w:val="32"/>
        </w:rPr>
      </w:pPr>
      <w:r>
        <w:rPr>
          <w:rFonts w:hint="eastAsia" w:ascii="仿宋_GB2312" w:hAnsi="仿宋_GB2312" w:eastAsia="仿宋_GB2312" w:cs="仿宋_GB2312"/>
          <w:b/>
          <w:bCs/>
          <w:sz w:val="32"/>
          <w:szCs w:val="32"/>
        </w:rPr>
        <w:t>（1）</w:t>
      </w:r>
      <w:r>
        <w:rPr>
          <w:rFonts w:hint="eastAsia" w:ascii="仿宋_GB2312" w:eastAsia="仿宋_GB2312"/>
          <w:b/>
          <w:bCs/>
          <w:sz w:val="32"/>
          <w:szCs w:val="32"/>
        </w:rPr>
        <w:t>场馆开放服务人数指标完成情况</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2025年</w:t>
      </w:r>
      <w:r>
        <w:rPr>
          <w:rFonts w:hint="eastAsia" w:ascii="仿宋_GB2312" w:hAnsi="仿宋_GB2312" w:eastAsia="仿宋_GB2312" w:cs="仿宋_GB2312"/>
          <w:sz w:val="32"/>
          <w:szCs w:val="32"/>
        </w:rPr>
        <w:t>上级下达小金县体育馆免费开放目标人次：5.</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万人次，截止1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日，小金县体育馆到场锻炼人数达</w:t>
      </w:r>
      <w:r>
        <w:rPr>
          <w:rFonts w:hint="eastAsia" w:ascii="仿宋_GB2312" w:hAnsi="仿宋_GB2312" w:eastAsia="仿宋_GB2312" w:cs="仿宋_GB2312"/>
          <w:sz w:val="32"/>
          <w:szCs w:val="32"/>
          <w:lang w:val="en-US" w:eastAsia="zh-CN"/>
        </w:rPr>
        <w:t>5.6</w:t>
      </w:r>
      <w:r>
        <w:rPr>
          <w:rFonts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万</w:t>
      </w:r>
      <w:r>
        <w:rPr>
          <w:rFonts w:hint="eastAsia" w:ascii="仿宋_GB2312" w:hAnsi="仿宋_GB2312" w:eastAsia="仿宋_GB2312" w:cs="仿宋_GB2312"/>
          <w:sz w:val="32"/>
          <w:szCs w:val="32"/>
        </w:rPr>
        <w:t>人次，完成州局下达的指标率达</w:t>
      </w:r>
      <w:r>
        <w:rPr>
          <w:rFonts w:hint="eastAsia" w:ascii="仿宋_GB2312" w:hAnsi="仿宋_GB2312" w:eastAsia="仿宋_GB2312" w:cs="仿宋_GB2312"/>
          <w:sz w:val="32"/>
          <w:szCs w:val="32"/>
          <w:lang w:val="en-US" w:eastAsia="zh-CN"/>
        </w:rPr>
        <w:t>104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w:t>
      </w:r>
      <w:r>
        <w:rPr>
          <w:rFonts w:hint="eastAsia" w:ascii="仿宋_GB2312" w:eastAsia="仿宋_GB2312"/>
          <w:b/>
          <w:bCs/>
          <w:sz w:val="32"/>
          <w:szCs w:val="32"/>
        </w:rPr>
        <w:t>开放服务质量</w:t>
      </w:r>
    </w:p>
    <w:p>
      <w:pPr>
        <w:keepNext w:val="0"/>
        <w:keepLines w:val="0"/>
        <w:pageBreakBefore w:val="0"/>
        <w:kinsoku/>
        <w:wordWrap/>
        <w:overflowPunct/>
        <w:topLinePunct/>
        <w:autoSpaceDE/>
        <w:autoSpaceDN/>
        <w:bidi w:val="0"/>
        <w:spacing w:line="560" w:lineRule="exact"/>
        <w:ind w:firstLine="640" w:firstLineChars="200"/>
        <w:textAlignment w:val="auto"/>
        <w:rPr>
          <w:rFonts w:hint="eastAsia" w:ascii="仿宋_GB2312" w:cs="仿宋_GB2312"/>
          <w:sz w:val="32"/>
          <w:szCs w:val="32"/>
        </w:rPr>
      </w:pPr>
      <w:r>
        <w:rPr>
          <w:rFonts w:hint="eastAsia" w:ascii="仿宋_GB2312" w:hAnsi="仿宋_GB2312" w:eastAsia="仿宋_GB2312" w:cs="仿宋_GB2312"/>
          <w:sz w:val="32"/>
          <w:szCs w:val="32"/>
        </w:rPr>
        <w:t>免费开放篮球、羽毛球、乒乓球、国民体质监测、健身房、等项目；同时场馆还配备了</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负责开馆、闭馆、和安全卫生等工作，每天最少开放时间8小时。通过近年来的探索和实践，小金体育馆已建立健全了管理机构，有分管领导直接分管、有中层干部具体负责、有安保和工作人员轮流值班；除免费为群众提供锻炼场地服务外，还提供了饮用水、健身指导和部分项目器材等细致周到的服务，得到了社会各界的一致好评。</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Times New Roman" w:hAnsi="Times New Roman" w:eastAsia="楷体" w:cs="Times New Roman"/>
          <w:b/>
          <w:bCs/>
          <w:sz w:val="32"/>
          <w:szCs w:val="32"/>
        </w:rPr>
        <w:t>（</w:t>
      </w:r>
      <w:r>
        <w:rPr>
          <w:rFonts w:hint="eastAsia" w:ascii="仿宋_GB2312" w:hAnsi="仿宋_GB2312" w:eastAsia="仿宋_GB2312" w:cs="仿宋_GB2312"/>
          <w:b/>
          <w:bCs/>
          <w:sz w:val="32"/>
          <w:szCs w:val="32"/>
        </w:rPr>
        <w:t>3）免费举办群众文化体育活动</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截止目前已免费举办或免费提供场地举办如下活动：</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2025年</w:t>
      </w:r>
      <w:r>
        <w:rPr>
          <w:rFonts w:hint="eastAsia" w:ascii="仿宋_GB2312" w:hAnsi="仿宋_GB2312" w:eastAsia="仿宋_GB2312" w:cs="仿宋_GB2312"/>
          <w:sz w:val="32"/>
          <w:szCs w:val="32"/>
        </w:rPr>
        <w:t>小金县青少年篮球培训、</w:t>
      </w:r>
      <w:r>
        <w:rPr>
          <w:rFonts w:hint="eastAsia" w:ascii="仿宋_GB2312" w:hAnsi="仿宋_GB2312" w:eastAsia="仿宋_GB2312" w:cs="仿宋_GB2312"/>
          <w:sz w:val="32"/>
          <w:szCs w:val="32"/>
          <w:lang w:eastAsia="zh-CN"/>
        </w:rPr>
        <w:t>全民健身兵乓球比赛、国家体育锻炼标准达标赛小金站比赛、美兴中学冬季运动会、州运会训练、两州八县训练、建州</w:t>
      </w:r>
      <w:r>
        <w:rPr>
          <w:rFonts w:hint="eastAsia" w:ascii="仿宋_GB2312" w:hAnsi="仿宋_GB2312" w:eastAsia="仿宋_GB2312" w:cs="仿宋_GB2312"/>
          <w:sz w:val="32"/>
          <w:szCs w:val="32"/>
          <w:lang w:val="en-US" w:eastAsia="zh-CN"/>
        </w:rPr>
        <w:t>70周年排练</w:t>
      </w:r>
      <w:r>
        <w:rPr>
          <w:rFonts w:hint="eastAsia" w:ascii="仿宋_GB2312" w:hAnsi="仿宋_GB2312" w:eastAsia="仿宋_GB2312" w:cs="仿宋_GB2312"/>
          <w:sz w:val="32"/>
          <w:szCs w:val="32"/>
        </w:rPr>
        <w:t>等活动。</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eastAsia="仿宋_GB2312"/>
          <w:b/>
          <w:bCs/>
          <w:sz w:val="32"/>
          <w:szCs w:val="32"/>
        </w:rPr>
      </w:pPr>
      <w:r>
        <w:rPr>
          <w:rFonts w:hint="eastAsia" w:ascii="仿宋_GB2312" w:hAnsi="仿宋_GB2312" w:eastAsia="仿宋_GB2312" w:cs="仿宋_GB2312"/>
          <w:b/>
          <w:bCs/>
          <w:sz w:val="32"/>
          <w:szCs w:val="32"/>
        </w:rPr>
        <w:t>（4）</w:t>
      </w:r>
      <w:r>
        <w:rPr>
          <w:rFonts w:hint="eastAsia" w:ascii="仿宋_GB2312" w:eastAsia="仿宋_GB2312"/>
          <w:b/>
          <w:bCs/>
          <w:sz w:val="32"/>
          <w:szCs w:val="32"/>
        </w:rPr>
        <w:t>场馆开放社会效益</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体育馆免费开放过程中，我们始终坚持体育场馆开放的公益性，不断满足群众的健身需求为目标，每年适量增添设施设备、延长开放时间、免费举办各种公益性文体活动。提升服务态度，改善健身环境。通过近几年的努力小金县体育馆现设施设备、免开项目、免开服务、后勤保障等均得到全面改善，群众满意度达95%。丰富了全县群众精神文化生活，为群众健身提供了坚实的物质基础。</w:t>
      </w:r>
    </w:p>
    <w:p>
      <w:pPr>
        <w:keepNext w:val="0"/>
        <w:keepLines w:val="0"/>
        <w:pageBreakBefore w:val="0"/>
        <w:kinsoku/>
        <w:wordWrap/>
        <w:overflowPunct/>
        <w:autoSpaceDE/>
        <w:autoSpaceDN/>
        <w:bidi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（5）资金使用</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我局在体育馆资金、设施、场地使用上始终坚持为大众服务的公益性方向，不收取任何健身人员的费用。严格按照《大型体育场馆免费低收费开放补助资金管理办法》使用资金。</w:t>
      </w:r>
      <w:r>
        <w:rPr>
          <w:rFonts w:hint="eastAsia" w:ascii="仿宋_GB2312" w:hAnsi="仿宋_GB2312" w:eastAsia="仿宋_GB2312" w:cs="仿宋_GB2312"/>
          <w:kern w:val="2"/>
          <w:position w:val="0"/>
          <w:sz w:val="32"/>
          <w:szCs w:val="32"/>
          <w:lang w:val="en-US" w:eastAsia="zh-CN" w:bidi="ar-SA"/>
        </w:rPr>
        <w:t>下达至小金县</w:t>
      </w:r>
      <w:r>
        <w:rPr>
          <w:rFonts w:hint="eastAsia" w:ascii="仿宋_GB2312" w:hAnsi="仿宋_GB2312" w:eastAsia="仿宋_GB2312" w:cs="仿宋_GB2312"/>
          <w:kern w:val="2"/>
          <w:position w:val="0"/>
          <w:sz w:val="32"/>
          <w:szCs w:val="32"/>
          <w:lang w:val="zh-CN" w:eastAsia="zh-CN" w:bidi="ar-SA"/>
        </w:rPr>
        <w:t>2025年体育馆免开资金资金</w:t>
      </w:r>
      <w:r>
        <w:rPr>
          <w:rFonts w:hint="eastAsia" w:ascii="仿宋_GB2312" w:hAnsi="仿宋_GB2312" w:eastAsia="仿宋_GB2312" w:cs="仿宋_GB2312"/>
          <w:kern w:val="2"/>
          <w:position w:val="0"/>
          <w:sz w:val="32"/>
          <w:szCs w:val="32"/>
          <w:lang w:val="en-US" w:eastAsia="zh-CN" w:bidi="ar-SA"/>
        </w:rPr>
        <w:t>25</w:t>
      </w:r>
      <w:r>
        <w:rPr>
          <w:rFonts w:hint="eastAsia" w:ascii="仿宋_GB2312" w:hAnsi="仿宋_GB2312" w:eastAsia="仿宋_GB2312" w:cs="仿宋_GB2312"/>
          <w:kern w:val="2"/>
          <w:position w:val="0"/>
          <w:sz w:val="32"/>
          <w:szCs w:val="32"/>
          <w:lang w:val="zh-CN" w:eastAsia="zh-CN" w:bidi="ar-SA"/>
        </w:rPr>
        <w:t>万元，</w:t>
      </w:r>
      <w:r>
        <w:rPr>
          <w:rFonts w:hint="eastAsia" w:ascii="仿宋_GB2312" w:hAnsi="仿宋_GB2312" w:eastAsia="仿宋_GB2312" w:cs="仿宋_GB2312"/>
          <w:kern w:val="2"/>
          <w:position w:val="0"/>
          <w:sz w:val="32"/>
          <w:szCs w:val="32"/>
          <w:lang w:val="en-US" w:eastAsia="zh-CN" w:bidi="ar-SA"/>
        </w:rPr>
        <w:t>主要用于以下支出。器材、设备更新；场馆维护、维修；日常</w:t>
      </w:r>
      <w:r>
        <w:rPr>
          <w:rFonts w:hint="eastAsia" w:ascii="仿宋_GB2312" w:hAnsi="仿宋_GB2312" w:eastAsia="仿宋_GB2312" w:cs="仿宋_GB2312"/>
          <w:sz w:val="32"/>
          <w:szCs w:val="32"/>
          <w:lang w:val="en-US" w:eastAsia="zh-CN"/>
        </w:rPr>
        <w:t>办公、水、电等以及管理人员工资、保险等。</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综合评定得</w:t>
      </w:r>
      <w:r>
        <w:rPr>
          <w:rFonts w:hint="eastAsia" w:ascii="仿宋_GB2312" w:hAnsi="仿宋_GB2312" w:eastAsia="仿宋_GB2312" w:cs="仿宋_GB2312"/>
          <w:sz w:val="32"/>
          <w:szCs w:val="32"/>
          <w:lang w:val="en-US" w:eastAsia="zh-CN"/>
        </w:rPr>
        <w:t>14分。</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keepNext w:val="0"/>
        <w:keepLines w:val="0"/>
        <w:pageBreakBefore w:val="0"/>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认真</w:t>
      </w:r>
      <w:r>
        <w:rPr>
          <w:rFonts w:hint="eastAsia" w:ascii="仿宋_GB2312" w:hAnsi="仿宋_GB2312" w:eastAsia="仿宋_GB2312" w:cs="仿宋_GB2312"/>
          <w:sz w:val="32"/>
          <w:szCs w:val="32"/>
        </w:rPr>
        <w:t>贯彻落实全民健身国家战略，切实做好我县体育馆免费开放工作，落实体育主管部门主体责任，加强上级免费开放专项资金管理，提高体育场馆运营管理效益和公共服务水平，</w:t>
      </w:r>
      <w:r>
        <w:rPr>
          <w:rFonts w:hint="eastAsia" w:ascii="仿宋_GB2312" w:hAnsi="仿宋_GB2312" w:eastAsia="仿宋_GB2312" w:cs="仿宋_GB2312"/>
          <w:sz w:val="32"/>
          <w:szCs w:val="32"/>
          <w:lang w:eastAsia="zh-CN"/>
        </w:rPr>
        <w:t>圆满完成各项指标任务。</w:t>
      </w:r>
    </w:p>
    <w:p>
      <w:pPr>
        <w:pStyle w:val="7"/>
        <w:keepNext w:val="0"/>
        <w:keepLines w:val="0"/>
        <w:pageBreakBefore w:val="0"/>
        <w:numPr>
          <w:ilvl w:val="0"/>
          <w:numId w:val="7"/>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kern w:val="2"/>
          <w:position w:val="0"/>
          <w:sz w:val="32"/>
          <w:szCs w:val="32"/>
          <w:lang w:val="en-US" w:eastAsia="zh-CN" w:bidi="ar-SA"/>
        </w:rPr>
      </w:pPr>
      <w:r>
        <w:rPr>
          <w:rFonts w:hint="eastAsia" w:ascii="仿宋_GB2312" w:hAnsi="仿宋_GB2312" w:eastAsia="仿宋_GB2312" w:cs="仿宋_GB2312"/>
          <w:kern w:val="2"/>
          <w:position w:val="0"/>
          <w:sz w:val="32"/>
          <w:szCs w:val="32"/>
          <w:lang w:val="en-US" w:eastAsia="zh-CN" w:bidi="ar-SA"/>
        </w:rPr>
        <w:t>一是开放过程中体育健身设备必然产生一定的损耗，同时还存在一些不文明人员的人为破坏，增加了场馆维护维修成本，如何更好、更高效的进行管理值得深思和探究。二是体育馆没有承接过省级大型体育赛事，希望通过历年的努力能引进比较大型的赛事，为扩大小金知名度，促进小金经济发展做出一定贡献。</w:t>
      </w:r>
    </w:p>
    <w:p>
      <w:pPr>
        <w:pStyle w:val="7"/>
        <w:keepNext w:val="0"/>
        <w:keepLines w:val="0"/>
        <w:pageBreakBefore w:val="0"/>
        <w:numPr>
          <w:ilvl w:val="0"/>
          <w:numId w:val="7"/>
        </w:numPr>
        <w:tabs>
          <w:tab w:val="left" w:pos="2160"/>
        </w:tabs>
        <w:kinsoku/>
        <w:wordWrap/>
        <w:overflowPunct/>
        <w:topLinePunct w:val="0"/>
        <w:autoSpaceDE/>
        <w:autoSpaceDN/>
        <w:bidi w:val="0"/>
        <w:adjustRightInd/>
        <w:spacing w:line="560" w:lineRule="exact"/>
        <w:ind w:left="0" w:leftChars="0"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改进建议</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hAnsi="宋体" w:cs="Times New Roman"/>
          <w:kern w:val="2"/>
          <w:sz w:val="32"/>
          <w:szCs w:val="32"/>
          <w:lang w:val="en-US" w:eastAsia="zh-CN" w:bidi="ar-SA"/>
        </w:rPr>
      </w:pPr>
      <w:r>
        <w:rPr>
          <w:rFonts w:hint="eastAsia" w:ascii="仿宋_GB2312" w:hAnsi="仿宋_GB2312" w:eastAsia="仿宋_GB2312" w:cs="仿宋_GB2312"/>
          <w:sz w:val="32"/>
          <w:szCs w:val="32"/>
        </w:rPr>
        <w:t>进一步完善开放工作的管理制度及各项措施，进一步摸索运动场地开放工作的经验，把场馆的门开好，把体育馆的场地用足，进一步推动全民健身活动，让全县群众共享体育健身带来的快乐。</w:t>
      </w:r>
      <w:r>
        <w:rPr>
          <w:rFonts w:ascii="仿宋_GB2312" w:hAnsi="仿宋_GB2312" w:eastAsia="仿宋_GB2312" w:cs="仿宋_GB2312"/>
          <w:sz w:val="32"/>
          <w:szCs w:val="32"/>
        </w:rPr>
        <w:t xml:space="preserve"> </w:t>
      </w:r>
    </w:p>
    <w:p>
      <w:pPr>
        <w:pStyle w:val="7"/>
        <w:keepNext w:val="0"/>
        <w:keepLines w:val="0"/>
        <w:pageBreakBefore w:val="0"/>
        <w:kinsoku/>
        <w:wordWrap/>
        <w:overflowPunct/>
        <w:topLinePunct w:val="0"/>
        <w:autoSpaceDE/>
        <w:autoSpaceDN/>
        <w:bidi w:val="0"/>
        <w:spacing w:beforeLines="0" w:line="560" w:lineRule="exact"/>
        <w:ind w:right="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附件7</w:t>
      </w:r>
    </w:p>
    <w:p>
      <w:pPr>
        <w:pStyle w:val="7"/>
        <w:keepNext w:val="0"/>
        <w:keepLines w:val="0"/>
        <w:pageBreakBefore w:val="0"/>
        <w:kinsoku/>
        <w:wordWrap/>
        <w:overflowPunct/>
        <w:topLinePunct w:val="0"/>
        <w:autoSpaceDE/>
        <w:autoSpaceDN/>
        <w:bidi w:val="0"/>
        <w:spacing w:beforeLines="0" w:line="560" w:lineRule="exact"/>
        <w:ind w:right="0"/>
        <w:textAlignment w:val="auto"/>
        <w:rPr>
          <w:rFonts w:hint="eastAsia" w:hAnsi="宋体" w:cs="Times New Roman"/>
          <w:kern w:val="2"/>
          <w:sz w:val="32"/>
          <w:szCs w:val="32"/>
          <w:lang w:val="en-US" w:eastAsia="zh-CN" w:bidi="ar-SA"/>
        </w:rPr>
      </w:pP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20"/>
          <w:rFonts w:hint="eastAsia" w:ascii="方正小标宋简体" w:hAnsi="方正小标宋简体" w:eastAsia="方正小标宋简体" w:cs="方正小标宋简体"/>
          <w:color w:val="auto"/>
          <w:sz w:val="44"/>
          <w:szCs w:val="44"/>
          <w:u w:val="none"/>
          <w:lang w:eastAsia="zh-CN"/>
        </w:rPr>
      </w:pPr>
      <w:r>
        <w:rPr>
          <w:rStyle w:val="20"/>
          <w:rFonts w:hint="eastAsia" w:ascii="方正小标宋简体" w:hAnsi="方正小标宋简体" w:eastAsia="方正小标宋简体" w:cs="方正小标宋简体"/>
          <w:color w:val="auto"/>
          <w:sz w:val="44"/>
          <w:szCs w:val="44"/>
          <w:u w:val="none"/>
          <w:lang w:eastAsia="zh-CN"/>
        </w:rPr>
        <w:t>小金县文化广播电视体育和旅游局</w:t>
      </w: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20"/>
          <w:rFonts w:hint="default" w:ascii="方正小标宋简体" w:hAnsi="方正小标宋简体" w:eastAsia="方正小标宋简体" w:cs="方正小标宋简体"/>
          <w:color w:val="auto"/>
          <w:sz w:val="44"/>
          <w:szCs w:val="44"/>
          <w:u w:val="none"/>
          <w:lang w:val="en-US" w:eastAsia="zh-CN"/>
        </w:rPr>
      </w:pPr>
      <w:r>
        <w:rPr>
          <w:rStyle w:val="20"/>
          <w:rFonts w:hint="default" w:ascii="方正小标宋简体" w:hAnsi="方正小标宋简体" w:eastAsia="方正小标宋简体" w:cs="方正小标宋简体"/>
          <w:color w:val="auto"/>
          <w:sz w:val="44"/>
          <w:szCs w:val="44"/>
          <w:u w:val="none"/>
          <w:lang w:val="en-US" w:eastAsia="zh-CN"/>
        </w:rPr>
        <w:t>2025年中央少数民族地区和边疆地区文化安全（广播电视）补助资金专项预算绩效</w:t>
      </w:r>
    </w:p>
    <w:p>
      <w:pPr>
        <w:pStyle w:val="37"/>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20"/>
          <w:rFonts w:hint="default" w:ascii="方正小标宋简体" w:hAnsi="方正小标宋简体" w:eastAsia="方正小标宋简体" w:cs="方正小标宋简体"/>
          <w:color w:val="auto"/>
          <w:sz w:val="44"/>
          <w:szCs w:val="44"/>
          <w:u w:val="none"/>
          <w:lang w:val="en-US" w:eastAsia="zh-CN"/>
        </w:rPr>
      </w:pPr>
      <w:r>
        <w:rPr>
          <w:rStyle w:val="20"/>
          <w:rFonts w:hint="default" w:ascii="方正小标宋简体" w:hAnsi="方正小标宋简体" w:eastAsia="方正小标宋简体" w:cs="方正小标宋简体"/>
          <w:color w:val="auto"/>
          <w:sz w:val="44"/>
          <w:szCs w:val="44"/>
          <w:u w:val="none"/>
          <w:lang w:val="en-US" w:eastAsia="zh-CN"/>
        </w:rPr>
        <w:t>自评报告</w:t>
      </w:r>
    </w:p>
    <w:p>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ascii="Times New Roman" w:hAnsi="Times New Roman" w:eastAsia="黑体" w:cs="Times New Roman"/>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Times New Roman" w:hAnsi="Times New Roman" w:eastAsia="仿宋_GB2312"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根据阿州财教【2025】15号文件，下达我县2025年中央少数民族地区和边疆地区文化安全（广播电视）补助资金，用于我县2025年“村村响”“户户通”设备采购、维修维护及全县应急广播系统的运行维护。项目实施单位为县文化广播电视体育和旅游局，通过委托第三方公司进行采购。</w:t>
      </w:r>
    </w:p>
    <w:p>
      <w:pPr>
        <w:keepNext w:val="0"/>
        <w:keepLines w:val="0"/>
        <w:pageBreakBefore w:val="0"/>
        <w:kinsoku/>
        <w:wordWrap/>
        <w:overflowPunct/>
        <w:topLinePunct w:val="0"/>
        <w:autoSpaceDE/>
        <w:autoSpaceDN/>
        <w:bidi w:val="0"/>
        <w:spacing w:line="560" w:lineRule="exact"/>
        <w:ind w:firstLine="643"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项目严格依循上级规定与资金管理办法，旨在保障重点项目推进，强化资金监督管理，确保专款专用，提升资金使用效益。项目支持方向包括广播电视设备采购、系统运维及人员保障。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补助资金共计53.64万元，具体分配如下：</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一是划拨县融媒体中心20万元：用于全县地面数字电视无线发射前端及基站电力保障。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二是“村村响”设备配置21.59万元，用于109个行政村的“村村响户户通”设备配置。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方正仿宋_GBK" w:hAnsi="方正仿宋_GBK" w:eastAsia="方正仿宋_GBK" w:cs="方正仿宋_GBK"/>
          <w:color w:val="auto"/>
          <w:kern w:val="0"/>
          <w:sz w:val="32"/>
          <w:szCs w:val="32"/>
          <w:highlight w:val="none"/>
          <w:u w:val="none"/>
          <w:shd w:val="clear" w:color="auto" w:fill="FFFFFF"/>
          <w:lang w:val="en-US" w:eastAsia="zh-CN"/>
        </w:rPr>
      </w:pP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三是剩余资金用于全县户户通，广播电视以及全县应急广播系统的运行维护，包括户户通设备及应急广播系统日常维护。</w:t>
      </w:r>
    </w:p>
    <w:p>
      <w:pPr>
        <w:keepNext w:val="0"/>
        <w:keepLines w:val="0"/>
        <w:pageBreakBefore w:val="0"/>
        <w:kinsoku/>
        <w:wordWrap/>
        <w:overflowPunct/>
        <w:topLinePunct w:val="0"/>
        <w:autoSpaceDE/>
        <w:autoSpaceDN/>
        <w:bidi w:val="0"/>
        <w:spacing w:line="560" w:lineRule="exact"/>
        <w:ind w:firstLine="321" w:firstLineChars="100"/>
        <w:textAlignment w:val="auto"/>
        <w:rPr>
          <w:rFonts w:hint="default" w:ascii="Times New Roman" w:hAnsi="Times New Roman" w:cs="Times New Roman"/>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项目旨在拓展优化广播电视信号覆盖范围，提升信号接收质量，保障农牧民及困难户能够稳定、清晰地收听收看广播电视，丰富精神文化生活。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方正仿宋_GBK" w:hAnsi="方正仿宋_GBK" w:eastAsia="方正仿宋_GBK" w:cs="方正仿宋_GBK"/>
          <w:sz w:val="32"/>
          <w:szCs w:val="32"/>
          <w:lang w:val="en-US" w:eastAsia="zh-CN"/>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方正仿宋_GBK" w:hAnsi="方正仿宋_GBK" w:eastAsia="方正仿宋_GBK" w:cs="方正仿宋_GBK"/>
          <w:sz w:val="32"/>
          <w:szCs w:val="32"/>
          <w:lang w:val="en-US" w:eastAsia="zh-CN"/>
        </w:rPr>
        <w:t>通过本次绩效自评，全面核查2025年户户通采购及运维资金的投入、使用、管理情况，评估项目实施成效，及时发现存在问题，为后续资金安排和项目管理提供参考依据。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方正仿宋_GBK" w:hAnsi="方正仿宋_GBK" w:eastAsia="方正仿宋_GBK" w:cs="方正仿宋_GBK"/>
          <w:sz w:val="32"/>
          <w:szCs w:val="32"/>
          <w:lang w:val="en-US"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ascii="方正仿宋_GBK" w:hAnsi="方正仿宋_GBK" w:eastAsia="方正仿宋_GBK" w:cs="方正仿宋_GBK"/>
          <w:sz w:val="32"/>
          <w:szCs w:val="32"/>
          <w:lang w:val="en-US" w:eastAsia="zh-CN"/>
        </w:rPr>
        <w:t>重点评价以下内容：一是采购任务是否按计划顺利完成；二是设备采购质量是否达标；三是后续安装维护工作是否落实到位；四是资金使用是否合规、高效。</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color w:val="auto"/>
          <w:sz w:val="32"/>
          <w:szCs w:val="32"/>
          <w:highlight w:val="none"/>
          <w:u w:val="none"/>
          <w:lang w:val="zh-CN"/>
        </w:rPr>
        <w:t>（三）评价方法</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en-US" w:eastAsia="zh-CN"/>
        </w:rPr>
        <w:t>采用单位自评法，结合资料核查、实地走访、座谈交流等方式进行综合评价。</w:t>
      </w:r>
    </w:p>
    <w:p>
      <w:pPr>
        <w:keepNext w:val="0"/>
        <w:keepLines w:val="0"/>
        <w:pageBreakBefore w:val="0"/>
        <w:widowControl w:val="0"/>
        <w:kinsoku/>
        <w:wordWrap/>
        <w:overflowPunct/>
        <w:topLinePunct w:val="0"/>
        <w:autoSpaceDE/>
        <w:autoSpaceDN/>
        <w:bidi w:val="0"/>
        <w:spacing w:line="560" w:lineRule="exact"/>
        <w:ind w:left="0" w:leftChars="0" w:firstLine="640"/>
        <w:jc w:val="both"/>
        <w:textAlignment w:val="auto"/>
        <w:outlineLvl w:val="9"/>
        <w:rPr>
          <w:rFonts w:hint="default" w:ascii="Times New Roman" w:hAnsi="Times New Roman" w:eastAsia="仿宋_GB2312" w:cs="Times New Roman"/>
          <w:bCs/>
          <w:sz w:val="32"/>
          <w:szCs w:val="32"/>
          <w:lang w:val="en-US" w:eastAsia="zh-CN"/>
        </w:rPr>
      </w:pPr>
      <w:r>
        <w:rPr>
          <w:rFonts w:hint="default" w:ascii="Times New Roman" w:hAnsi="Times New Roman" w:eastAsia="楷体_GB2312" w:cs="Times New Roman"/>
          <w:b/>
          <w:color w:val="auto"/>
          <w:sz w:val="32"/>
          <w:szCs w:val="32"/>
          <w:highlight w:val="none"/>
          <w:u w:val="none"/>
          <w:lang w:val="zh-CN"/>
        </w:rPr>
        <w:t>（</w:t>
      </w:r>
      <w:r>
        <w:rPr>
          <w:rFonts w:hint="eastAsia" w:eastAsia="楷体_GB2312" w:cs="Times New Roman"/>
          <w:b/>
          <w:color w:val="auto"/>
          <w:sz w:val="32"/>
          <w:szCs w:val="32"/>
          <w:highlight w:val="none"/>
          <w:u w:val="none"/>
          <w:lang w:val="zh-CN" w:eastAsia="zh-CN"/>
        </w:rPr>
        <w:t>四</w:t>
      </w:r>
      <w:r>
        <w:rPr>
          <w:rFonts w:hint="default" w:ascii="Times New Roman" w:hAnsi="Times New Roman" w:eastAsia="楷体_GB2312" w:cs="Times New Roman"/>
          <w:b/>
          <w:color w:val="auto"/>
          <w:sz w:val="32"/>
          <w:szCs w:val="32"/>
          <w:highlight w:val="none"/>
          <w:u w:val="none"/>
          <w:lang w:val="zh-CN"/>
        </w:rPr>
        <w:t>）评价组织。</w:t>
      </w:r>
      <w:r>
        <w:rPr>
          <w:rFonts w:hint="eastAsia" w:ascii="方正仿宋_GBK" w:hAnsi="方正仿宋_GBK" w:eastAsia="方正仿宋_GBK" w:cs="方正仿宋_GBK"/>
          <w:color w:val="auto"/>
          <w:sz w:val="32"/>
          <w:szCs w:val="32"/>
          <w:lang w:val="en-US" w:eastAsia="zh-CN"/>
        </w:rPr>
        <w:t>本单位评价组人员构成由财务负责人和各项目负责人组成，财务室组织预算绩效管理工作推进、整体提升。负责督促单位各股室（馆、所）项目负责人提交绩效自评报告和指标体系表并汇总形成部门整体绩效自评报告，送财政相关股室审核。</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根据专项预算项目绩效评价指标体系，从通用指标、专用指标、个性指标三个维度进行分析。</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（一）通用指标绩效分析（合计得分：53分）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1.项目决策（18分）：</w:t>
      </w:r>
      <w:r>
        <w:rPr>
          <w:rFonts w:hint="eastAsia" w:ascii="方正仿宋_GBK" w:hAnsi="方正仿宋_GBK" w:eastAsia="方正仿宋_GBK" w:cs="方正仿宋_GBK"/>
          <w:sz w:val="32"/>
          <w:szCs w:val="32"/>
          <w:lang w:val="en-US" w:eastAsia="zh-CN"/>
        </w:rPr>
        <w:t>项目立项依据充分，决策程序规范，符合中央补助资金使用方向。</w:t>
      </w:r>
      <w:r>
        <w:rPr>
          <w:rFonts w:hint="eastAsia" w:ascii="方正仿宋_GBK" w:hAnsi="方正仿宋_GBK" w:eastAsia="方正仿宋_GBK" w:cs="方正仿宋_GBK"/>
          <w:color w:val="auto"/>
          <w:sz w:val="32"/>
          <w:szCs w:val="32"/>
          <w:lang w:val="en-US" w:eastAsia="zh-CN"/>
        </w:rPr>
        <w:t>综合评定得</w:t>
      </w:r>
      <w:r>
        <w:rPr>
          <w:rFonts w:hint="eastAsia" w:ascii="方正仿宋_GBK" w:hAnsi="方正仿宋_GBK" w:eastAsia="方正仿宋_GBK" w:cs="方正仿宋_GBK"/>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2.项目管理（18分）：</w:t>
      </w:r>
      <w:r>
        <w:rPr>
          <w:rFonts w:hint="eastAsia" w:ascii="方正仿宋_GBK" w:hAnsi="方正仿宋_GBK" w:eastAsia="方正仿宋_GBK" w:cs="方正仿宋_GBK"/>
          <w:sz w:val="32"/>
          <w:szCs w:val="32"/>
          <w:lang w:val="en-US" w:eastAsia="zh-CN"/>
        </w:rPr>
        <w:t>资金管理有章可循，执行了单位内控要求。但预算分配后，剩余资金的细化使用方案尚不够明确。</w:t>
      </w:r>
      <w:r>
        <w:rPr>
          <w:rFonts w:hint="eastAsia" w:ascii="方正仿宋_GBK" w:hAnsi="方正仿宋_GBK" w:eastAsia="方正仿宋_GBK" w:cs="方正仿宋_GBK"/>
          <w:color w:val="auto"/>
          <w:sz w:val="32"/>
          <w:szCs w:val="32"/>
          <w:lang w:val="en-US" w:eastAsia="zh-CN"/>
        </w:rPr>
        <w:t>综合评定得</w:t>
      </w:r>
      <w:r>
        <w:rPr>
          <w:rFonts w:hint="eastAsia" w:ascii="方正仿宋_GBK" w:hAnsi="方正仿宋_GBK" w:eastAsia="方正仿宋_GBK" w:cs="方正仿宋_GBK"/>
          <w:sz w:val="32"/>
          <w:szCs w:val="32"/>
          <w:lang w:val="en-US" w:eastAsia="zh-CN"/>
        </w:rPr>
        <w:t>16分。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3.项目实施（9分）：</w:t>
      </w:r>
      <w:r>
        <w:rPr>
          <w:rFonts w:hint="eastAsia" w:ascii="方正仿宋_GBK" w:hAnsi="方正仿宋_GBK" w:eastAsia="方正仿宋_GBK" w:cs="方正仿宋_GBK"/>
          <w:sz w:val="32"/>
          <w:szCs w:val="32"/>
          <w:lang w:val="en-US" w:eastAsia="zh-CN"/>
        </w:rPr>
        <w:t>项目按计划组织实施，采购程序合规，设备已按进度配置。</w:t>
      </w:r>
      <w:r>
        <w:rPr>
          <w:rFonts w:hint="eastAsia" w:ascii="方正仿宋_GBK" w:hAnsi="方正仿宋_GBK" w:eastAsia="方正仿宋_GBK" w:cs="方正仿宋_GBK"/>
          <w:color w:val="auto"/>
          <w:sz w:val="32"/>
          <w:szCs w:val="32"/>
          <w:lang w:val="en-US" w:eastAsia="zh-CN"/>
        </w:rPr>
        <w:t>综合评定得</w:t>
      </w:r>
      <w:r>
        <w:rPr>
          <w:rFonts w:hint="eastAsia" w:ascii="方正仿宋_GBK" w:hAnsi="方正仿宋_GBK" w:eastAsia="方正仿宋_GBK" w:cs="方正仿宋_GBK"/>
          <w:sz w:val="32"/>
          <w:szCs w:val="32"/>
          <w:lang w:val="en-US" w:eastAsia="zh-CN"/>
        </w:rPr>
        <w:t>9分。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sz w:val="32"/>
          <w:szCs w:val="32"/>
          <w:lang w:val="en-US" w:eastAsia="zh-CN"/>
        </w:rPr>
        <w:t>4.项目结果（9分）：</w:t>
      </w:r>
      <w:r>
        <w:rPr>
          <w:rFonts w:hint="eastAsia" w:ascii="方正仿宋_GBK" w:hAnsi="方正仿宋_GBK" w:eastAsia="方正仿宋_GBK" w:cs="方正仿宋_GBK"/>
          <w:sz w:val="32"/>
          <w:szCs w:val="32"/>
          <w:lang w:val="en-US" w:eastAsia="zh-CN"/>
        </w:rPr>
        <w:t>资金整体使用合规，</w:t>
      </w:r>
      <w:r>
        <w:rPr>
          <w:rFonts w:hint="eastAsia" w:ascii="方正仿宋_GBK" w:hAnsi="方正仿宋_GBK" w:eastAsia="方正仿宋_GBK" w:cs="方正仿宋_GBK"/>
          <w:color w:val="auto"/>
          <w:sz w:val="32"/>
          <w:szCs w:val="32"/>
          <w:lang w:val="en-US" w:eastAsia="zh-CN"/>
        </w:rPr>
        <w:t>顺利达成预期目标，实施结果与绩效目标高度匹配。项目实施时间较为紧促。综合评定得7分。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（二）专用指标绩效分析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2.民生保障（合计得分：30分）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项目覆盖全县农牧区，安装的设备运行基本正常，广播电视信号覆盖效果得到有效改善。同时，项目配备1名专职维护人员，对设备进行常态化维护，有助于缩小城乡信息鸿沟。临聘人员的薪酬标准符合本地实际情况，已受益群众对信号质量和设备运行状况总体满意，综合得分为27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（三）个性指标绩效分析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根据项目特点，增设以下个性指标：设备发放安装完成率：截至评价期末，户户通设备发放安装工作全部完成。故障响应及时性：应急广播系统及户户通设备故障响应机制初步建立，但响应效率有待提高。综合得分为</w:t>
      </w:r>
      <w:r>
        <w:rPr>
          <w:rFonts w:hint="eastAsia" w:ascii="方正仿宋_GBK" w:hAnsi="方正仿宋_GBK" w:eastAsia="方正仿宋_GBK" w:cs="方正仿宋_GBK"/>
          <w:kern w:val="2"/>
          <w:sz w:val="32"/>
          <w:szCs w:val="32"/>
          <w:lang w:val="en-US" w:eastAsia="zh-CN" w:bidi="ar-SA"/>
        </w:rPr>
        <w:t>13分。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cs="Times New Roman"/>
          <w:sz w:val="32"/>
          <w:szCs w:val="32"/>
          <w:lang w:val="en-US" w:eastAsia="zh-CN"/>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2025年户户通采购专项预算项目总体实施情况良好，评价总分89分。项目资金使用合规，采购程序规范，广播电视信号覆盖得到有效拓展，对丰富农牧民精神文化生活、促进信息传播发挥了积极作用。</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b w:val="0"/>
          <w:bCs w:val="0"/>
          <w:kern w:val="0"/>
          <w:position w:val="0"/>
          <w:sz w:val="32"/>
          <w:szCs w:val="32"/>
          <w:highlight w:val="none"/>
          <w:lang w:val="en-US" w:eastAsia="zh-CN" w:bidi="ar-SA"/>
        </w:rPr>
      </w:pPr>
      <w:r>
        <w:rPr>
          <w:rFonts w:hint="eastAsia" w:ascii="方正仿宋_GBK" w:hAnsi="方正仿宋_GBK" w:eastAsia="方正仿宋_GBK" w:cs="方正仿宋_GBK"/>
          <w:b w:val="0"/>
          <w:bCs w:val="0"/>
          <w:kern w:val="0"/>
          <w:position w:val="0"/>
          <w:sz w:val="32"/>
          <w:szCs w:val="32"/>
          <w:highlight w:val="none"/>
          <w:lang w:val="en-US" w:eastAsia="zh-CN" w:bidi="ar-SA"/>
        </w:rPr>
        <w:t>安装发放设备工作人手不足，缺乏安装设备专业人员。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jc w:val="left"/>
        <w:textAlignment w:val="auto"/>
        <w:rPr>
          <w:rFonts w:hint="default" w:ascii="Times New Roman" w:hAnsi="Times New Roman"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eastAsia" w:cs="Times New Roman"/>
          <w:color w:val="auto"/>
          <w:kern w:val="0"/>
          <w:sz w:val="32"/>
          <w:szCs w:val="32"/>
          <w:highlight w:val="none"/>
          <w:u w:val="none"/>
          <w:shd w:val="clear" w:color="auto" w:fill="FFFFFF"/>
          <w:lang w:val="en-US" w:eastAsia="zh-CN"/>
        </w:rPr>
        <w:t xml:space="preserve"> </w:t>
      </w:r>
      <w:r>
        <w:rPr>
          <w:rFonts w:hint="eastAsia" w:ascii="方正仿宋_GBK" w:hAnsi="方正仿宋_GBK" w:eastAsia="方正仿宋_GBK" w:cs="方正仿宋_GBK"/>
          <w:color w:val="auto"/>
          <w:kern w:val="0"/>
          <w:sz w:val="32"/>
          <w:szCs w:val="32"/>
          <w:highlight w:val="none"/>
          <w:u w:val="none"/>
          <w:shd w:val="clear" w:color="auto" w:fill="FFFFFF"/>
          <w:lang w:val="en-US" w:eastAsia="zh-CN"/>
        </w:rPr>
        <w:t xml:space="preserve"> </w:t>
      </w:r>
      <w:r>
        <w:rPr>
          <w:rFonts w:hint="eastAsia" w:ascii="方正仿宋_GBK" w:hAnsi="方正仿宋_GBK" w:eastAsia="方正仿宋_GBK" w:cs="方正仿宋_GBK"/>
          <w:b w:val="0"/>
          <w:bCs w:val="0"/>
          <w:kern w:val="0"/>
          <w:position w:val="0"/>
          <w:sz w:val="32"/>
          <w:szCs w:val="32"/>
          <w:highlight w:val="none"/>
          <w:lang w:val="en-US" w:eastAsia="zh-CN" w:bidi="ar-SA"/>
        </w:rPr>
        <w:t xml:space="preserve"> 建议加强后备队伍建设。</w:t>
      </w: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pStyle w:val="7"/>
        <w:keepNext w:val="0"/>
        <w:keepLines w:val="0"/>
        <w:pageBreakBefore w:val="0"/>
        <w:kinsoku/>
        <w:wordWrap/>
        <w:overflowPunct/>
        <w:topLinePunct w:val="0"/>
        <w:autoSpaceDE/>
        <w:autoSpaceDN/>
        <w:bidi w:val="0"/>
        <w:spacing w:beforeLines="0" w:line="560" w:lineRule="exact"/>
        <w:ind w:right="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附件8</w:t>
      </w:r>
    </w:p>
    <w:p>
      <w:pPr>
        <w:pStyle w:val="7"/>
        <w:keepNext w:val="0"/>
        <w:keepLines w:val="0"/>
        <w:pageBreakBefore w:val="0"/>
        <w:kinsoku/>
        <w:wordWrap/>
        <w:overflowPunct/>
        <w:topLinePunct w:val="0"/>
        <w:autoSpaceDE/>
        <w:autoSpaceDN/>
        <w:bidi w:val="0"/>
        <w:spacing w:beforeLines="0" w:line="560" w:lineRule="exact"/>
        <w:ind w:right="0"/>
        <w:textAlignment w:val="auto"/>
        <w:rPr>
          <w:rFonts w:hint="eastAsia" w:hAnsi="宋体" w:cs="Times New Roman"/>
          <w:kern w:val="2"/>
          <w:sz w:val="32"/>
          <w:szCs w:val="32"/>
          <w:lang w:val="en-US" w:eastAsia="zh-CN" w:bidi="ar-SA"/>
        </w:rPr>
      </w:pPr>
    </w:p>
    <w:p>
      <w:pPr>
        <w:pStyle w:val="37"/>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小金县文化广播电视体育和旅游局</w:t>
      </w:r>
    </w:p>
    <w:p>
      <w:pPr>
        <w:pStyle w:val="37"/>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小标宋简体" w:hAnsi="方正小标宋简体" w:eastAsia="方正小标宋简体" w:cs="方正小标宋简体"/>
          <w:color w:val="auto"/>
          <w:kern w:val="2"/>
          <w:sz w:val="36"/>
          <w:szCs w:val="36"/>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关于2025年中央支持地方公共文化服务体系建设补助资金预算项目绩效评价报告</w:t>
      </w:r>
    </w:p>
    <w:p>
      <w:pPr>
        <w:pStyle w:val="37"/>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zh-CN" w:eastAsia="zh-CN"/>
        </w:rPr>
        <w:t>依据国家基本文化服务标准，促进专业交流、丰富群众文化生活。更好地履行我</w:t>
      </w:r>
      <w:r>
        <w:rPr>
          <w:rFonts w:hint="eastAsia" w:ascii="仿宋_GB2312" w:hAnsi="仿宋_GB2312" w:cs="仿宋_GB2312"/>
          <w:color w:val="auto"/>
          <w:kern w:val="0"/>
          <w:sz w:val="32"/>
          <w:szCs w:val="32"/>
          <w:highlight w:val="none"/>
          <w:u w:val="none"/>
          <w:shd w:val="clear" w:color="auto" w:fill="FFFFFF"/>
          <w:lang w:val="en-US" w:eastAsia="zh-CN"/>
        </w:rPr>
        <w:t>县</w:t>
      </w:r>
      <w:r>
        <w:rPr>
          <w:rFonts w:hint="eastAsia" w:ascii="仿宋_GB2312" w:hAnsi="仿宋_GB2312" w:eastAsia="仿宋_GB2312" w:cs="仿宋_GB2312"/>
          <w:color w:val="auto"/>
          <w:kern w:val="0"/>
          <w:sz w:val="32"/>
          <w:szCs w:val="32"/>
          <w:highlight w:val="none"/>
          <w:u w:val="none"/>
          <w:shd w:val="clear" w:color="auto" w:fill="FFFFFF"/>
          <w:lang w:val="zh-CN" w:eastAsia="zh-CN"/>
        </w:rPr>
        <w:t>公共文化服务窗口单位职能，完成文化部规定的文化工作任务，切实做到文化为民、文化惠民。</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项目资金采取报账制，严格按照规定的程序报销，并按照政府会计制度进行管理，财务人员严格执行单位的有关规定，并做到资金的专项管理，专款专用、重点使用。</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方正仿宋_GBK" w:hAnsi="方正仿宋_GBK" w:eastAsia="方正仿宋_GBK" w:cs="方正仿宋_GBK"/>
          <w:sz w:val="32"/>
          <w:szCs w:val="32"/>
          <w:lang w:val="en-US"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方正仿宋_GBK" w:hAnsi="方正仿宋_GBK" w:eastAsia="方正仿宋_GBK" w:cs="方正仿宋_GBK"/>
          <w:sz w:val="32"/>
          <w:szCs w:val="32"/>
          <w:lang w:val="en-US" w:eastAsia="zh-CN"/>
        </w:rPr>
        <w:t>根据阿州财教{2025}8号文件精神，下达我局中央支持地方公共文化服务体系建设补助资金30万元。所有资金均用于公共文化服务体系建设。</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方正仿宋_GBK" w:hAnsi="方正仿宋_GBK" w:eastAsia="方正仿宋_GBK" w:cs="方正仿宋_GBK"/>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本项目是面向群众，面向基层，实施公益文化服务，保障人民群众基本文化权益，大力开展公共文化活动，为我县精神文明建设做贡献，提高群众文化业余生活。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方正仿宋_GBK" w:hAnsi="方正仿宋_GBK" w:eastAsia="方正仿宋_GBK" w:cs="方正仿宋_GBK"/>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（一）评价目的。</w:t>
      </w:r>
      <w:r>
        <w:rPr>
          <w:rFonts w:hint="eastAsia" w:ascii="方正仿宋_GBK" w:hAnsi="方正仿宋_GBK" w:eastAsia="方正仿宋_GBK" w:cs="方正仿宋_GBK"/>
          <w:sz w:val="32"/>
          <w:szCs w:val="32"/>
          <w:lang w:eastAsia="zh-CN"/>
        </w:rPr>
        <w:t>通过绩效评价，进一步规范财政专项支出项目资金的管理和使用，强化支出责任，优化资源配置，认真总结经验，及时发现存在的问题，制定整改措施，从而推进</w:t>
      </w:r>
      <w:r>
        <w:rPr>
          <w:rFonts w:hint="eastAsia" w:ascii="方正仿宋_GBK" w:hAnsi="方正仿宋_GBK" w:eastAsia="方正仿宋_GBK" w:cs="方正仿宋_GBK"/>
          <w:sz w:val="32"/>
          <w:szCs w:val="32"/>
          <w:lang w:val="en-US" w:eastAsia="zh-CN"/>
        </w:rPr>
        <w:t>免开</w:t>
      </w:r>
      <w:r>
        <w:rPr>
          <w:rFonts w:hint="eastAsia" w:ascii="方正仿宋_GBK" w:hAnsi="方正仿宋_GBK" w:eastAsia="方正仿宋_GBK" w:cs="方正仿宋_GBK"/>
          <w:color w:val="auto"/>
          <w:kern w:val="0"/>
          <w:sz w:val="32"/>
          <w:szCs w:val="32"/>
          <w:highlight w:val="none"/>
          <w:u w:val="none"/>
          <w:shd w:val="clear" w:color="auto" w:fill="FFFFFF"/>
          <w:lang w:val="zh-CN" w:eastAsia="zh-CN"/>
        </w:rPr>
        <w:t>相关工作真正落到实处。</w:t>
      </w:r>
    </w:p>
    <w:p>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方正仿宋_GBK" w:hAnsi="方正仿宋_GBK" w:eastAsia="方正仿宋_GBK" w:cs="方正仿宋_GBK"/>
          <w:sz w:val="32"/>
          <w:szCs w:val="32"/>
          <w:lang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方正仿宋_GBK" w:hAnsi="方正仿宋_GBK" w:eastAsia="方正仿宋_GBK" w:cs="方正仿宋_GBK"/>
          <w:color w:val="auto"/>
          <w:sz w:val="32"/>
          <w:szCs w:val="32"/>
          <w:lang w:val="zh-CN"/>
        </w:rPr>
        <w:t>作为项目实施单位，县文化</w:t>
      </w:r>
      <w:r>
        <w:rPr>
          <w:rFonts w:hint="eastAsia" w:ascii="方正仿宋_GBK" w:hAnsi="方正仿宋_GBK" w:eastAsia="方正仿宋_GBK" w:cs="方正仿宋_GBK"/>
          <w:color w:val="auto"/>
          <w:sz w:val="32"/>
          <w:szCs w:val="32"/>
          <w:lang w:val="en-US" w:eastAsia="zh-CN"/>
        </w:rPr>
        <w:t>广播电视</w:t>
      </w:r>
      <w:r>
        <w:rPr>
          <w:rFonts w:hint="eastAsia" w:ascii="方正仿宋_GBK" w:hAnsi="方正仿宋_GBK" w:eastAsia="方正仿宋_GBK" w:cs="方正仿宋_GBK"/>
          <w:color w:val="auto"/>
          <w:sz w:val="32"/>
          <w:szCs w:val="32"/>
          <w:lang w:val="zh-CN"/>
        </w:rPr>
        <w:t>体育和旅游局按照相关财经纪律，建立健全财务管理制度，所有项目资金均按相关文件精神合理、合规、合法运用，账务处理及时，会计核算规范。</w:t>
      </w:r>
      <w:r>
        <w:rPr>
          <w:rFonts w:hint="eastAsia" w:ascii="方正仿宋_GBK" w:hAnsi="方正仿宋_GBK" w:eastAsia="方正仿宋_GBK" w:cs="方正仿宋_GBK"/>
          <w:sz w:val="32"/>
          <w:szCs w:val="32"/>
          <w:lang w:val="zh-CN"/>
        </w:rPr>
        <w:t>为保障项目资金用实、用好、发挥效能，该项目资金严格按照批准的项目和资金计划执行，不存在截留或挪用专项资金，未影响项目进度。同时严格执行国家统一的会计制度，相关会计信息真实、准确、完整、规范，专项资金实行了单独核算。</w:t>
      </w:r>
    </w:p>
    <w:p>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方正仿宋_GBK" w:hAnsi="方正仿宋_GBK" w:eastAsia="方正仿宋_GBK" w:cs="方正仿宋_GBK"/>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方正仿宋_GBK" w:hAnsi="方正仿宋_GBK" w:eastAsia="方正仿宋_GBK" w:cs="方正仿宋_GBK"/>
          <w:sz w:val="32"/>
          <w:szCs w:val="32"/>
          <w:lang w:val="en-US" w:eastAsia="zh-CN"/>
        </w:rPr>
        <w:t>资金30万元</w:t>
      </w:r>
      <w:r>
        <w:rPr>
          <w:rFonts w:hint="eastAsia" w:ascii="方正仿宋_GBK" w:hAnsi="方正仿宋_GBK" w:eastAsia="方正仿宋_GBK" w:cs="方正仿宋_GBK"/>
          <w:color w:val="auto"/>
          <w:sz w:val="32"/>
          <w:szCs w:val="32"/>
          <w:lang w:val="en-US" w:eastAsia="zh-CN"/>
        </w:rPr>
        <w:t>于2025年全部下达至我县财政局，</w:t>
      </w:r>
      <w:r>
        <w:rPr>
          <w:rFonts w:hint="eastAsia" w:ascii="方正仿宋_GBK" w:hAnsi="方正仿宋_GBK" w:eastAsia="方正仿宋_GBK" w:cs="方正仿宋_GBK"/>
          <w:color w:val="auto"/>
          <w:sz w:val="32"/>
          <w:szCs w:val="32"/>
          <w:lang w:val="zh-CN"/>
        </w:rPr>
        <w:t>到位率</w:t>
      </w:r>
      <w:r>
        <w:rPr>
          <w:rFonts w:hint="eastAsia" w:ascii="方正仿宋_GBK" w:hAnsi="方正仿宋_GBK" w:eastAsia="方正仿宋_GBK" w:cs="方正仿宋_GBK"/>
          <w:color w:val="auto"/>
          <w:sz w:val="32"/>
          <w:szCs w:val="32"/>
          <w:lang w:val="en-US" w:eastAsia="zh-CN"/>
        </w:rPr>
        <w:t>百分百，到位及时。</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方正仿宋_GBK" w:hAnsi="方正仿宋_GBK" w:eastAsia="方正仿宋_GBK" w:cs="方正仿宋_GBK"/>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（四）评价方法。</w:t>
      </w:r>
      <w:r>
        <w:rPr>
          <w:rFonts w:hint="eastAsia" w:ascii="方正仿宋_GBK" w:hAnsi="方正仿宋_GBK" w:eastAsia="方正仿宋_GBK" w:cs="方正仿宋_GBK"/>
          <w:color w:val="auto"/>
          <w:sz w:val="32"/>
          <w:szCs w:val="32"/>
          <w:lang w:val="zh-CN" w:eastAsia="zh-CN"/>
        </w:rPr>
        <w:t>该项目使用单位自评法进行绩效评价</w:t>
      </w:r>
      <w:r>
        <w:rPr>
          <w:rFonts w:hint="eastAsia" w:ascii="方正仿宋_GBK" w:hAnsi="方正仿宋_GBK" w:eastAsia="方正仿宋_GBK" w:cs="方正仿宋_GBK"/>
          <w:b/>
          <w:color w:val="auto"/>
          <w:sz w:val="32"/>
          <w:szCs w:val="32"/>
          <w:highlight w:val="none"/>
          <w:u w:val="none"/>
          <w:lang w:val="zh-CN"/>
        </w:rPr>
        <w:t>。</w:t>
      </w:r>
    </w:p>
    <w:p>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bCs/>
          <w:sz w:val="32"/>
          <w:szCs w:val="32"/>
          <w:lang w:eastAsia="zh-CN"/>
        </w:rPr>
      </w:pPr>
      <w:r>
        <w:rPr>
          <w:rFonts w:hint="eastAsia" w:ascii="楷体_GB2312" w:hAnsi="宋体" w:eastAsia="楷体_GB2312"/>
          <w:b/>
          <w:color w:val="auto"/>
          <w:sz w:val="32"/>
          <w:szCs w:val="32"/>
          <w:highlight w:val="none"/>
          <w:u w:val="none"/>
          <w:lang w:val="zh-CN"/>
        </w:rPr>
        <w:t>（五）评价组织。</w:t>
      </w:r>
      <w:r>
        <w:rPr>
          <w:rFonts w:hint="eastAsia" w:ascii="方正仿宋_GBK" w:hAnsi="方正仿宋_GBK" w:eastAsia="方正仿宋_GBK" w:cs="方正仿宋_GBK"/>
          <w:color w:val="auto"/>
          <w:sz w:val="32"/>
          <w:szCs w:val="32"/>
          <w:lang w:val="en-US" w:eastAsia="zh-CN"/>
        </w:rPr>
        <w:t>本单位评价组人员构成由财务负责人和各项目负责人组成，财务室组织预算绩效管理工作推进、整体提升。负责督促单位各股室（馆、所）项目负责人提交绩效自评报告和指标体系表并汇总形成部门整体绩效自评报告，送财政相关科室审核。</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eastAsia="zh-CN"/>
        </w:rPr>
        <w:t>项目决策。</w:t>
      </w:r>
      <w:r>
        <w:rPr>
          <w:rFonts w:hint="eastAsia" w:ascii="方正仿宋_GBK" w:hAnsi="方正仿宋_GBK" w:eastAsia="方正仿宋_GBK" w:cs="方正仿宋_GBK"/>
          <w:color w:val="auto"/>
          <w:sz w:val="32"/>
          <w:szCs w:val="32"/>
          <w:lang w:val="en-US" w:eastAsia="zh-CN"/>
        </w:rPr>
        <w:t>项目决策程序严密，得6分；项目规划论证符合要求，项目绩效目标设置科学合理，得6分；资金投向于项目相匹配，得6分。共计18分。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lang w:eastAsia="zh-CN"/>
        </w:rPr>
        <w:t>项目管理。</w:t>
      </w:r>
      <w:r>
        <w:rPr>
          <w:rFonts w:hint="eastAsia" w:ascii="方正仿宋_GBK" w:hAnsi="方正仿宋_GBK" w:eastAsia="方正仿宋_GBK" w:cs="方正仿宋_GBK"/>
          <w:color w:val="auto"/>
          <w:sz w:val="32"/>
          <w:szCs w:val="32"/>
          <w:lang w:val="en-US" w:eastAsia="zh-CN"/>
        </w:rPr>
        <w:t>项目</w:t>
      </w:r>
      <w:r>
        <w:rPr>
          <w:rFonts w:hint="eastAsia" w:ascii="方正仿宋_GBK" w:hAnsi="方正仿宋_GBK" w:eastAsia="方正仿宋_GBK" w:cs="方正仿宋_GBK"/>
          <w:color w:val="auto"/>
          <w:sz w:val="32"/>
          <w:szCs w:val="32"/>
          <w:lang w:eastAsia="zh-CN"/>
        </w:rPr>
        <w:t>制度办法</w:t>
      </w:r>
      <w:r>
        <w:rPr>
          <w:rFonts w:hint="eastAsia" w:ascii="方正仿宋_GBK" w:hAnsi="方正仿宋_GBK" w:eastAsia="方正仿宋_GBK" w:cs="方正仿宋_GBK"/>
          <w:color w:val="auto"/>
          <w:sz w:val="32"/>
          <w:szCs w:val="32"/>
          <w:lang w:val="en-US" w:eastAsia="zh-CN"/>
        </w:rPr>
        <w:t>体系健全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要素完备，得2分；</w:t>
      </w:r>
      <w:r>
        <w:rPr>
          <w:rFonts w:hint="eastAsia" w:ascii="方正仿宋_GBK" w:hAnsi="方正仿宋_GBK" w:eastAsia="方正仿宋_GBK" w:cs="方正仿宋_GBK"/>
          <w:color w:val="auto"/>
          <w:sz w:val="32"/>
          <w:szCs w:val="32"/>
          <w:lang w:eastAsia="zh-CN"/>
        </w:rPr>
        <w:t>分配</w:t>
      </w:r>
      <w:r>
        <w:rPr>
          <w:rFonts w:hint="eastAsia" w:ascii="方正仿宋_GBK" w:hAnsi="方正仿宋_GBK" w:eastAsia="方正仿宋_GBK" w:cs="方正仿宋_GBK"/>
          <w:color w:val="auto"/>
          <w:sz w:val="32"/>
          <w:szCs w:val="32"/>
          <w:lang w:val="en-US" w:eastAsia="zh-CN"/>
        </w:rPr>
        <w:t>因素符合</w:t>
      </w:r>
      <w:r>
        <w:rPr>
          <w:rFonts w:hint="eastAsia" w:ascii="方正仿宋_GBK" w:hAnsi="方正仿宋_GBK" w:eastAsia="方正仿宋_GBK" w:cs="方正仿宋_GBK"/>
          <w:color w:val="auto"/>
          <w:sz w:val="32"/>
          <w:szCs w:val="32"/>
          <w:lang w:eastAsia="zh-CN"/>
        </w:rPr>
        <w:t>管理</w:t>
      </w:r>
      <w:r>
        <w:rPr>
          <w:rFonts w:hint="eastAsia" w:ascii="方正仿宋_GBK" w:hAnsi="方正仿宋_GBK" w:eastAsia="方正仿宋_GBK" w:cs="方正仿宋_GBK"/>
          <w:color w:val="auto"/>
          <w:sz w:val="32"/>
          <w:szCs w:val="32"/>
          <w:lang w:val="en-US" w:eastAsia="zh-CN"/>
        </w:rPr>
        <w:t>要求，得8分；项目</w:t>
      </w:r>
      <w:r>
        <w:rPr>
          <w:rFonts w:hint="eastAsia" w:ascii="方正仿宋_GBK" w:hAnsi="方正仿宋_GBK" w:eastAsia="方正仿宋_GBK" w:cs="方正仿宋_GBK"/>
          <w:color w:val="auto"/>
          <w:sz w:val="32"/>
          <w:szCs w:val="32"/>
          <w:lang w:eastAsia="zh-CN"/>
        </w:rPr>
        <w:t>绩效监管</w:t>
      </w:r>
      <w:r>
        <w:rPr>
          <w:rFonts w:hint="eastAsia" w:ascii="方正仿宋_GBK" w:hAnsi="方正仿宋_GBK" w:eastAsia="方正仿宋_GBK" w:cs="方正仿宋_GBK"/>
          <w:color w:val="auto"/>
          <w:sz w:val="32"/>
          <w:szCs w:val="32"/>
          <w:lang w:val="en-US" w:eastAsia="zh-CN"/>
        </w:rPr>
        <w:t>按要求开展，指导有力有效，得5分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共计15分。</w:t>
      </w:r>
    </w:p>
    <w:p>
      <w:pPr>
        <w:keepNext w:val="0"/>
        <w:keepLines w:val="0"/>
        <w:pageBreakBefore w:val="0"/>
        <w:widowControl w:val="0"/>
        <w:kinsoku/>
        <w:wordWrap/>
        <w:overflowPunct/>
        <w:topLinePunct w:val="0"/>
        <w:autoSpaceDE/>
        <w:autoSpaceDN/>
        <w:bidi w:val="0"/>
        <w:adjustRightInd/>
        <w:snapToGrid/>
        <w:spacing w:line="560" w:lineRule="exact"/>
        <w:ind w:left="420" w:leftChars="200" w:firstLine="0" w:firstLineChars="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3.项目实施。</w:t>
      </w:r>
      <w:r>
        <w:rPr>
          <w:rFonts w:hint="eastAsia" w:ascii="方正仿宋_GBK" w:hAnsi="方正仿宋_GBK" w:eastAsia="方正仿宋_GBK" w:cs="方正仿宋_GBK"/>
          <w:color w:val="auto"/>
          <w:sz w:val="32"/>
          <w:szCs w:val="32"/>
          <w:lang w:val="en-US" w:eastAsia="zh-CN"/>
        </w:rPr>
        <w:t>项目资金拨付及时全部下发到位，得6分。</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资金拨付遵守相关法律法规，无截留、挤占、挪用等情况，得3分。共计9分。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b/>
          <w:bCs/>
          <w:color w:val="auto"/>
          <w:sz w:val="32"/>
          <w:szCs w:val="32"/>
          <w:lang w:val="en-US" w:eastAsia="zh-CN"/>
        </w:rPr>
        <w:t>4.项目结果。</w:t>
      </w:r>
      <w:r>
        <w:rPr>
          <w:rFonts w:hint="eastAsia" w:ascii="方正仿宋_GBK" w:hAnsi="方正仿宋_GBK" w:eastAsia="方正仿宋_GBK" w:cs="方正仿宋_GBK"/>
          <w:color w:val="auto"/>
          <w:sz w:val="32"/>
          <w:szCs w:val="32"/>
          <w:lang w:val="en-US" w:eastAsia="zh-CN"/>
        </w:rPr>
        <w:t>该项目完成了预期目标，实施结果与绩效目标相匹配，资金支付进度缓慢。综合评定得5分。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color w:val="auto"/>
          <w:sz w:val="32"/>
          <w:szCs w:val="32"/>
          <w:lang w:val="en-US" w:eastAsia="zh-CN"/>
        </w:rPr>
        <w:t>2.民生保障。从资金支付范围、支付标准、支付进度、支付依据、都符合项目要求且合规合法，与预算相符，不存在多发、漏发、重发、迟发等情况，充分发挥了公益性文化机构在提高群众文化素质、促进文化大繁荣、大发展方面的作用,真正将“文化惠民、文化便民、文化利民”政策落到实处。综合评定得27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充分发挥了公益性文化机构在提高群众文化素质、促进文化大繁荣、大发展方面的作用,真正将“文化惠民、文化便民、文化利民”政策落到实处。综合评定得14分。</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该项目基本落实了本单位公共文化服务功能要求，为社会公众提供良好的公共文化服务，充分发挥了公益性文化机构在提高群众文化素质、促进文化大繁荣、大发展方面的作用,真正将“文化惠民、文化便民、文化利民”政策落到实处，公众的满意度为9</w:t>
      </w:r>
      <w:r>
        <w:rPr>
          <w:rFonts w:hint="eastAsia" w:ascii="仿宋_GB2312" w:hAnsi="宋体" w:cs="Times New Roman"/>
          <w:kern w:val="2"/>
          <w:sz w:val="32"/>
          <w:szCs w:val="32"/>
          <w:lang w:val="en-US" w:eastAsia="zh-CN" w:bidi="ar-SA"/>
        </w:rPr>
        <w:t>8</w:t>
      </w:r>
      <w:r>
        <w:rPr>
          <w:rFonts w:hint="eastAsia" w:ascii="仿宋_GB2312" w:hAnsi="宋体" w:eastAsia="仿宋_GB2312" w:cs="Times New Roman"/>
          <w:kern w:val="2"/>
          <w:sz w:val="32"/>
          <w:szCs w:val="32"/>
          <w:lang w:val="en-US" w:eastAsia="zh-CN" w:bidi="ar-SA"/>
        </w:rPr>
        <w:t>%以上。评价总分89分。</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仿宋_GB2312" w:hAnsi="宋体" w:eastAsia="仿宋_GB2312" w:cs="Times New Roman"/>
          <w:kern w:val="2"/>
          <w:position w:val="0"/>
          <w:sz w:val="32"/>
          <w:szCs w:val="32"/>
          <w:lang w:val="en-US" w:eastAsia="zh-CN" w:bidi="ar-SA"/>
        </w:rPr>
      </w:pPr>
      <w:r>
        <w:rPr>
          <w:rFonts w:hint="eastAsia" w:ascii="仿宋_GB2312" w:hAnsi="宋体" w:eastAsia="仿宋_GB2312" w:cs="Times New Roman"/>
          <w:kern w:val="2"/>
          <w:position w:val="0"/>
          <w:sz w:val="32"/>
          <w:szCs w:val="32"/>
          <w:lang w:val="en-US" w:eastAsia="zh-CN" w:bidi="ar-SA"/>
        </w:rPr>
        <w:t>无</w:t>
      </w:r>
    </w:p>
    <w:p>
      <w:pPr>
        <w:pStyle w:val="7"/>
        <w:keepNext w:val="0"/>
        <w:keepLines w:val="0"/>
        <w:pageBreakBefore w:val="0"/>
        <w:numPr>
          <w:ilvl w:val="0"/>
          <w:numId w:val="0"/>
        </w:numPr>
        <w:tabs>
          <w:tab w:val="left" w:pos="2160"/>
        </w:tabs>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kinsoku/>
        <w:wordWrap/>
        <w:overflowPunct/>
        <w:topLinePunct w:val="0"/>
        <w:autoSpaceDE/>
        <w:autoSpaceDN/>
        <w:bidi w:val="0"/>
        <w:adjustRightInd/>
        <w:snapToGrid w:val="0"/>
        <w:spacing w:line="560" w:lineRule="exact"/>
        <w:jc w:val="both"/>
        <w:textAlignment w:val="auto"/>
        <w:outlineLvl w:val="9"/>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 xml:space="preserve">    无 </w:t>
      </w:r>
    </w:p>
    <w:p>
      <w:pPr>
        <w:pStyle w:val="7"/>
        <w:keepNext w:val="0"/>
        <w:keepLines w:val="0"/>
        <w:pageBreakBefore w:val="0"/>
        <w:kinsoku/>
        <w:wordWrap/>
        <w:overflowPunct/>
        <w:topLinePunct w:val="0"/>
        <w:autoSpaceDE/>
        <w:autoSpaceDN/>
        <w:bidi w:val="0"/>
        <w:spacing w:beforeLines="0" w:line="560" w:lineRule="exact"/>
        <w:ind w:right="0"/>
        <w:textAlignment w:val="auto"/>
        <w:rPr>
          <w:rFonts w:hint="default" w:hAnsi="宋体" w:cs="Times New Roman"/>
          <w:kern w:val="2"/>
          <w:sz w:val="32"/>
          <w:szCs w:val="32"/>
          <w:lang w:val="en-US" w:eastAsia="zh-CN" w:bidi="ar-SA"/>
        </w:rPr>
      </w:pPr>
    </w:p>
    <w:p>
      <w:pPr>
        <w:keepNext w:val="0"/>
        <w:keepLines w:val="0"/>
        <w:pageBreakBefore w:val="0"/>
        <w:kinsoku/>
        <w:wordWrap/>
        <w:overflowPunct/>
        <w:topLinePunct w:val="0"/>
        <w:autoSpaceDE/>
        <w:autoSpaceDN/>
        <w:bidi w:val="0"/>
        <w:spacing w:line="560" w:lineRule="exact"/>
        <w:textAlignment w:val="auto"/>
        <w:rPr>
          <w:rFonts w:hint="default"/>
          <w:lang w:val="en-US" w:eastAsia="zh-CN"/>
        </w:rPr>
      </w:pPr>
    </w:p>
    <w:p>
      <w:pPr>
        <w:pStyle w:val="7"/>
        <w:keepNext w:val="0"/>
        <w:keepLines w:val="0"/>
        <w:pageBreakBefore w:val="0"/>
        <w:kinsoku/>
        <w:wordWrap/>
        <w:overflowPunct/>
        <w:topLinePunct w:val="0"/>
        <w:autoSpaceDE/>
        <w:autoSpaceDN/>
        <w:bidi w:val="0"/>
        <w:spacing w:line="560" w:lineRule="exact"/>
        <w:textAlignment w:val="auto"/>
        <w:rPr>
          <w:rFonts w:hint="eastAsia"/>
        </w:rPr>
      </w:pPr>
      <w:bookmarkStart w:id="89" w:name="_Toc15396618"/>
    </w:p>
    <w:p>
      <w:pPr>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spacing w:line="600" w:lineRule="exact"/>
        <w:jc w:val="center"/>
        <w:outlineLvl w:val="0"/>
        <w:rPr>
          <w:rFonts w:hint="eastAsia" w:ascii="仿宋" w:hAnsi="仿宋" w:eastAsia="仿宋"/>
          <w:b w:val="0"/>
          <w:color w:val="auto"/>
          <w:highlight w:val="none"/>
        </w:rPr>
      </w:pPr>
      <w:bookmarkStart w:id="90" w:name="_Toc5925"/>
      <w:r>
        <w:rPr>
          <w:rFonts w:hint="eastAsia" w:ascii="黑体" w:hAnsi="黑体" w:eastAsia="黑体"/>
          <w:color w:val="auto"/>
          <w:sz w:val="44"/>
          <w:szCs w:val="44"/>
          <w:highlight w:val="none"/>
        </w:rPr>
        <w:t>第</w:t>
      </w:r>
      <w:r>
        <w:rPr>
          <w:rStyle w:val="23"/>
          <w:rFonts w:hint="eastAsia" w:ascii="黑体" w:hAnsi="黑体" w:eastAsia="黑体"/>
          <w:b w:val="0"/>
          <w:color w:val="auto"/>
          <w:highlight w:val="none"/>
        </w:rPr>
        <w:t>五部分 附表</w:t>
      </w:r>
      <w:bookmarkEnd w:id="87"/>
      <w:bookmarkEnd w:id="89"/>
      <w:bookmarkEnd w:id="90"/>
      <w:bookmarkStart w:id="91" w:name="_Toc15396619"/>
    </w:p>
    <w:p>
      <w:pPr>
        <w:pStyle w:val="4"/>
        <w:rPr>
          <w:rFonts w:ascii="仿宋" w:hAnsi="仿宋" w:eastAsia="仿宋"/>
          <w:color w:val="auto"/>
          <w:highlight w:val="none"/>
        </w:rPr>
      </w:pPr>
      <w:bookmarkStart w:id="92" w:name="_Toc31231"/>
      <w:r>
        <w:rPr>
          <w:rFonts w:hint="eastAsia" w:ascii="仿宋" w:hAnsi="仿宋" w:eastAsia="仿宋"/>
          <w:b w:val="0"/>
          <w:color w:val="auto"/>
          <w:highlight w:val="none"/>
        </w:rPr>
        <w:t>一、收</w:t>
      </w:r>
      <w:r>
        <w:rPr>
          <w:rStyle w:val="24"/>
          <w:rFonts w:hint="eastAsia" w:ascii="仿宋" w:hAnsi="仿宋" w:eastAsia="仿宋"/>
          <w:b w:val="0"/>
          <w:bCs w:val="0"/>
          <w:color w:val="auto"/>
          <w:highlight w:val="none"/>
        </w:rPr>
        <w:t>入支出决算总表</w:t>
      </w:r>
      <w:bookmarkEnd w:id="91"/>
      <w:bookmarkEnd w:id="92"/>
    </w:p>
    <w:p>
      <w:pPr>
        <w:pStyle w:val="4"/>
        <w:rPr>
          <w:rFonts w:ascii="仿宋" w:hAnsi="仿宋" w:eastAsia="仿宋"/>
          <w:color w:val="auto"/>
          <w:highlight w:val="none"/>
        </w:rPr>
      </w:pPr>
      <w:bookmarkStart w:id="93" w:name="_Toc15396620"/>
      <w:bookmarkStart w:id="94" w:name="_Toc17510"/>
      <w:r>
        <w:rPr>
          <w:rFonts w:hint="eastAsia" w:ascii="仿宋" w:hAnsi="仿宋" w:eastAsia="仿宋"/>
          <w:b w:val="0"/>
          <w:color w:val="auto"/>
          <w:highlight w:val="none"/>
        </w:rPr>
        <w:t>二、收</w:t>
      </w:r>
      <w:r>
        <w:rPr>
          <w:rStyle w:val="24"/>
          <w:rFonts w:hint="eastAsia" w:ascii="仿宋" w:hAnsi="仿宋" w:eastAsia="仿宋"/>
          <w:b w:val="0"/>
          <w:bCs w:val="0"/>
          <w:color w:val="auto"/>
          <w:highlight w:val="none"/>
        </w:rPr>
        <w:t>入决算表</w:t>
      </w:r>
      <w:bookmarkEnd w:id="93"/>
      <w:bookmarkEnd w:id="94"/>
    </w:p>
    <w:p>
      <w:pPr>
        <w:pStyle w:val="4"/>
        <w:rPr>
          <w:rFonts w:ascii="仿宋" w:hAnsi="仿宋" w:eastAsia="仿宋"/>
          <w:color w:val="auto"/>
          <w:highlight w:val="none"/>
        </w:rPr>
      </w:pPr>
      <w:bookmarkStart w:id="95" w:name="_Toc12289"/>
      <w:bookmarkStart w:id="96" w:name="_Toc15396621"/>
      <w:r>
        <w:rPr>
          <w:rStyle w:val="24"/>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4"/>
          <w:rFonts w:hint="eastAsia" w:ascii="仿宋" w:hAnsi="仿宋" w:eastAsia="仿宋"/>
          <w:b w:val="0"/>
          <w:bCs w:val="0"/>
          <w:color w:val="auto"/>
          <w:highlight w:val="none"/>
        </w:rPr>
        <w:t>出决算表</w:t>
      </w:r>
      <w:bookmarkEnd w:id="95"/>
      <w:bookmarkEnd w:id="96"/>
    </w:p>
    <w:p>
      <w:pPr>
        <w:pStyle w:val="4"/>
        <w:rPr>
          <w:rFonts w:ascii="仿宋" w:hAnsi="仿宋" w:eastAsia="仿宋"/>
          <w:b w:val="0"/>
          <w:color w:val="auto"/>
          <w:highlight w:val="none"/>
        </w:rPr>
      </w:pPr>
      <w:bookmarkStart w:id="97" w:name="_Toc25006"/>
      <w:bookmarkStart w:id="98" w:name="_Toc15396622"/>
      <w:r>
        <w:rPr>
          <w:rStyle w:val="24"/>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政拨款收入支出决算总表</w:t>
      </w:r>
      <w:bookmarkEnd w:id="97"/>
      <w:bookmarkEnd w:id="98"/>
    </w:p>
    <w:p>
      <w:pPr>
        <w:pStyle w:val="4"/>
        <w:rPr>
          <w:rStyle w:val="24"/>
          <w:rFonts w:ascii="仿宋" w:hAnsi="仿宋" w:eastAsia="仿宋"/>
          <w:b w:val="0"/>
          <w:bCs w:val="0"/>
          <w:color w:val="auto"/>
          <w:highlight w:val="none"/>
        </w:rPr>
      </w:pPr>
      <w:bookmarkStart w:id="99" w:name="_Toc15396623"/>
      <w:bookmarkStart w:id="100" w:name="_Toc12379"/>
      <w:r>
        <w:rPr>
          <w:rStyle w:val="24"/>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4"/>
          <w:rFonts w:hint="eastAsia" w:ascii="仿宋" w:hAnsi="仿宋" w:eastAsia="仿宋"/>
          <w:b w:val="0"/>
          <w:bCs w:val="0"/>
          <w:color w:val="auto"/>
          <w:highlight w:val="none"/>
        </w:rPr>
        <w:t>政拨款支出决算明细表</w:t>
      </w:r>
      <w:bookmarkEnd w:id="99"/>
      <w:bookmarkEnd w:id="100"/>
      <w:bookmarkStart w:id="101" w:name="_Toc15396624"/>
    </w:p>
    <w:p>
      <w:pPr>
        <w:pStyle w:val="4"/>
        <w:rPr>
          <w:rFonts w:ascii="仿宋" w:hAnsi="仿宋" w:eastAsia="仿宋"/>
          <w:color w:val="auto"/>
          <w:highlight w:val="none"/>
        </w:rPr>
      </w:pPr>
      <w:bookmarkStart w:id="102" w:name="_Toc5544"/>
      <w:r>
        <w:rPr>
          <w:rStyle w:val="24"/>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般公共预算财政拨款支出决算表</w:t>
      </w:r>
      <w:bookmarkEnd w:id="101"/>
      <w:bookmarkEnd w:id="102"/>
    </w:p>
    <w:p>
      <w:pPr>
        <w:pStyle w:val="4"/>
        <w:rPr>
          <w:rFonts w:ascii="仿宋" w:hAnsi="仿宋" w:eastAsia="仿宋"/>
          <w:color w:val="auto"/>
          <w:highlight w:val="none"/>
        </w:rPr>
      </w:pPr>
      <w:bookmarkStart w:id="103" w:name="_Toc15479"/>
      <w:bookmarkStart w:id="104" w:name="_Toc15396625"/>
      <w:r>
        <w:rPr>
          <w:rStyle w:val="24"/>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般公共预算财政拨款支出决算明细表</w:t>
      </w:r>
      <w:bookmarkEnd w:id="103"/>
      <w:bookmarkEnd w:id="104"/>
    </w:p>
    <w:p>
      <w:pPr>
        <w:pStyle w:val="4"/>
        <w:rPr>
          <w:rFonts w:ascii="仿宋" w:hAnsi="仿宋" w:eastAsia="仿宋"/>
          <w:color w:val="auto"/>
          <w:highlight w:val="none"/>
        </w:rPr>
      </w:pPr>
      <w:bookmarkStart w:id="105" w:name="_Toc15396626"/>
      <w:bookmarkStart w:id="106" w:name="_Toc9172"/>
      <w:r>
        <w:rPr>
          <w:rStyle w:val="24"/>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般公共预算财政拨款基本支出决算表</w:t>
      </w:r>
      <w:bookmarkEnd w:id="105"/>
      <w:bookmarkEnd w:id="106"/>
    </w:p>
    <w:p>
      <w:pPr>
        <w:pStyle w:val="4"/>
        <w:rPr>
          <w:rFonts w:ascii="仿宋" w:hAnsi="仿宋" w:eastAsia="仿宋"/>
          <w:color w:val="auto"/>
          <w:highlight w:val="none"/>
        </w:rPr>
      </w:pPr>
      <w:bookmarkStart w:id="107" w:name="_Toc15396627"/>
      <w:bookmarkStart w:id="108" w:name="_Toc31373"/>
      <w:r>
        <w:rPr>
          <w:rStyle w:val="24"/>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4"/>
          <w:rFonts w:hint="eastAsia" w:ascii="仿宋" w:hAnsi="仿宋" w:eastAsia="仿宋"/>
          <w:b w:val="0"/>
          <w:bCs w:val="0"/>
          <w:color w:val="auto"/>
          <w:highlight w:val="none"/>
        </w:rPr>
        <w:t>般公共预算财政拨款项目支出决算表</w:t>
      </w:r>
      <w:bookmarkEnd w:id="107"/>
      <w:bookmarkEnd w:id="108"/>
    </w:p>
    <w:p>
      <w:pPr>
        <w:pStyle w:val="4"/>
        <w:rPr>
          <w:rFonts w:ascii="仿宋" w:hAnsi="仿宋" w:eastAsia="仿宋"/>
          <w:color w:val="auto"/>
          <w:highlight w:val="none"/>
        </w:rPr>
      </w:pPr>
      <w:bookmarkStart w:id="109" w:name="_Toc15396628"/>
      <w:bookmarkStart w:id="110" w:name="_Toc12127"/>
      <w:r>
        <w:rPr>
          <w:rStyle w:val="24"/>
          <w:rFonts w:hint="eastAsia" w:ascii="仿宋" w:hAnsi="仿宋" w:eastAsia="仿宋"/>
          <w:b w:val="0"/>
          <w:bCs w:val="0"/>
          <w:color w:val="auto"/>
          <w:highlight w:val="none"/>
        </w:rPr>
        <w:t>十、</w:t>
      </w:r>
      <w:bookmarkEnd w:id="109"/>
      <w:r>
        <w:rPr>
          <w:rFonts w:hint="eastAsia" w:ascii="仿宋" w:hAnsi="仿宋" w:eastAsia="仿宋"/>
          <w:b w:val="0"/>
          <w:color w:val="auto"/>
          <w:highlight w:val="none"/>
        </w:rPr>
        <w:t>政</w:t>
      </w:r>
      <w:r>
        <w:rPr>
          <w:rStyle w:val="24"/>
          <w:rFonts w:hint="eastAsia" w:ascii="仿宋" w:hAnsi="仿宋" w:eastAsia="仿宋"/>
          <w:b w:val="0"/>
          <w:bCs w:val="0"/>
          <w:color w:val="auto"/>
          <w:highlight w:val="none"/>
        </w:rPr>
        <w:t>府性基金预算财政拨款收入支出决算表</w:t>
      </w:r>
      <w:bookmarkEnd w:id="110"/>
    </w:p>
    <w:p>
      <w:pPr>
        <w:pStyle w:val="4"/>
        <w:rPr>
          <w:rFonts w:ascii="仿宋" w:hAnsi="仿宋" w:eastAsia="仿宋"/>
          <w:color w:val="auto"/>
          <w:highlight w:val="none"/>
        </w:rPr>
      </w:pPr>
      <w:bookmarkStart w:id="111" w:name="_Toc15396629"/>
      <w:bookmarkStart w:id="112" w:name="_Toc1955"/>
      <w:r>
        <w:rPr>
          <w:rStyle w:val="24"/>
          <w:rFonts w:hint="eastAsia" w:ascii="仿宋" w:hAnsi="仿宋" w:eastAsia="仿宋"/>
          <w:b w:val="0"/>
          <w:bCs w:val="0"/>
          <w:color w:val="auto"/>
          <w:highlight w:val="none"/>
        </w:rPr>
        <w:t>十一、</w:t>
      </w:r>
      <w:bookmarkEnd w:id="111"/>
      <w:r>
        <w:rPr>
          <w:rFonts w:hint="eastAsia" w:ascii="仿宋" w:hAnsi="仿宋" w:eastAsia="仿宋"/>
          <w:b w:val="0"/>
          <w:color w:val="auto"/>
          <w:highlight w:val="none"/>
        </w:rPr>
        <w:t>国</w:t>
      </w:r>
      <w:r>
        <w:rPr>
          <w:rStyle w:val="24"/>
          <w:rFonts w:hint="eastAsia" w:ascii="仿宋" w:hAnsi="仿宋" w:eastAsia="仿宋"/>
          <w:b w:val="0"/>
          <w:bCs w:val="0"/>
          <w:color w:val="auto"/>
          <w:highlight w:val="none"/>
        </w:rPr>
        <w:t>有资本经营预算</w:t>
      </w:r>
      <w:r>
        <w:rPr>
          <w:rStyle w:val="24"/>
          <w:rFonts w:hint="eastAsia" w:ascii="仿宋" w:hAnsi="仿宋" w:eastAsia="仿宋"/>
          <w:b w:val="0"/>
          <w:bCs w:val="0"/>
          <w:color w:val="auto"/>
          <w:highlight w:val="none"/>
          <w:lang w:eastAsia="zh-CN"/>
        </w:rPr>
        <w:t>财政拨款收入</w:t>
      </w:r>
      <w:r>
        <w:rPr>
          <w:rStyle w:val="24"/>
          <w:rFonts w:hint="eastAsia" w:ascii="仿宋" w:hAnsi="仿宋" w:eastAsia="仿宋"/>
          <w:b w:val="0"/>
          <w:bCs w:val="0"/>
          <w:color w:val="auto"/>
          <w:highlight w:val="none"/>
        </w:rPr>
        <w:t>支出决算表</w:t>
      </w:r>
      <w:bookmarkEnd w:id="112"/>
    </w:p>
    <w:p>
      <w:pPr>
        <w:pStyle w:val="4"/>
        <w:rPr>
          <w:rFonts w:ascii="仿宋" w:hAnsi="仿宋" w:eastAsia="仿宋"/>
          <w:color w:val="auto"/>
          <w:highlight w:val="none"/>
        </w:rPr>
      </w:pPr>
      <w:bookmarkStart w:id="113" w:name="_Toc15396630"/>
      <w:bookmarkStart w:id="114" w:name="_Toc30106"/>
      <w:r>
        <w:rPr>
          <w:rStyle w:val="24"/>
          <w:rFonts w:hint="eastAsia" w:ascii="仿宋" w:hAnsi="仿宋" w:eastAsia="仿宋"/>
          <w:b w:val="0"/>
          <w:bCs w:val="0"/>
          <w:color w:val="auto"/>
          <w:highlight w:val="none"/>
        </w:rPr>
        <w:t>十二、</w:t>
      </w:r>
      <w:bookmarkEnd w:id="113"/>
      <w:r>
        <w:rPr>
          <w:rStyle w:val="24"/>
          <w:rFonts w:hint="eastAsia" w:ascii="仿宋" w:hAnsi="仿宋" w:eastAsia="仿宋"/>
          <w:b w:val="0"/>
          <w:bCs w:val="0"/>
          <w:color w:val="auto"/>
          <w:highlight w:val="none"/>
          <w:lang w:eastAsia="zh-CN"/>
        </w:rPr>
        <w:t>国有资本经营预算财政拨款支出决算表</w:t>
      </w:r>
      <w:bookmarkEnd w:id="114"/>
    </w:p>
    <w:p>
      <w:pPr>
        <w:pStyle w:val="4"/>
        <w:rPr>
          <w:rFonts w:hint="eastAsia" w:eastAsia="仿宋"/>
          <w:color w:val="auto"/>
          <w:highlight w:val="none"/>
          <w:lang w:eastAsia="zh-CN"/>
        </w:rPr>
      </w:pPr>
      <w:bookmarkStart w:id="115" w:name="_Toc15396631"/>
      <w:bookmarkStart w:id="116" w:name="_Toc30368"/>
      <w:r>
        <w:rPr>
          <w:rStyle w:val="24"/>
          <w:rFonts w:hint="eastAsia" w:ascii="仿宋" w:hAnsi="仿宋" w:eastAsia="仿宋"/>
          <w:b w:val="0"/>
          <w:bCs w:val="0"/>
          <w:color w:val="auto"/>
          <w:highlight w:val="none"/>
        </w:rPr>
        <w:t>十三、</w:t>
      </w:r>
      <w:bookmarkEnd w:id="115"/>
      <w:r>
        <w:rPr>
          <w:rStyle w:val="24"/>
          <w:rFonts w:hint="eastAsia" w:ascii="仿宋" w:hAnsi="仿宋" w:eastAsia="仿宋"/>
          <w:b w:val="0"/>
          <w:bCs w:val="0"/>
          <w:color w:val="auto"/>
          <w:highlight w:val="none"/>
          <w:lang w:eastAsia="zh-CN"/>
        </w:rPr>
        <w:t>财政拨款“三公”经费支出决算表</w:t>
      </w:r>
      <w:bookmarkEnd w:id="116"/>
    </w:p>
    <w:sectPr>
      <w:headerReference r:id="rId5" w:type="default"/>
      <w:footerReference r:id="rId6"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B0A2F68-E854-4888-8FA3-C68D843B04FF}"/>
  </w:font>
  <w:font w:name="黑体">
    <w:panose1 w:val="02010609060101010101"/>
    <w:charset w:val="86"/>
    <w:family w:val="auto"/>
    <w:pitch w:val="default"/>
    <w:sig w:usb0="800002BF" w:usb1="38CF7CFA" w:usb2="00000016" w:usb3="00000000" w:csb0="00040001" w:csb1="00000000"/>
    <w:embedRegular r:id="rId2" w:fontKey="{9AE3FEE5-019A-4345-A15E-B26C8FC6BA2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embedRegular r:id="rId3" w:fontKey="{7258DAA1-783A-4099-917A-30541694BC61}"/>
  </w:font>
  <w:font w:name="仿宋_GB2312">
    <w:panose1 w:val="02010609030101010101"/>
    <w:charset w:val="86"/>
    <w:family w:val="modern"/>
    <w:pitch w:val="default"/>
    <w:sig w:usb0="00000001" w:usb1="080E0000" w:usb2="00000000" w:usb3="00000000" w:csb0="00040000" w:csb1="00000000"/>
    <w:embedRegular r:id="rId4" w:fontKey="{4A606E12-11CB-4C99-A3D9-3C4B6BD4CB6F}"/>
  </w:font>
  <w:font w:name="仿宋">
    <w:panose1 w:val="02010609060101010101"/>
    <w:charset w:val="86"/>
    <w:family w:val="modern"/>
    <w:pitch w:val="default"/>
    <w:sig w:usb0="800002BF" w:usb1="38CF7CFA" w:usb2="00000016" w:usb3="00000000" w:csb0="00040001" w:csb1="00000000"/>
    <w:embedRegular r:id="rId5" w:fontKey="{80DE25B4-10F4-4856-AC56-73DD59A3E71E}"/>
  </w:font>
  <w:font w:name="??">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embedRegular r:id="rId6" w:fontKey="{7ACD94B8-FDD4-4E7A-92A7-E8A19AA9B0FF}"/>
  </w:font>
  <w:font w:name="方正小标宋简体">
    <w:panose1 w:val="02010601030101010101"/>
    <w:charset w:val="86"/>
    <w:family w:val="script"/>
    <w:pitch w:val="default"/>
    <w:sig w:usb0="00000001" w:usb1="080E0000" w:usb2="00000000" w:usb3="00000000" w:csb0="00040000" w:csb1="00000000"/>
    <w:embedRegular r:id="rId7" w:fontKey="{6E04F995-A129-4A19-AC0D-1C1271BFE016}"/>
  </w:font>
  <w:font w:name="方正仿宋_GBK">
    <w:panose1 w:val="03000509000000000000"/>
    <w:charset w:val="86"/>
    <w:family w:val="auto"/>
    <w:pitch w:val="default"/>
    <w:sig w:usb0="00000001" w:usb1="080E0000" w:usb2="00000000" w:usb3="00000000" w:csb0="00040000" w:csb1="00000000"/>
    <w:embedRegular r:id="rId8" w:fontKey="{22ECD347-43D3-44FA-907A-EC0BBE238E6E}"/>
  </w:font>
  <w:font w:name="楷体_GB2312">
    <w:panose1 w:val="02010609030101010101"/>
    <w:charset w:val="86"/>
    <w:family w:val="auto"/>
    <w:pitch w:val="default"/>
    <w:sig w:usb0="00000001" w:usb1="080E0000" w:usb2="00000000" w:usb3="00000000" w:csb0="00040000" w:csb1="00000000"/>
    <w:embedRegular r:id="rId9" w:fontKey="{2BB36C57-F10E-4384-B2AF-12ECEFC3173F}"/>
  </w:font>
  <w:font w:name="楷体">
    <w:panose1 w:val="02010609060101010101"/>
    <w:charset w:val="86"/>
    <w:family w:val="auto"/>
    <w:pitch w:val="default"/>
    <w:sig w:usb0="800002BF" w:usb1="38CF7CFA" w:usb2="00000016" w:usb3="00000000" w:csb0="00040001" w:csb1="00000000"/>
    <w:embedRegular r:id="rId10" w:fontKey="{5F792C2D-7DEF-4777-A14C-61EA8C1F1F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7xr8bwwEAAHADAAAOAAAAAAAAAAEAIAAAAB4BAABkcnMvZTJvRG9jLnhtbFBL&#10;BQYAAAAABgAGAFkBAABTBQAAAAA=&#10;">
              <v:fill on="f" focussize="0,0"/>
              <v:stroke on="f"/>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jc w:val="center"/>
                          </w:pPr>
                          <w:r>
                            <w:fldChar w:fldCharType="begin"/>
                          </w:r>
                          <w:r>
                            <w:instrText xml:space="preserve">PAGE   \* MERGEFORMAT</w:instrText>
                          </w:r>
                          <w:r>
                            <w:fldChar w:fldCharType="separate"/>
                          </w:r>
                          <w:r>
                            <w:rPr>
                              <w:lang w:val="zh-CN"/>
                            </w:rPr>
                            <w:t>8</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E4a/PrCAQAAcAMAAA4AAAAAAAAAAQAgAAAAHgEAAGRycy9lMm9Eb2MueG1sUEsF&#10;BgAAAAAGAAYAWQEAAFIFAAAAAA==&#10;">
              <v:fill on="f" focussize="0,0"/>
              <v:stroke on="f"/>
              <v:imagedata o:title=""/>
              <o:lock v:ext="edit" aspectratio="f"/>
              <v:textbox inset="0mm,0mm,0mm,0mm" style="mso-fit-shape-to-text:t;">
                <w:txbxContent>
                  <w:p>
                    <w:pPr>
                      <w:pStyle w:val="11"/>
                      <w:jc w:val="center"/>
                    </w:pPr>
                    <w:r>
                      <w:fldChar w:fldCharType="begin"/>
                    </w:r>
                    <w:r>
                      <w:instrText xml:space="preserve">PAGE   \* MERGEFORMAT</w:instrText>
                    </w:r>
                    <w:r>
                      <w:fldChar w:fldCharType="separate"/>
                    </w:r>
                    <w:r>
                      <w:rPr>
                        <w:lang w:val="zh-CN"/>
                      </w:rPr>
                      <w:t>8</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1EC3619"/>
    <w:multiLevelType w:val="singleLevel"/>
    <w:tmpl w:val="D1EC3619"/>
    <w:lvl w:ilvl="0" w:tentative="0">
      <w:start w:val="5"/>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EFB1CFF1"/>
    <w:multiLevelType w:val="singleLevel"/>
    <w:tmpl w:val="EFB1CFF1"/>
    <w:lvl w:ilvl="0" w:tentative="0">
      <w:start w:val="1"/>
      <w:numFmt w:val="decimal"/>
      <w:suff w:val="nothing"/>
      <w:lvlText w:val="（%1）"/>
      <w:lvlJc w:val="left"/>
    </w:lvl>
  </w:abstractNum>
  <w:abstractNum w:abstractNumId="4">
    <w:nsid w:val="09C2CC4D"/>
    <w:multiLevelType w:val="singleLevel"/>
    <w:tmpl w:val="09C2CC4D"/>
    <w:lvl w:ilvl="0" w:tentative="0">
      <w:start w:val="3"/>
      <w:numFmt w:val="chineseCounting"/>
      <w:suff w:val="nothing"/>
      <w:lvlText w:val="（%1）"/>
      <w:lvlJc w:val="left"/>
      <w:rPr>
        <w:rFonts w:hint="eastAsia"/>
      </w:rPr>
    </w:lvl>
  </w:abstractNum>
  <w:abstractNum w:abstractNumId="5">
    <w:nsid w:val="1823AD03"/>
    <w:multiLevelType w:val="singleLevel"/>
    <w:tmpl w:val="1823AD03"/>
    <w:lvl w:ilvl="0" w:tentative="0">
      <w:start w:val="5"/>
      <w:numFmt w:val="chineseCounting"/>
      <w:suff w:val="nothing"/>
      <w:lvlText w:val="%1、"/>
      <w:lvlJc w:val="left"/>
      <w:rPr>
        <w:rFonts w:hint="eastAsia"/>
      </w:rPr>
    </w:lvl>
  </w:abstractNum>
  <w:abstractNum w:abstractNumId="6">
    <w:nsid w:val="5C4FDD71"/>
    <w:multiLevelType w:val="singleLevel"/>
    <w:tmpl w:val="5C4FDD71"/>
    <w:lvl w:ilvl="0" w:tentative="0">
      <w:start w:val="2"/>
      <w:numFmt w:val="chineseCounting"/>
      <w:suff w:val="space"/>
      <w:lvlText w:val="第%1部分"/>
      <w:lvlJc w:val="left"/>
      <w:rPr>
        <w:rFonts w:hint="eastAsia"/>
      </w:rPr>
    </w:lvl>
  </w:abstractNum>
  <w:num w:numId="1">
    <w:abstractNumId w:val="6"/>
  </w:num>
  <w:num w:numId="2">
    <w:abstractNumId w:val="0"/>
  </w:num>
  <w:num w:numId="3">
    <w:abstractNumId w:val="2"/>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hyphenationZone w:val="360"/>
  <w:drawingGridHorizontalSpacing w:val="105"/>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wOTlmOGYxOTNjOTZhMTkxYzQ4NzI4MjgxOWE2Y2Q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05BB"/>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611BDD"/>
    <w:rsid w:val="02143E91"/>
    <w:rsid w:val="02636BDB"/>
    <w:rsid w:val="05400977"/>
    <w:rsid w:val="05D36322"/>
    <w:rsid w:val="064249C6"/>
    <w:rsid w:val="066E0107"/>
    <w:rsid w:val="06D66EBD"/>
    <w:rsid w:val="06D72C6D"/>
    <w:rsid w:val="0726771F"/>
    <w:rsid w:val="07440328"/>
    <w:rsid w:val="07586B40"/>
    <w:rsid w:val="077D6217"/>
    <w:rsid w:val="07996F6E"/>
    <w:rsid w:val="07B62F76"/>
    <w:rsid w:val="09FC7C13"/>
    <w:rsid w:val="0A2032A3"/>
    <w:rsid w:val="0A4265C4"/>
    <w:rsid w:val="0BEA454E"/>
    <w:rsid w:val="0CC170B3"/>
    <w:rsid w:val="0D30650C"/>
    <w:rsid w:val="0DA43871"/>
    <w:rsid w:val="0E1F28D6"/>
    <w:rsid w:val="0E686877"/>
    <w:rsid w:val="0EB110CC"/>
    <w:rsid w:val="0ED70B71"/>
    <w:rsid w:val="0EE75ECB"/>
    <w:rsid w:val="0F013E96"/>
    <w:rsid w:val="0F98263C"/>
    <w:rsid w:val="101860EC"/>
    <w:rsid w:val="10394744"/>
    <w:rsid w:val="10C055FF"/>
    <w:rsid w:val="10DD7B65"/>
    <w:rsid w:val="118107EC"/>
    <w:rsid w:val="130C1EB5"/>
    <w:rsid w:val="13D50BC4"/>
    <w:rsid w:val="15393438"/>
    <w:rsid w:val="161B13ED"/>
    <w:rsid w:val="16294695"/>
    <w:rsid w:val="163A6938"/>
    <w:rsid w:val="16BB723D"/>
    <w:rsid w:val="18736C61"/>
    <w:rsid w:val="189F1A11"/>
    <w:rsid w:val="18E960C0"/>
    <w:rsid w:val="1B697EA8"/>
    <w:rsid w:val="1BCE12EF"/>
    <w:rsid w:val="1BE8440E"/>
    <w:rsid w:val="1CF008B7"/>
    <w:rsid w:val="1D0E51AB"/>
    <w:rsid w:val="1D155CEE"/>
    <w:rsid w:val="1D4024D2"/>
    <w:rsid w:val="1D494869"/>
    <w:rsid w:val="1D905BC0"/>
    <w:rsid w:val="1EA025CB"/>
    <w:rsid w:val="1EC71AB5"/>
    <w:rsid w:val="1EEE40CF"/>
    <w:rsid w:val="1EF95283"/>
    <w:rsid w:val="1F036BEC"/>
    <w:rsid w:val="1F144946"/>
    <w:rsid w:val="1F49264E"/>
    <w:rsid w:val="1FF35744"/>
    <w:rsid w:val="20E83750"/>
    <w:rsid w:val="212C5BFF"/>
    <w:rsid w:val="22DB2794"/>
    <w:rsid w:val="231A15C5"/>
    <w:rsid w:val="23860B96"/>
    <w:rsid w:val="240371BF"/>
    <w:rsid w:val="248F3BE1"/>
    <w:rsid w:val="24C04FDC"/>
    <w:rsid w:val="27A14E79"/>
    <w:rsid w:val="27B65781"/>
    <w:rsid w:val="28235F68"/>
    <w:rsid w:val="282870EB"/>
    <w:rsid w:val="288B05AF"/>
    <w:rsid w:val="28F60FCD"/>
    <w:rsid w:val="29FD04D3"/>
    <w:rsid w:val="2AA74C8D"/>
    <w:rsid w:val="2B1419FF"/>
    <w:rsid w:val="2C416A01"/>
    <w:rsid w:val="2C4E70D8"/>
    <w:rsid w:val="2C8A61B5"/>
    <w:rsid w:val="2CC633AC"/>
    <w:rsid w:val="2D013765"/>
    <w:rsid w:val="2D3D5FC4"/>
    <w:rsid w:val="2D481496"/>
    <w:rsid w:val="2DF04E50"/>
    <w:rsid w:val="2E385E08"/>
    <w:rsid w:val="2E5D305A"/>
    <w:rsid w:val="2F040D46"/>
    <w:rsid w:val="2F7075FF"/>
    <w:rsid w:val="2F8037F4"/>
    <w:rsid w:val="3092644E"/>
    <w:rsid w:val="319F7F4E"/>
    <w:rsid w:val="31B163D9"/>
    <w:rsid w:val="31BB1CA7"/>
    <w:rsid w:val="328B3675"/>
    <w:rsid w:val="3304709D"/>
    <w:rsid w:val="346C65E7"/>
    <w:rsid w:val="348E1D6A"/>
    <w:rsid w:val="365E6B01"/>
    <w:rsid w:val="368509BE"/>
    <w:rsid w:val="36AA5135"/>
    <w:rsid w:val="376D39B2"/>
    <w:rsid w:val="37E16F03"/>
    <w:rsid w:val="38C352E3"/>
    <w:rsid w:val="38D469F0"/>
    <w:rsid w:val="39FC3104"/>
    <w:rsid w:val="3ACF785E"/>
    <w:rsid w:val="3B801EE5"/>
    <w:rsid w:val="3BCC07DF"/>
    <w:rsid w:val="3C0E363D"/>
    <w:rsid w:val="3C5751AA"/>
    <w:rsid w:val="3C8B637F"/>
    <w:rsid w:val="3D257C7B"/>
    <w:rsid w:val="3D98207C"/>
    <w:rsid w:val="3E1E3910"/>
    <w:rsid w:val="3E78745D"/>
    <w:rsid w:val="3FBB4B3A"/>
    <w:rsid w:val="40044A42"/>
    <w:rsid w:val="40955117"/>
    <w:rsid w:val="40EB7975"/>
    <w:rsid w:val="41A2313A"/>
    <w:rsid w:val="42132C9A"/>
    <w:rsid w:val="43A713E9"/>
    <w:rsid w:val="444906F3"/>
    <w:rsid w:val="446B3209"/>
    <w:rsid w:val="44E268DA"/>
    <w:rsid w:val="45207AAF"/>
    <w:rsid w:val="45BE2A1A"/>
    <w:rsid w:val="45E74FC8"/>
    <w:rsid w:val="46164604"/>
    <w:rsid w:val="4732546E"/>
    <w:rsid w:val="474259EE"/>
    <w:rsid w:val="474E2F36"/>
    <w:rsid w:val="475E4C25"/>
    <w:rsid w:val="48B277A8"/>
    <w:rsid w:val="490B241B"/>
    <w:rsid w:val="4918496D"/>
    <w:rsid w:val="492B486B"/>
    <w:rsid w:val="494A7309"/>
    <w:rsid w:val="49593FE0"/>
    <w:rsid w:val="4A484FA8"/>
    <w:rsid w:val="4A547DF1"/>
    <w:rsid w:val="4A627F82"/>
    <w:rsid w:val="4B0E749A"/>
    <w:rsid w:val="4B1B26BD"/>
    <w:rsid w:val="4B4F25DA"/>
    <w:rsid w:val="4B990CBA"/>
    <w:rsid w:val="4BE068DB"/>
    <w:rsid w:val="4CB41AB2"/>
    <w:rsid w:val="4D577224"/>
    <w:rsid w:val="4D981DA3"/>
    <w:rsid w:val="4DF72106"/>
    <w:rsid w:val="4E0202DE"/>
    <w:rsid w:val="4E171EB5"/>
    <w:rsid w:val="4EA4753C"/>
    <w:rsid w:val="4EAB630A"/>
    <w:rsid w:val="4ECE2238"/>
    <w:rsid w:val="4F0022F6"/>
    <w:rsid w:val="50022D59"/>
    <w:rsid w:val="5071071F"/>
    <w:rsid w:val="50AB321F"/>
    <w:rsid w:val="51EC5EDA"/>
    <w:rsid w:val="52287B99"/>
    <w:rsid w:val="52513181"/>
    <w:rsid w:val="537E6D0A"/>
    <w:rsid w:val="53951A93"/>
    <w:rsid w:val="53AA19C9"/>
    <w:rsid w:val="54553F07"/>
    <w:rsid w:val="54B5148C"/>
    <w:rsid w:val="54BB581E"/>
    <w:rsid w:val="54FC32BE"/>
    <w:rsid w:val="54FC5527"/>
    <w:rsid w:val="556A6F8B"/>
    <w:rsid w:val="558F2CFB"/>
    <w:rsid w:val="55B357C3"/>
    <w:rsid w:val="55D27FE9"/>
    <w:rsid w:val="576C0528"/>
    <w:rsid w:val="587873A1"/>
    <w:rsid w:val="59492E31"/>
    <w:rsid w:val="5A0A5DD6"/>
    <w:rsid w:val="5ABF12B7"/>
    <w:rsid w:val="5AF92295"/>
    <w:rsid w:val="5B182775"/>
    <w:rsid w:val="5C3B583F"/>
    <w:rsid w:val="5CD71FC4"/>
    <w:rsid w:val="5E0D1F37"/>
    <w:rsid w:val="5E930A90"/>
    <w:rsid w:val="5FB24F46"/>
    <w:rsid w:val="605A7157"/>
    <w:rsid w:val="608C39E9"/>
    <w:rsid w:val="62BA192E"/>
    <w:rsid w:val="62FF0CEC"/>
    <w:rsid w:val="631F1D7E"/>
    <w:rsid w:val="634D3145"/>
    <w:rsid w:val="63E43B3C"/>
    <w:rsid w:val="641B7951"/>
    <w:rsid w:val="655606BE"/>
    <w:rsid w:val="65E9368C"/>
    <w:rsid w:val="665A00E6"/>
    <w:rsid w:val="66C86AB4"/>
    <w:rsid w:val="67ED1264"/>
    <w:rsid w:val="698A2A90"/>
    <w:rsid w:val="69F86F01"/>
    <w:rsid w:val="6A484851"/>
    <w:rsid w:val="6B144A6A"/>
    <w:rsid w:val="6B1940CB"/>
    <w:rsid w:val="6B694227"/>
    <w:rsid w:val="6BAC4F3F"/>
    <w:rsid w:val="6C4A05C8"/>
    <w:rsid w:val="6CCE7B74"/>
    <w:rsid w:val="6CD42A88"/>
    <w:rsid w:val="6CE1366B"/>
    <w:rsid w:val="6E7E3605"/>
    <w:rsid w:val="6ED30503"/>
    <w:rsid w:val="6F5B62F8"/>
    <w:rsid w:val="6FE14EB8"/>
    <w:rsid w:val="6FF5CC65"/>
    <w:rsid w:val="70282573"/>
    <w:rsid w:val="715C0E4B"/>
    <w:rsid w:val="723356C0"/>
    <w:rsid w:val="72734D90"/>
    <w:rsid w:val="72AC354A"/>
    <w:rsid w:val="73627629"/>
    <w:rsid w:val="73AD73D5"/>
    <w:rsid w:val="73B452D9"/>
    <w:rsid w:val="73B6EB34"/>
    <w:rsid w:val="744731E5"/>
    <w:rsid w:val="745030BF"/>
    <w:rsid w:val="74D472B5"/>
    <w:rsid w:val="75587EE6"/>
    <w:rsid w:val="76171B4F"/>
    <w:rsid w:val="763A4CA1"/>
    <w:rsid w:val="76B31AD3"/>
    <w:rsid w:val="76E3355F"/>
    <w:rsid w:val="774626EC"/>
    <w:rsid w:val="778769C8"/>
    <w:rsid w:val="78122B2C"/>
    <w:rsid w:val="79191DC9"/>
    <w:rsid w:val="79801671"/>
    <w:rsid w:val="79EE5BA4"/>
    <w:rsid w:val="7A072504"/>
    <w:rsid w:val="7A894339"/>
    <w:rsid w:val="7AE53FCA"/>
    <w:rsid w:val="7B2C6DEA"/>
    <w:rsid w:val="7B49229B"/>
    <w:rsid w:val="7E7A6159"/>
    <w:rsid w:val="7EEF11D3"/>
    <w:rsid w:val="7F016EF9"/>
    <w:rsid w:val="7FA30C79"/>
    <w:rsid w:val="7FB7269E"/>
    <w:rsid w:val="7FC96657"/>
    <w:rsid w:val="7FE548E6"/>
    <w:rsid w:val="D8D6DB89"/>
    <w:rsid w:val="DB6F4CAB"/>
    <w:rsid w:val="DF6F97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4"/>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21">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szCs w:val="21"/>
    </w:rPr>
  </w:style>
  <w:style w:type="paragraph" w:styleId="6">
    <w:name w:val="Salutation"/>
    <w:basedOn w:val="1"/>
    <w:next w:val="1"/>
    <w:qFormat/>
    <w:uiPriority w:val="0"/>
  </w:style>
  <w:style w:type="paragraph" w:styleId="7">
    <w:name w:val="Body Text"/>
    <w:basedOn w:val="1"/>
    <w:next w:val="1"/>
    <w:link w:val="22"/>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26"/>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Body Text First Indent 2"/>
    <w:basedOn w:val="8"/>
    <w:unhideWhenUsed/>
    <w:qFormat/>
    <w:uiPriority w:val="99"/>
    <w:pPr>
      <w:ind w:firstLine="420" w:firstLineChars="200"/>
    </w:pPr>
  </w:style>
  <w:style w:type="paragraph" w:styleId="13">
    <w:name w:val="header"/>
    <w:basedOn w:val="1"/>
    <w:link w:val="2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Autospacing="1" w:afterAutospacing="1"/>
      <w:jc w:val="left"/>
    </w:pPr>
    <w:rPr>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u w:val="single"/>
    </w:rPr>
  </w:style>
  <w:style w:type="character" w:customStyle="1" w:styleId="22">
    <w:name w:val="正文文本 Char"/>
    <w:link w:val="7"/>
    <w:qFormat/>
    <w:locked/>
    <w:uiPriority w:val="99"/>
    <w:rPr>
      <w:rFonts w:ascii="仿宋_GB2312" w:hAnsi="Times New Roman" w:eastAsia="仿宋_GB2312"/>
      <w:sz w:val="24"/>
    </w:rPr>
  </w:style>
  <w:style w:type="character" w:customStyle="1" w:styleId="23">
    <w:name w:val="标题 1 Char"/>
    <w:basedOn w:val="18"/>
    <w:link w:val="3"/>
    <w:qFormat/>
    <w:uiPriority w:val="9"/>
    <w:rPr>
      <w:rFonts w:ascii="Times New Roman" w:hAnsi="Times New Roman"/>
      <w:b/>
      <w:bCs/>
      <w:kern w:val="44"/>
      <w:sz w:val="44"/>
      <w:szCs w:val="44"/>
    </w:rPr>
  </w:style>
  <w:style w:type="character" w:customStyle="1" w:styleId="24">
    <w:name w:val="标题 2 Char"/>
    <w:basedOn w:val="18"/>
    <w:link w:val="4"/>
    <w:qFormat/>
    <w:uiPriority w:val="9"/>
    <w:rPr>
      <w:rFonts w:ascii="Cambria" w:hAnsi="Cambria" w:eastAsia="宋体" w:cs="Times New Roman"/>
      <w:b/>
      <w:bCs/>
      <w:kern w:val="2"/>
      <w:sz w:val="32"/>
      <w:szCs w:val="32"/>
    </w:rPr>
  </w:style>
  <w:style w:type="character" w:customStyle="1" w:styleId="25">
    <w:name w:val="标题 3 Char"/>
    <w:basedOn w:val="18"/>
    <w:link w:val="5"/>
    <w:qFormat/>
    <w:uiPriority w:val="9"/>
    <w:rPr>
      <w:rFonts w:ascii="Times New Roman" w:hAnsi="Times New Roman"/>
      <w:b/>
      <w:bCs/>
      <w:kern w:val="2"/>
      <w:sz w:val="32"/>
      <w:szCs w:val="32"/>
    </w:rPr>
  </w:style>
  <w:style w:type="character" w:customStyle="1" w:styleId="26">
    <w:name w:val="批注框文本 Char"/>
    <w:basedOn w:val="18"/>
    <w:link w:val="10"/>
    <w:semiHidden/>
    <w:qFormat/>
    <w:uiPriority w:val="99"/>
    <w:rPr>
      <w:rFonts w:ascii="Times New Roman" w:hAnsi="Times New Roman"/>
      <w:kern w:val="2"/>
      <w:sz w:val="18"/>
      <w:szCs w:val="18"/>
    </w:rPr>
  </w:style>
  <w:style w:type="character" w:customStyle="1" w:styleId="27">
    <w:name w:val="页脚 Char"/>
    <w:link w:val="11"/>
    <w:qFormat/>
    <w:locked/>
    <w:uiPriority w:val="99"/>
    <w:rPr>
      <w:sz w:val="18"/>
    </w:rPr>
  </w:style>
  <w:style w:type="character" w:customStyle="1" w:styleId="28">
    <w:name w:val="页眉 Char"/>
    <w:link w:val="13"/>
    <w:semiHidden/>
    <w:qFormat/>
    <w:locked/>
    <w:uiPriority w:val="99"/>
    <w:rPr>
      <w:sz w:val="18"/>
    </w:rPr>
  </w:style>
  <w:style w:type="paragraph" w:customStyle="1" w:styleId="2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30">
    <w:name w:val="Header Char"/>
    <w:basedOn w:val="18"/>
    <w:semiHidden/>
    <w:qFormat/>
    <w:uiPriority w:val="99"/>
    <w:rPr>
      <w:rFonts w:ascii="Times New Roman" w:hAnsi="Times New Roman"/>
      <w:sz w:val="18"/>
      <w:szCs w:val="18"/>
    </w:rPr>
  </w:style>
  <w:style w:type="character" w:customStyle="1" w:styleId="31">
    <w:name w:val="Footer Char"/>
    <w:basedOn w:val="18"/>
    <w:semiHidden/>
    <w:qFormat/>
    <w:uiPriority w:val="99"/>
    <w:rPr>
      <w:rFonts w:ascii="Times New Roman" w:hAnsi="Times New Roman"/>
      <w:sz w:val="18"/>
      <w:szCs w:val="18"/>
    </w:rPr>
  </w:style>
  <w:style w:type="character" w:customStyle="1" w:styleId="32">
    <w:name w:val="Body Text Char"/>
    <w:basedOn w:val="18"/>
    <w:semiHidden/>
    <w:qFormat/>
    <w:uiPriority w:val="99"/>
    <w:rPr>
      <w:rFonts w:ascii="Times New Roman" w:hAnsi="Times New Roman"/>
      <w:szCs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4">
    <w:name w:val="List Paragraph"/>
    <w:basedOn w:val="1"/>
    <w:qFormat/>
    <w:uiPriority w:val="34"/>
    <w:pPr>
      <w:ind w:firstLine="420" w:firstLineChars="200"/>
    </w:pPr>
  </w:style>
  <w:style w:type="paragraph" w:customStyle="1" w:styleId="35">
    <w:name w:val="TOC 标题1"/>
    <w:basedOn w:val="3"/>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6">
    <w:name w:val="TOC Heading"/>
    <w:basedOn w:val="3"/>
    <w:next w:val="1"/>
    <w:unhideWhenUsed/>
    <w:qFormat/>
    <w:uiPriority w:val="39"/>
    <w:pPr>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font81"/>
    <w:basedOn w:val="18"/>
    <w:qFormat/>
    <w:uiPriority w:val="0"/>
    <w:rPr>
      <w:rFonts w:hint="eastAsia" w:ascii="宋体" w:hAnsi="宋体" w:eastAsia="宋体" w:cs="宋体"/>
      <w:b/>
      <w:bCs/>
      <w:color w:val="000000"/>
      <w:sz w:val="20"/>
      <w:szCs w:val="20"/>
      <w:u w:val="none"/>
    </w:rPr>
  </w:style>
  <w:style w:type="character" w:customStyle="1" w:styleId="39">
    <w:name w:val="font112"/>
    <w:basedOn w:val="18"/>
    <w:qFormat/>
    <w:uiPriority w:val="0"/>
    <w:rPr>
      <w:rFonts w:hint="eastAsia" w:ascii="宋体" w:hAnsi="宋体" w:eastAsia="宋体" w:cs="宋体"/>
      <w:color w:val="000000"/>
      <w:sz w:val="20"/>
      <w:szCs w:val="20"/>
      <w:u w:val="none"/>
    </w:rPr>
  </w:style>
  <w:style w:type="paragraph" w:customStyle="1" w:styleId="40">
    <w:name w:val="WPSOffice手动目录 1"/>
    <w:qFormat/>
    <w:uiPriority w:val="0"/>
    <w:pPr>
      <w:ind w:leftChars="0"/>
    </w:pPr>
    <w:rPr>
      <w:rFonts w:ascii="Times New Roman" w:hAnsi="Times New Roman" w:eastAsia="宋体" w:cs="Times New Roman"/>
      <w:sz w:val="20"/>
      <w:szCs w:val="20"/>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 w:type="paragraph" w:customStyle="1" w:styleId="42">
    <w:name w:val="17"/>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4180;&#37096;&#38376;&#20915;&#31639;&#20844;&#24320;\&#20915;&#31639;&#20844;&#24320;&#30011;&#22270;202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37096;&#38376;&#20915;&#31639;&#20844;&#24320;\&#20915;&#31639;&#20844;&#24320;&#30011;&#22270;202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4180;&#37096;&#38376;&#20915;&#31639;&#20844;&#24320;\&#20915;&#31639;&#20844;&#24320;&#30011;&#22270;202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5&#24180;&#37096;&#38376;&#20915;&#31639;&#20844;&#24320;\&#20915;&#31639;&#20844;&#24320;&#30011;&#22270;202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4180;&#37096;&#38376;&#20915;&#31639;&#20844;&#24320;\&#20915;&#31639;&#20844;&#24320;&#30011;&#22270;202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37096;&#38376;&#20915;&#31639;&#20844;&#24320;\&#20915;&#31639;&#20844;&#24320;&#30011;&#22270;2024.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1.xml"/><Relationship Id="rId1" Type="http://schemas.openxmlformats.org/officeDocument/2006/relationships/oleObject" Target="file:///C:\Users\Administrator\Desktop\2025&#24180;&#37096;&#38376;&#20915;&#31639;&#20844;&#24320;\&#20915;&#31639;&#20844;&#24320;&#30011;&#2227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192377495462795"/>
          <c:y val="0.0295425667090216"/>
        </c:manualLayout>
      </c:layout>
      <c:overlay val="0"/>
      <c:spPr>
        <a:noFill/>
        <a:ln>
          <a:noFill/>
        </a:ln>
        <a:effectLst/>
      </c:spPr>
    </c:title>
    <c:autoTitleDeleted val="0"/>
    <c:plotArea>
      <c:layout/>
      <c:barChart>
        <c:barDir val="col"/>
        <c:grouping val="clustered"/>
        <c:varyColors val="0"/>
        <c:ser>
          <c:idx val="0"/>
          <c:order val="0"/>
          <c:tx>
            <c:strRef>
              <c:f>[决算公开画图2024.xlsx]Sheet1!$A$4</c:f>
              <c:strCache>
                <c:ptCount val="1"/>
                <c:pt idx="0">
                  <c:v>2024年</c:v>
                </c:pt>
              </c:strCache>
            </c:strRef>
          </c:tx>
          <c:spPr>
            <a:solidFill>
              <a:schemeClr val="accent1"/>
            </a:solidFill>
            <a:ln>
              <a:noFill/>
            </a:ln>
            <a:effectLst/>
          </c:spPr>
          <c:invertIfNegative val="0"/>
          <c:dLbls>
            <c:delete val="1"/>
          </c:dLbls>
          <c:cat>
            <c:strRef>
              <c:f>[决算公开画图2024.xlsx]Sheet1!$B$3:$D$3</c:f>
              <c:strCache>
                <c:ptCount val="3"/>
                <c:pt idx="0">
                  <c:v>财政拨款收入（万元）</c:v>
                </c:pt>
                <c:pt idx="2">
                  <c:v>财政拨款支出（万元）</c:v>
                </c:pt>
              </c:strCache>
            </c:strRef>
          </c:cat>
          <c:val>
            <c:numRef>
              <c:f>[决算公开画图2024.xlsx]Sheet1!$B$4:$D$4</c:f>
              <c:numCache>
                <c:formatCode>General</c:formatCode>
                <c:ptCount val="3"/>
                <c:pt idx="0">
                  <c:v>6159.89</c:v>
                </c:pt>
                <c:pt idx="2">
                  <c:v>6159.89</c:v>
                </c:pt>
              </c:numCache>
            </c:numRef>
          </c:val>
        </c:ser>
        <c:ser>
          <c:idx val="1"/>
          <c:order val="1"/>
          <c:tx>
            <c:strRef>
              <c:f>[决算公开画图2024.xlsx]Sheet1!$A$5</c:f>
              <c:strCache>
                <c:ptCount val="1"/>
                <c:pt idx="0">
                  <c:v>2025年</c:v>
                </c:pt>
              </c:strCache>
            </c:strRef>
          </c:tx>
          <c:spPr>
            <a:solidFill>
              <a:schemeClr val="accent2"/>
            </a:solidFill>
            <a:ln>
              <a:noFill/>
            </a:ln>
            <a:effectLst/>
          </c:spPr>
          <c:invertIfNegative val="0"/>
          <c:dLbls>
            <c:delete val="1"/>
          </c:dLbls>
          <c:cat>
            <c:strRef>
              <c:f>[决算公开画图2024.xlsx]Sheet1!$B$3:$D$3</c:f>
              <c:strCache>
                <c:ptCount val="3"/>
                <c:pt idx="0">
                  <c:v>财政拨款收入（万元）</c:v>
                </c:pt>
                <c:pt idx="2">
                  <c:v>财政拨款支出（万元）</c:v>
                </c:pt>
              </c:strCache>
            </c:strRef>
          </c:cat>
          <c:val>
            <c:numRef>
              <c:f>[决算公开画图2024.xlsx]Sheet1!$B$5:$D$5</c:f>
              <c:numCache>
                <c:formatCode>General</c:formatCode>
                <c:ptCount val="3"/>
                <c:pt idx="0">
                  <c:v>3199.83</c:v>
                </c:pt>
                <c:pt idx="2">
                  <c:v>3199.83</c:v>
                </c:pt>
              </c:numCache>
            </c:numRef>
          </c:val>
        </c:ser>
        <c:dLbls>
          <c:showLegendKey val="0"/>
          <c:showVal val="0"/>
          <c:showCatName val="0"/>
          <c:showSerName val="0"/>
          <c:showPercent val="0"/>
          <c:showBubbleSize val="0"/>
        </c:dLbls>
        <c:gapWidth val="219"/>
        <c:overlap val="-27"/>
        <c:axId val="644101296"/>
        <c:axId val="300918575"/>
      </c:barChart>
      <c:catAx>
        <c:axId val="6441012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918575"/>
        <c:crosses val="autoZero"/>
        <c:auto val="1"/>
        <c:lblAlgn val="ctr"/>
        <c:lblOffset val="100"/>
        <c:noMultiLvlLbl val="0"/>
      </c:catAx>
      <c:valAx>
        <c:axId val="300918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1012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2025年收入决算结构图</a:t>
            </a:r>
          </a:p>
        </c:rich>
      </c:tx>
      <c:layout>
        <c:manualLayout>
          <c:xMode val="edge"/>
          <c:yMode val="edge"/>
          <c:x val="0.340882694541231"/>
          <c:y val="0.0729166666666667"/>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[决算公开画图2024.xlsx]Sheet1!$F$3:$F$9</c:f>
              <c:strCache>
                <c:ptCount val="7"/>
                <c:pt idx="0">
                  <c:v>一般公共预算财政拨款收入</c:v>
                </c:pt>
              </c:strCache>
            </c:strRef>
          </c:cat>
          <c:val>
            <c:numRef>
              <c:f>[决算公开画图2024.xlsx]Sheet1!$G$3:$G$9</c:f>
              <c:numCache>
                <c:formatCode>General</c:formatCode>
                <c:ptCount val="7"/>
                <c:pt idx="0">
                  <c:v>311.34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[决算公开画图2024.xlsx]Sheet1!$A$100:$A$101</c:f>
              <c:strCache>
                <c:ptCount val="2"/>
                <c:pt idx="0">
                  <c:v>基本支出</c:v>
                </c:pt>
                <c:pt idx="1">
                  <c:v>项目支出</c:v>
                </c:pt>
              </c:strCache>
            </c:strRef>
          </c:cat>
          <c:val>
            <c:numRef>
              <c:f>[决算公开画图2024.xlsx]Sheet1!$B$100:$B$101</c:f>
              <c:numCache>
                <c:formatCode>General</c:formatCode>
                <c:ptCount val="2"/>
                <c:pt idx="0">
                  <c:v>681.97</c:v>
                </c:pt>
                <c:pt idx="1">
                  <c:v>2517.85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[决算公开画图2024.xlsx]Sheet1!$B$42</c:f>
              <c:strCache>
                <c:ptCount val="1"/>
                <c:pt idx="0">
                  <c:v>财政拨款收入（万元）</c:v>
                </c:pt>
              </c:strCache>
            </c:strRef>
          </c:tx>
          <c:spPr>
            <a:solidFill>
              <a:schemeClr val="accent1"/>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[决算公开画图2024.xlsx]Sheet1!$B$43:$B$46</c:f>
              <c:numCache>
                <c:formatCode>General</c:formatCode>
                <c:ptCount val="4"/>
                <c:pt idx="0">
                  <c:v>6148.59</c:v>
                </c:pt>
                <c:pt idx="2">
                  <c:v>3199.83</c:v>
                </c:pt>
              </c:numCache>
            </c:numRef>
          </c:val>
        </c:ser>
        <c:ser>
          <c:idx val="1"/>
          <c:order val="1"/>
          <c:tx>
            <c:strRef>
              <c:f>[决算公开画图2024.xlsx]Sheet1!$C$42</c:f>
              <c:strCache>
                <c:ptCount val="1"/>
                <c:pt idx="0">
                  <c:v>财政拨款支出（万元）</c:v>
                </c:pt>
              </c:strCache>
            </c:strRef>
          </c:tx>
          <c:spPr>
            <a:solidFill>
              <a:schemeClr val="accent2"/>
            </a:solidFill>
            <a:ln>
              <a:noFill/>
            </a:ln>
            <a:effectLst/>
          </c:spPr>
          <c:invertIfNegative val="0"/>
          <c:dLbls>
            <c:delete val="1"/>
          </c:dLbls>
          <c:cat>
            <c:strRef>
              <c:f>[决算公开画图2024.xlsx]Sheet1!$A$43:$A$46</c:f>
              <c:strCache>
                <c:ptCount val="4"/>
                <c:pt idx="0">
                  <c:v>2024年</c:v>
                </c:pt>
                <c:pt idx="2">
                  <c:v>2025年</c:v>
                </c:pt>
              </c:strCache>
            </c:strRef>
          </c:cat>
          <c:val>
            <c:numRef>
              <c:f>[决算公开画图2024.xlsx]Sheet1!$C$43:$C$46</c:f>
              <c:numCache>
                <c:formatCode>General</c:formatCode>
                <c:ptCount val="4"/>
                <c:pt idx="0">
                  <c:v>6148.59</c:v>
                </c:pt>
                <c:pt idx="2">
                  <c:v>3199.83</c:v>
                </c:pt>
              </c:numCache>
            </c:numRef>
          </c:val>
        </c:ser>
        <c:dLbls>
          <c:showLegendKey val="0"/>
          <c:showVal val="0"/>
          <c:showCatName val="0"/>
          <c:showSerName val="0"/>
          <c:showPercent val="0"/>
          <c:showBubbleSize val="0"/>
        </c:dLbls>
        <c:gapWidth val="219"/>
        <c:overlap val="-27"/>
        <c:axId val="748804617"/>
        <c:axId val="457257790"/>
      </c:barChart>
      <c:catAx>
        <c:axId val="7488046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257790"/>
        <c:crosses val="autoZero"/>
        <c:auto val="1"/>
        <c:lblAlgn val="ctr"/>
        <c:lblOffset val="100"/>
        <c:noMultiLvlLbl val="0"/>
      </c:catAx>
      <c:valAx>
        <c:axId val="45725779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8046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cap="none" spc="20" baseline="0">
                <a:solidFill>
                  <a:schemeClr val="tx1">
                    <a:lumMod val="50000"/>
                    <a:lumOff val="50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[决算公开画图2024.xlsx]Sheet1!$F$43:$F$45</c:f>
              <c:numCache>
                <c:formatCode>General</c:formatCode>
                <c:ptCount val="3"/>
                <c:pt idx="0">
                  <c:v>6148.59</c:v>
                </c:pt>
                <c:pt idx="2">
                  <c:v>3199.83</c:v>
                </c:pt>
              </c:numCache>
            </c:numRef>
          </c:val>
        </c:ser>
        <c:ser>
          <c:idx val="1"/>
          <c:order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dLbls>
            <c:delete val="1"/>
          </c:dLbls>
          <c:cat>
            <c:strRef>
              <c:f>[决算公开画图2024.xlsx]Sheet1!$E$43:$E$45</c:f>
              <c:strCache>
                <c:ptCount val="3"/>
                <c:pt idx="0">
                  <c:v>2024年</c:v>
                </c:pt>
                <c:pt idx="2">
                  <c:v>2025年</c:v>
                </c:pt>
              </c:strCache>
            </c:strRef>
          </c:cat>
          <c:val>
            <c:numRef>
              <c:f>[决算公开画图2024.xlsx]Sheet1!$G$43:$G$45</c:f>
              <c:numCache>
                <c:formatCode>General</c:formatCode>
                <c:ptCount val="3"/>
              </c:numCache>
            </c:numRef>
          </c:val>
        </c:ser>
        <c:dLbls>
          <c:showLegendKey val="0"/>
          <c:showVal val="0"/>
          <c:showCatName val="0"/>
          <c:showSerName val="0"/>
          <c:showPercent val="0"/>
          <c:showBubbleSize val="0"/>
        </c:dLbls>
        <c:gapWidth val="100"/>
        <c:overlap val="-24"/>
        <c:axId val="576527494"/>
        <c:axId val="286149385"/>
      </c:barChart>
      <c:catAx>
        <c:axId val="57652749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286149385"/>
        <c:crosses val="autoZero"/>
        <c:auto val="1"/>
        <c:lblAlgn val="ctr"/>
        <c:lblOffset val="100"/>
        <c:noMultiLvlLbl val="0"/>
      </c:catAx>
      <c:valAx>
        <c:axId val="28614938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50000"/>
                    <a:lumOff val="50000"/>
                  </a:schemeClr>
                </a:solidFill>
                <a:latin typeface="+mn-lt"/>
                <a:ea typeface="+mn-ea"/>
                <a:cs typeface="+mn-cs"/>
              </a:defRPr>
            </a:pPr>
          </a:p>
        </c:txPr>
        <c:crossAx val="5765274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4925145126795"/>
          <c:y val="0.0645808263136783"/>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[决算公开画图2024.xlsx]Sheet1!$A$72:$A$75</c:f>
              <c:strCache>
                <c:ptCount val="4"/>
                <c:pt idx="0">
                  <c:v>文化旅游体育与传媒支出</c:v>
                </c:pt>
                <c:pt idx="1">
                  <c:v>社会保障和就业支出</c:v>
                </c:pt>
                <c:pt idx="2">
                  <c:v>卫生健康支出</c:v>
                </c:pt>
                <c:pt idx="3">
                  <c:v>住房保障支出</c:v>
                </c:pt>
              </c:strCache>
            </c:strRef>
          </c:cat>
          <c:val>
            <c:numRef>
              <c:f>[决算公开画图2024.xlsx]Sheet1!$B$72:$B$75</c:f>
              <c:numCache>
                <c:formatCode>General</c:formatCode>
                <c:ptCount val="4"/>
                <c:pt idx="0">
                  <c:v>3020.35</c:v>
                </c:pt>
                <c:pt idx="1">
                  <c:v>91.48</c:v>
                </c:pt>
                <c:pt idx="2">
                  <c:v>37.24</c:v>
                </c:pt>
                <c:pt idx="3">
                  <c:v>50.75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[决算公开画图2024.xlsx]Sheet1!$D$72:$D$74</c:f>
              <c:strCache>
                <c:ptCount val="3"/>
                <c:pt idx="0">
                  <c:v>因公出国（境）费支出</c:v>
                </c:pt>
                <c:pt idx="1">
                  <c:v>公务用车购置及运行维护费支出</c:v>
                </c:pt>
                <c:pt idx="2">
                  <c:v>公务接待费支出</c:v>
                </c:pt>
              </c:strCache>
            </c:strRef>
          </c:cat>
          <c:val>
            <c:numRef>
              <c:f>[决算公开画图2024.xlsx]Sheet1!$E$72:$E$74</c:f>
              <c:numCache>
                <c:formatCode>General</c:formatCode>
                <c:ptCount val="3"/>
                <c:pt idx="0">
                  <c:v>0</c:v>
                </c:pt>
                <c:pt idx="1">
                  <c:v>2.4</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54</Pages>
  <Words>24141</Words>
  <Characters>25433</Characters>
  <Lines>61</Lines>
  <Paragraphs>17</Paragraphs>
  <TotalTime>6</TotalTime>
  <ScaleCrop>false</ScaleCrop>
  <LinksUpToDate>false</LinksUpToDate>
  <CharactersWithSpaces>25542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sunshine •</cp:lastModifiedBy>
  <cp:lastPrinted>2025-10-09T07:54:00Z</cp:lastPrinted>
  <dcterms:modified xsi:type="dcterms:W3CDTF">2026-10-12T07:28:47Z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F1929188995147F0859B66922C7063EF_13</vt:lpwstr>
  </property>
  <property fmtid="{D5CDD505-2E9C-101B-9397-08002B2CF9AE}" pid="4" name="KSOTemplateDocerSaveRecord">
    <vt:lpwstr>eyJoZGlkIjoiNmYwOTlmOGYxOTNjOTZhMTkxYzQ4NzI4MjgxOWE2Y2QiLCJ1c2VySWQiOiI3NDI4NzQ5NzYifQ==</vt:lpwstr>
  </property>
</Properties>
</file>