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9"/>
        <w:rPr>
          <w:rFonts w:ascii="微软雅黑" w:hAnsi="宋体" w:eastAsia="微软雅黑"/>
          <w:color w:val="auto"/>
          <w:sz w:val="72"/>
          <w:szCs w:val="72"/>
          <w:highlight w:val="none"/>
        </w:rPr>
      </w:pPr>
      <w:bookmarkStart w:id="0" w:name="_Toc15377193"/>
      <w:bookmarkStart w:id="1" w:name="_Toc15396475"/>
      <w:bookmarkStart w:id="2" w:name="_Toc15378441"/>
      <w:bookmarkStart w:id="3" w:name="_Toc15396597"/>
      <w:bookmarkStart w:id="4" w:name="_Toc15377425"/>
      <w:bookmarkStart w:id="5" w:name="_Toc15306267"/>
    </w:p>
    <w:p>
      <w:pPr>
        <w:spacing w:line="600" w:lineRule="exact"/>
        <w:jc w:val="center"/>
        <w:outlineLvl w:val="9"/>
        <w:rPr>
          <w:rFonts w:ascii="微软雅黑" w:hAnsi="宋体" w:eastAsia="微软雅黑"/>
          <w:color w:val="auto"/>
          <w:sz w:val="72"/>
          <w:szCs w:val="72"/>
          <w:highlight w:val="none"/>
        </w:rPr>
      </w:pPr>
    </w:p>
    <w:p>
      <w:pPr>
        <w:spacing w:line="600" w:lineRule="exact"/>
        <w:jc w:val="center"/>
        <w:outlineLvl w:val="9"/>
        <w:rPr>
          <w:rFonts w:ascii="微软雅黑" w:hAnsi="宋体" w:eastAsia="微软雅黑"/>
          <w:color w:val="auto"/>
          <w:sz w:val="72"/>
          <w:szCs w:val="72"/>
          <w:highlight w:val="none"/>
        </w:rPr>
      </w:pPr>
    </w:p>
    <w:p>
      <w:pPr>
        <w:adjustRightInd w:val="0"/>
        <w:snapToGrid w:val="0"/>
        <w:spacing w:line="360" w:lineRule="auto"/>
        <w:jc w:val="center"/>
        <w:outlineLvl w:val="0"/>
        <w:rPr>
          <w:rFonts w:hint="eastAsia" w:ascii="微软雅黑" w:hAnsi="微软雅黑" w:eastAsia="微软雅黑" w:cs="微软雅黑"/>
          <w:color w:val="auto"/>
          <w:sz w:val="72"/>
          <w:szCs w:val="72"/>
          <w:highlight w:val="none"/>
        </w:rPr>
      </w:pPr>
      <w:bookmarkStart w:id="6" w:name="_Toc15024"/>
      <w:bookmarkStart w:id="7" w:name="_Toc21788"/>
      <w:r>
        <w:rPr>
          <w:rFonts w:hint="eastAsia" w:ascii="微软雅黑" w:hAnsi="微软雅黑" w:eastAsia="微软雅黑" w:cs="微软雅黑"/>
          <w:color w:val="auto"/>
          <w:sz w:val="72"/>
          <w:szCs w:val="72"/>
          <w:highlight w:val="none"/>
          <w:lang w:eastAsia="zh-CN"/>
        </w:rPr>
        <w:t>2025年</w:t>
      </w:r>
      <w:r>
        <w:rPr>
          <w:rFonts w:hint="eastAsia" w:ascii="微软雅黑" w:hAnsi="微软雅黑" w:eastAsia="微软雅黑" w:cs="微软雅黑"/>
          <w:color w:val="auto"/>
          <w:sz w:val="72"/>
          <w:szCs w:val="72"/>
          <w:highlight w:val="none"/>
        </w:rPr>
        <w:t>度</w:t>
      </w:r>
      <w:bookmarkEnd w:id="0"/>
      <w:bookmarkEnd w:id="1"/>
      <w:bookmarkEnd w:id="2"/>
      <w:bookmarkEnd w:id="3"/>
      <w:bookmarkEnd w:id="4"/>
      <w:bookmarkEnd w:id="6"/>
      <w:bookmarkEnd w:id="7"/>
    </w:p>
    <w:bookmarkEnd w:id="5"/>
    <w:p>
      <w:pPr>
        <w:jc w:val="center"/>
        <w:rPr>
          <w:rFonts w:ascii="微软雅黑" w:eastAsia="微软雅黑"/>
          <w:sz w:val="72"/>
          <w:szCs w:val="72"/>
        </w:rPr>
      </w:pPr>
      <w:bookmarkStart w:id="8" w:name="_Toc15378442"/>
      <w:bookmarkStart w:id="9" w:name="_Toc15377426"/>
      <w:bookmarkStart w:id="10" w:name="_Toc15396476"/>
      <w:bookmarkStart w:id="11" w:name="_Toc15396598"/>
      <w:bookmarkStart w:id="12" w:name="_Toc15377194"/>
      <w:r>
        <w:rPr>
          <w:rFonts w:hint="eastAsia" w:ascii="微软雅黑" w:eastAsia="微软雅黑"/>
          <w:sz w:val="72"/>
          <w:szCs w:val="72"/>
        </w:rPr>
        <w:t>四川省阿坝州</w:t>
      </w:r>
      <w:bookmarkStart w:id="13" w:name="_Toc15306268"/>
      <w:r>
        <w:rPr>
          <w:rFonts w:hint="eastAsia" w:ascii="微软雅黑" w:eastAsia="微软雅黑"/>
          <w:sz w:val="72"/>
          <w:szCs w:val="72"/>
        </w:rPr>
        <w:t>小金县</w:t>
      </w:r>
      <w:r>
        <w:rPr>
          <w:rFonts w:hint="eastAsia" w:ascii="微软雅黑" w:eastAsia="微软雅黑"/>
          <w:sz w:val="72"/>
          <w:szCs w:val="72"/>
          <w:lang w:eastAsia="zh-CN"/>
        </w:rPr>
        <w:t>文化广播电视体育和旅游局</w:t>
      </w:r>
      <w:r>
        <w:rPr>
          <w:rFonts w:hint="eastAsia" w:ascii="微软雅黑" w:eastAsia="微软雅黑"/>
          <w:sz w:val="72"/>
          <w:szCs w:val="72"/>
        </w:rPr>
        <w:t>(本级）</w:t>
      </w:r>
      <w:r>
        <w:rPr>
          <w:rFonts w:hint="eastAsia" w:ascii="微软雅黑" w:eastAsia="微软雅黑"/>
          <w:sz w:val="72"/>
          <w:szCs w:val="72"/>
          <w:lang w:eastAsia="zh-CN"/>
        </w:rPr>
        <w:t>单位</w:t>
      </w:r>
      <w:r>
        <w:rPr>
          <w:rFonts w:hint="eastAsia" w:ascii="微软雅黑" w:eastAsia="微软雅黑"/>
          <w:sz w:val="72"/>
          <w:szCs w:val="72"/>
        </w:rPr>
        <w:t>决算</w:t>
      </w:r>
      <w:bookmarkEnd w:id="8"/>
      <w:bookmarkEnd w:id="9"/>
      <w:bookmarkEnd w:id="10"/>
      <w:bookmarkEnd w:id="11"/>
      <w:bookmarkEnd w:id="12"/>
      <w:bookmarkEnd w:id="13"/>
    </w:p>
    <w:p>
      <w:pPr>
        <w:adjustRightInd w:val="0"/>
        <w:snapToGrid w:val="0"/>
        <w:spacing w:line="360" w:lineRule="auto"/>
        <w:jc w:val="center"/>
        <w:outlineLvl w:val="0"/>
        <w:rPr>
          <w:rFonts w:ascii="微软雅黑" w:hAnsi="宋体" w:eastAsia="微软雅黑"/>
          <w:color w:val="auto"/>
          <w:sz w:val="52"/>
          <w:szCs w:val="52"/>
          <w:highlight w:val="none"/>
        </w:rPr>
      </w:pPr>
      <w:bookmarkStart w:id="14" w:name="_Toc30840"/>
      <w:bookmarkStart w:id="15" w:name="_Toc320"/>
      <w:r>
        <w:rPr>
          <w:rFonts w:hint="eastAsia" w:ascii="微软雅黑" w:hAnsi="宋体" w:eastAsia="微软雅黑"/>
          <w:color w:val="auto"/>
          <w:sz w:val="52"/>
          <w:szCs w:val="52"/>
          <w:highlight w:val="none"/>
        </w:rPr>
        <w:t>(</w:t>
      </w:r>
      <w:r>
        <w:rPr>
          <w:rFonts w:hint="eastAsia" w:ascii="微软雅黑" w:hAnsi="宋体" w:eastAsia="微软雅黑"/>
          <w:color w:val="auto"/>
          <w:sz w:val="52"/>
          <w:szCs w:val="52"/>
          <w:highlight w:val="none"/>
          <w:lang w:eastAsia="zh-CN"/>
        </w:rPr>
        <w:t>单位公开</w:t>
      </w:r>
      <w:r>
        <w:rPr>
          <w:rFonts w:hint="eastAsia" w:ascii="微软雅黑" w:hAnsi="宋体" w:eastAsia="微软雅黑"/>
          <w:color w:val="auto"/>
          <w:sz w:val="52"/>
          <w:szCs w:val="52"/>
          <w:highlight w:val="none"/>
        </w:rPr>
        <w:t>)</w:t>
      </w:r>
      <w:bookmarkEnd w:id="14"/>
      <w:bookmarkEnd w:id="15"/>
    </w:p>
    <w:p>
      <w:pPr>
        <w:widowControl/>
        <w:jc w:val="center"/>
        <w:rPr>
          <w:rFonts w:hint="eastAsia" w:ascii="黑体" w:hAnsi="黑体" w:eastAsia="黑体"/>
          <w:color w:val="auto"/>
          <w:sz w:val="48"/>
          <w:szCs w:val="48"/>
          <w:highlight w:val="none"/>
        </w:rPr>
        <w:sectPr>
          <w:footerReference r:id="rId3" w:type="default"/>
          <w:pgSz w:w="11906" w:h="16838"/>
          <w:pgMar w:top="1440" w:right="1800" w:bottom="1440" w:left="1800" w:header="851" w:footer="992" w:gutter="0"/>
          <w:pgNumType w:start="1"/>
          <w:cols w:space="720" w:num="1"/>
          <w:docGrid w:type="lines" w:linePitch="312" w:charSpace="0"/>
        </w:sectPr>
      </w:pPr>
    </w:p>
    <w:p>
      <w:pPr>
        <w:widowControl/>
        <w:jc w:val="center"/>
        <w:rPr>
          <w:rFonts w:ascii="黑体" w:hAnsi="黑体" w:eastAsia="黑体"/>
          <w:color w:val="auto"/>
          <w:sz w:val="48"/>
          <w:szCs w:val="48"/>
          <w:highlight w:val="none"/>
        </w:rPr>
      </w:pPr>
      <w:r>
        <w:rPr>
          <w:rFonts w:hint="eastAsia" w:ascii="黑体" w:hAnsi="黑体" w:eastAsia="黑体"/>
          <w:color w:val="auto"/>
          <w:sz w:val="48"/>
          <w:szCs w:val="48"/>
          <w:highlight w:val="none"/>
        </w:rPr>
        <w:t>目录</w:t>
      </w:r>
    </w:p>
    <w:p>
      <w:pPr>
        <w:widowControl/>
        <w:jc w:val="center"/>
        <w:rPr>
          <w:rFonts w:ascii="黑体" w:hAnsi="黑体" w:eastAsia="黑体" w:cs="Times New Roman"/>
          <w:color w:val="auto"/>
          <w:sz w:val="28"/>
          <w:szCs w:val="28"/>
          <w:highlight w:val="none"/>
        </w:rPr>
      </w:pPr>
    </w:p>
    <w:p>
      <w:pPr>
        <w:pStyle w:val="14"/>
        <w:rPr>
          <w:color w:val="auto"/>
          <w:highlight w:val="none"/>
        </w:rPr>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lang w:eastAsia="zh-CN"/>
        </w:rPr>
        <w:t>年10月</w:t>
      </w:r>
      <w:r>
        <w:rPr>
          <w:rFonts w:hint="eastAsia"/>
          <w:color w:val="auto"/>
          <w:highlight w:val="none"/>
          <w:lang w:val="en-US" w:eastAsia="zh-CN"/>
        </w:rPr>
        <w:t>16</w:t>
      </w:r>
      <w:r>
        <w:rPr>
          <w:rFonts w:hint="eastAsia"/>
          <w:color w:val="auto"/>
          <w:highlight w:val="none"/>
          <w:lang w:eastAsia="zh-CN"/>
        </w:rPr>
        <w:t>日</w:t>
      </w:r>
    </w:p>
    <w:p>
      <w:pPr>
        <w:rPr>
          <w:color w:val="auto"/>
          <w:highlight w:val="none"/>
        </w:rPr>
      </w:pPr>
    </w:p>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14"/>
        <w:tabs>
          <w:tab w:val="right" w:leader="dot" w:pos="8306"/>
          <w:tab w:val="clear" w:pos="8296"/>
        </w:tabs>
      </w:pPr>
      <w:r>
        <w:fldChar w:fldCharType="begin"/>
      </w:r>
      <w:r>
        <w:instrText xml:space="preserve">TOC \o "1-2" \h \u </w:instrText>
      </w:r>
      <w:r>
        <w:fldChar w:fldCharType="separate"/>
      </w:r>
      <w:r>
        <w:fldChar w:fldCharType="begin"/>
      </w:r>
      <w:r>
        <w:instrText xml:space="preserve"> HYPERLINK \l _Toc21788 </w:instrText>
      </w:r>
      <w:r>
        <w:fldChar w:fldCharType="separate"/>
      </w:r>
      <w:r>
        <w:rPr>
          <w:rFonts w:hint="eastAsia" w:ascii="微软雅黑" w:hAnsi="微软雅黑" w:eastAsia="微软雅黑" w:cs="微软雅黑"/>
          <w:szCs w:val="72"/>
          <w:highlight w:val="none"/>
          <w:lang w:eastAsia="zh-CN"/>
        </w:rPr>
        <w:t>202</w:t>
      </w:r>
      <w:r>
        <w:rPr>
          <w:rFonts w:hint="eastAsia" w:ascii="微软雅黑" w:hAnsi="微软雅黑" w:eastAsia="微软雅黑" w:cs="微软雅黑"/>
          <w:szCs w:val="72"/>
          <w:highlight w:val="none"/>
          <w:lang w:val="en-US" w:eastAsia="zh-CN"/>
        </w:rPr>
        <w:t>6</w:t>
      </w:r>
      <w:r>
        <w:rPr>
          <w:rFonts w:hint="eastAsia" w:ascii="微软雅黑" w:hAnsi="微软雅黑" w:eastAsia="微软雅黑" w:cs="微软雅黑"/>
          <w:szCs w:val="72"/>
          <w:highlight w:val="none"/>
          <w:lang w:eastAsia="zh-CN"/>
        </w:rPr>
        <w:t>年</w:t>
      </w:r>
      <w:r>
        <w:rPr>
          <w:rFonts w:hint="eastAsia" w:ascii="微软雅黑" w:hAnsi="微软雅黑" w:eastAsia="微软雅黑" w:cs="微软雅黑"/>
          <w:szCs w:val="72"/>
          <w:highlight w:val="none"/>
        </w:rPr>
        <w:t>度</w:t>
      </w:r>
      <w:r>
        <w:tab/>
      </w:r>
      <w:r>
        <w:fldChar w:fldCharType="begin"/>
      </w:r>
      <w:r>
        <w:instrText xml:space="preserve"> PAGEREF _Toc21788 \h </w:instrText>
      </w:r>
      <w:r>
        <w:fldChar w:fldCharType="separate"/>
      </w:r>
      <w:r>
        <w:t>1</w:t>
      </w:r>
      <w:r>
        <w:fldChar w:fldCharType="end"/>
      </w:r>
      <w:r>
        <w:fldChar w:fldCharType="end"/>
      </w:r>
    </w:p>
    <w:p>
      <w:pPr>
        <w:pStyle w:val="14"/>
        <w:tabs>
          <w:tab w:val="right" w:leader="dot" w:pos="8306"/>
          <w:tab w:val="clear" w:pos="8296"/>
        </w:tabs>
      </w:pPr>
      <w:r>
        <w:fldChar w:fldCharType="begin"/>
      </w:r>
      <w:r>
        <w:instrText xml:space="preserve"> HYPERLINK \l _Toc320 </w:instrText>
      </w:r>
      <w:r>
        <w:fldChar w:fldCharType="separate"/>
      </w:r>
      <w:r>
        <w:rPr>
          <w:rFonts w:hint="eastAsia" w:ascii="微软雅黑" w:hAnsi="宋体" w:eastAsia="微软雅黑"/>
          <w:szCs w:val="52"/>
          <w:highlight w:val="none"/>
        </w:rPr>
        <w:t>(</w:t>
      </w:r>
      <w:r>
        <w:rPr>
          <w:rFonts w:hint="eastAsia" w:ascii="微软雅黑" w:hAnsi="宋体" w:eastAsia="微软雅黑"/>
          <w:szCs w:val="52"/>
          <w:highlight w:val="none"/>
          <w:lang w:eastAsia="zh-CN"/>
        </w:rPr>
        <w:t>部门公开</w:t>
      </w:r>
      <w:r>
        <w:rPr>
          <w:rFonts w:hint="eastAsia" w:ascii="微软雅黑" w:hAnsi="宋体" w:eastAsia="微软雅黑"/>
          <w:szCs w:val="52"/>
          <w:highlight w:val="none"/>
        </w:rPr>
        <w:t>)</w:t>
      </w:r>
      <w:r>
        <w:tab/>
      </w:r>
      <w:r>
        <w:fldChar w:fldCharType="begin"/>
      </w:r>
      <w:r>
        <w:instrText xml:space="preserve"> PAGEREF _Toc320 \h </w:instrText>
      </w:r>
      <w:r>
        <w:fldChar w:fldCharType="separate"/>
      </w:r>
      <w:r>
        <w:t>1</w:t>
      </w:r>
      <w:r>
        <w:fldChar w:fldCharType="end"/>
      </w:r>
      <w:r>
        <w:fldChar w:fldCharType="end"/>
      </w:r>
    </w:p>
    <w:p>
      <w:pPr>
        <w:pStyle w:val="14"/>
        <w:tabs>
          <w:tab w:val="right" w:leader="dot" w:pos="8306"/>
          <w:tab w:val="clear" w:pos="8296"/>
        </w:tabs>
      </w:pPr>
      <w:r>
        <w:fldChar w:fldCharType="begin"/>
      </w:r>
      <w:r>
        <w:instrText xml:space="preserve"> HYPERLINK \l _Toc14862 </w:instrText>
      </w:r>
      <w:r>
        <w:fldChar w:fldCharType="separate"/>
      </w:r>
      <w:r>
        <w:rPr>
          <w:rFonts w:hint="eastAsia" w:ascii="黑体" w:hAnsi="黑体" w:eastAsia="黑体"/>
          <w:highlight w:val="none"/>
        </w:rPr>
        <w:t xml:space="preserve">第一部分 </w:t>
      </w:r>
      <w:r>
        <w:rPr>
          <w:rFonts w:hint="eastAsia" w:ascii="黑体" w:hAnsi="黑体" w:eastAsia="黑体"/>
          <w:bCs w:val="0"/>
          <w:highlight w:val="none"/>
        </w:rPr>
        <w:t>部门概况</w:t>
      </w:r>
      <w:r>
        <w:tab/>
      </w:r>
      <w:r>
        <w:fldChar w:fldCharType="begin"/>
      </w:r>
      <w:r>
        <w:instrText xml:space="preserve"> PAGEREF _Toc14862 \h </w:instrText>
      </w:r>
      <w:r>
        <w:fldChar w:fldCharType="separate"/>
      </w:r>
      <w:r>
        <w:t>1</w:t>
      </w:r>
      <w:r>
        <w:fldChar w:fldCharType="end"/>
      </w:r>
      <w:r>
        <w:fldChar w:fldCharType="end"/>
      </w:r>
    </w:p>
    <w:p>
      <w:pPr>
        <w:pStyle w:val="16"/>
        <w:tabs>
          <w:tab w:val="right" w:leader="dot" w:pos="8306"/>
          <w:tab w:val="clear" w:pos="8296"/>
        </w:tabs>
      </w:pPr>
      <w:r>
        <w:fldChar w:fldCharType="begin"/>
      </w:r>
      <w:r>
        <w:instrText xml:space="preserve"> HYPERLINK \l _Toc16415 </w:instrText>
      </w:r>
      <w:r>
        <w:fldChar w:fldCharType="separate"/>
      </w:r>
      <w:r>
        <w:rPr>
          <w:rFonts w:hint="eastAsia" w:ascii="黑体" w:hAnsi="黑体" w:eastAsia="黑体"/>
          <w:lang w:eastAsia="zh-CN"/>
        </w:rPr>
        <w:t xml:space="preserve">一、 </w:t>
      </w:r>
      <w:r>
        <w:rPr>
          <w:rFonts w:hint="eastAsia" w:ascii="黑体" w:hAnsi="黑体" w:eastAsia="黑体"/>
          <w:highlight w:val="none"/>
          <w:lang w:eastAsia="zh-CN"/>
        </w:rPr>
        <w:t>部门职责</w:t>
      </w:r>
      <w:r>
        <w:tab/>
      </w:r>
      <w:r>
        <w:fldChar w:fldCharType="begin"/>
      </w:r>
      <w:r>
        <w:instrText xml:space="preserve"> PAGEREF _Toc16415 \h </w:instrText>
      </w:r>
      <w:r>
        <w:fldChar w:fldCharType="separate"/>
      </w:r>
      <w:r>
        <w:t>1</w:t>
      </w:r>
      <w:r>
        <w:fldChar w:fldCharType="end"/>
      </w:r>
      <w:r>
        <w:fldChar w:fldCharType="end"/>
      </w:r>
    </w:p>
    <w:p>
      <w:pPr>
        <w:pStyle w:val="16"/>
        <w:tabs>
          <w:tab w:val="right" w:leader="dot" w:pos="8306"/>
          <w:tab w:val="clear" w:pos="8296"/>
        </w:tabs>
      </w:pPr>
      <w:r>
        <w:fldChar w:fldCharType="begin"/>
      </w:r>
      <w:r>
        <w:instrText xml:space="preserve"> HYPERLINK \l _Toc9197 </w:instrText>
      </w:r>
      <w:r>
        <w:fldChar w:fldCharType="separate"/>
      </w:r>
      <w:r>
        <w:rPr>
          <w:rFonts w:hint="eastAsia" w:ascii="仿宋" w:hAnsi="仿宋" w:eastAsia="仿宋"/>
        </w:rPr>
        <w:t>（一）主要职能</w:t>
      </w:r>
      <w:r>
        <w:tab/>
      </w:r>
      <w:r>
        <w:fldChar w:fldCharType="begin"/>
      </w:r>
      <w:r>
        <w:instrText xml:space="preserve"> PAGEREF _Toc9197 \h </w:instrText>
      </w:r>
      <w:r>
        <w:fldChar w:fldCharType="separate"/>
      </w:r>
      <w:r>
        <w:t>1</w:t>
      </w:r>
      <w:r>
        <w:fldChar w:fldCharType="end"/>
      </w:r>
      <w:r>
        <w:fldChar w:fldCharType="end"/>
      </w:r>
    </w:p>
    <w:p>
      <w:pPr>
        <w:pStyle w:val="16"/>
        <w:tabs>
          <w:tab w:val="right" w:leader="dot" w:pos="8306"/>
          <w:tab w:val="clear" w:pos="8296"/>
        </w:tabs>
      </w:pPr>
      <w:r>
        <w:fldChar w:fldCharType="begin"/>
      </w:r>
      <w:r>
        <w:instrText xml:space="preserve"> HYPERLINK \l _Toc9197 </w:instrText>
      </w:r>
      <w:r>
        <w:fldChar w:fldCharType="separate"/>
      </w:r>
      <w:r>
        <w:rPr>
          <w:rFonts w:hint="eastAsia" w:ascii="仿宋" w:hAnsi="仿宋" w:eastAsia="仿宋"/>
        </w:rPr>
        <w:t>（</w:t>
      </w:r>
      <w:r>
        <w:rPr>
          <w:rFonts w:hint="eastAsia" w:ascii="仿宋" w:hAnsi="仿宋" w:eastAsia="仿宋"/>
          <w:lang w:eastAsia="zh-CN"/>
        </w:rPr>
        <w:t>二</w:t>
      </w:r>
      <w:r>
        <w:rPr>
          <w:rFonts w:hint="eastAsia" w:ascii="仿宋" w:hAnsi="仿宋" w:eastAsia="仿宋"/>
        </w:rPr>
        <w:t>）当年取得的主要事业成效</w:t>
      </w:r>
      <w:r>
        <w:tab/>
      </w:r>
      <w:r>
        <w:rPr>
          <w:rFonts w:hint="eastAsia"/>
          <w:lang w:val="en-US" w:eastAsia="zh-CN"/>
        </w:rPr>
        <w:t>1</w:t>
      </w:r>
      <w:r>
        <w:fldChar w:fldCharType="end"/>
      </w:r>
    </w:p>
    <w:p>
      <w:pPr>
        <w:pStyle w:val="16"/>
        <w:tabs>
          <w:tab w:val="right" w:leader="dot" w:pos="8306"/>
          <w:tab w:val="clear" w:pos="8296"/>
        </w:tabs>
      </w:pPr>
      <w:r>
        <w:fldChar w:fldCharType="begin"/>
      </w:r>
      <w:r>
        <w:instrText xml:space="preserve"> HYPERLINK \l _Toc16439 </w:instrText>
      </w:r>
      <w:r>
        <w:fldChar w:fldCharType="separate"/>
      </w:r>
      <w:r>
        <w:rPr>
          <w:rFonts w:hint="eastAsia" w:ascii="黑体" w:eastAsia="黑体"/>
          <w:highlight w:val="none"/>
        </w:rPr>
        <w:t>二、</w:t>
      </w:r>
      <w:r>
        <w:rPr>
          <w:rFonts w:hint="eastAsia" w:ascii="黑体" w:hAnsi="黑体" w:eastAsia="黑体"/>
          <w:highlight w:val="none"/>
        </w:rPr>
        <w:t>机</w:t>
      </w:r>
      <w:r>
        <w:rPr>
          <w:rFonts w:hint="eastAsia" w:ascii="黑体" w:hAnsi="黑体" w:eastAsia="黑体"/>
          <w:bCs w:val="0"/>
          <w:highlight w:val="none"/>
        </w:rPr>
        <w:t>构设置</w:t>
      </w:r>
      <w:r>
        <w:tab/>
      </w:r>
      <w:r>
        <w:rPr>
          <w:rFonts w:hint="eastAsia"/>
          <w:lang w:val="en-US" w:eastAsia="zh-CN"/>
        </w:rPr>
        <w:t>2</w:t>
      </w:r>
      <w:r>
        <w:fldChar w:fldCharType="end"/>
      </w:r>
    </w:p>
    <w:p>
      <w:pPr>
        <w:pStyle w:val="14"/>
        <w:tabs>
          <w:tab w:val="right" w:leader="dot" w:pos="8306"/>
          <w:tab w:val="clear" w:pos="8296"/>
        </w:tabs>
      </w:pPr>
      <w:r>
        <w:fldChar w:fldCharType="begin"/>
      </w:r>
      <w:r>
        <w:instrText xml:space="preserve"> HYPERLINK \l _Toc22317 </w:instrText>
      </w:r>
      <w:r>
        <w:fldChar w:fldCharType="separate"/>
      </w:r>
      <w:r>
        <w:rPr>
          <w:rFonts w:hint="eastAsia" w:ascii="黑体" w:hAnsi="黑体" w:eastAsia="黑体"/>
          <w:bCs/>
          <w:highlight w:val="none"/>
        </w:rPr>
        <w:t xml:space="preserve">第二部分 </w:t>
      </w:r>
      <w:r>
        <w:rPr>
          <w:rFonts w:hint="eastAsia" w:ascii="黑体" w:hAnsi="黑体" w:eastAsia="黑体"/>
          <w:bCs/>
          <w:highlight w:val="none"/>
          <w:lang w:val="en-US" w:eastAsia="zh-CN"/>
        </w:rPr>
        <w:t>2025年度</w:t>
      </w:r>
      <w:r>
        <w:rPr>
          <w:rFonts w:hint="eastAsia" w:ascii="黑体" w:hAnsi="黑体" w:eastAsia="黑体"/>
          <w:bCs/>
          <w:highlight w:val="none"/>
        </w:rPr>
        <w:t>部门决算情况说明</w:t>
      </w:r>
      <w:r>
        <w:tab/>
      </w:r>
      <w:r>
        <w:fldChar w:fldCharType="begin"/>
      </w:r>
      <w:r>
        <w:instrText xml:space="preserve"> PAGEREF _Toc22317 \h </w:instrText>
      </w:r>
      <w:r>
        <w:fldChar w:fldCharType="separate"/>
      </w:r>
      <w:r>
        <w:t>4</w:t>
      </w:r>
      <w:r>
        <w:fldChar w:fldCharType="end"/>
      </w:r>
      <w:r>
        <w:fldChar w:fldCharType="end"/>
      </w:r>
    </w:p>
    <w:p>
      <w:pPr>
        <w:pStyle w:val="16"/>
        <w:tabs>
          <w:tab w:val="right" w:leader="dot" w:pos="8306"/>
          <w:tab w:val="clear" w:pos="8296"/>
        </w:tabs>
      </w:pPr>
      <w:r>
        <w:fldChar w:fldCharType="begin"/>
      </w:r>
      <w:r>
        <w:instrText xml:space="preserve"> HYPERLINK \l _Toc17918 </w:instrText>
      </w:r>
      <w:r>
        <w:fldChar w:fldCharType="separate"/>
      </w:r>
      <w:r>
        <w:rPr>
          <w:rFonts w:hint="default" w:ascii="黑体" w:hAnsi="黑体" w:eastAsia="黑体"/>
        </w:rPr>
        <w:t xml:space="preserve">一、 </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fldChar w:fldCharType="begin"/>
      </w:r>
      <w:r>
        <w:instrText xml:space="preserve"> PAGEREF _Toc17918 \h </w:instrText>
      </w:r>
      <w:r>
        <w:fldChar w:fldCharType="separate"/>
      </w:r>
      <w:r>
        <w:t>4</w:t>
      </w:r>
      <w:r>
        <w:fldChar w:fldCharType="end"/>
      </w:r>
      <w:r>
        <w:fldChar w:fldCharType="end"/>
      </w:r>
    </w:p>
    <w:p>
      <w:pPr>
        <w:pStyle w:val="16"/>
        <w:tabs>
          <w:tab w:val="right" w:leader="dot" w:pos="8306"/>
          <w:tab w:val="clear" w:pos="8296"/>
        </w:tabs>
      </w:pPr>
      <w:r>
        <w:fldChar w:fldCharType="begin"/>
      </w:r>
      <w:r>
        <w:instrText xml:space="preserve"> HYPERLINK \l _Toc23193 </w:instrText>
      </w:r>
      <w:r>
        <w:fldChar w:fldCharType="separate"/>
      </w:r>
      <w:r>
        <w:rPr>
          <w:rFonts w:hint="default" w:ascii="黑体" w:hAnsi="黑体" w:eastAsia="黑体"/>
        </w:rPr>
        <w:t xml:space="preserve">二、 </w:t>
      </w:r>
      <w:r>
        <w:rPr>
          <w:rFonts w:hint="eastAsia" w:ascii="黑体" w:hAnsi="黑体" w:eastAsia="黑体"/>
          <w:szCs w:val="32"/>
          <w:highlight w:val="none"/>
        </w:rPr>
        <w:t>收</w:t>
      </w:r>
      <w:r>
        <w:rPr>
          <w:rFonts w:hint="eastAsia" w:ascii="黑体" w:hAnsi="黑体" w:eastAsia="黑体"/>
          <w:highlight w:val="none"/>
        </w:rPr>
        <w:t>入决算情况说明</w:t>
      </w:r>
      <w:r>
        <w:tab/>
      </w:r>
      <w:r>
        <w:fldChar w:fldCharType="begin"/>
      </w:r>
      <w:r>
        <w:instrText xml:space="preserve"> PAGEREF _Toc23193 \h </w:instrText>
      </w:r>
      <w:r>
        <w:fldChar w:fldCharType="separate"/>
      </w:r>
      <w:r>
        <w:t>4</w:t>
      </w:r>
      <w:r>
        <w:fldChar w:fldCharType="end"/>
      </w:r>
      <w:r>
        <w:fldChar w:fldCharType="end"/>
      </w:r>
    </w:p>
    <w:p>
      <w:pPr>
        <w:pStyle w:val="16"/>
        <w:tabs>
          <w:tab w:val="right" w:leader="dot" w:pos="8306"/>
          <w:tab w:val="clear" w:pos="8296"/>
        </w:tabs>
      </w:pPr>
      <w:r>
        <w:fldChar w:fldCharType="begin"/>
      </w:r>
      <w:r>
        <w:instrText xml:space="preserve"> HYPERLINK \l _Toc7869 </w:instrText>
      </w:r>
      <w:r>
        <w:fldChar w:fldCharType="separate"/>
      </w:r>
      <w:r>
        <w:rPr>
          <w:rFonts w:hint="default" w:ascii="黑体" w:hAnsi="黑体" w:eastAsia="黑体"/>
        </w:rPr>
        <w:t xml:space="preserve">三、 </w:t>
      </w:r>
      <w:r>
        <w:rPr>
          <w:rFonts w:hint="eastAsia" w:ascii="黑体" w:hAnsi="黑体" w:eastAsia="黑体"/>
          <w:szCs w:val="32"/>
          <w:highlight w:val="none"/>
        </w:rPr>
        <w:t>支</w:t>
      </w:r>
      <w:r>
        <w:rPr>
          <w:rFonts w:hint="eastAsia" w:ascii="黑体" w:hAnsi="黑体" w:eastAsia="黑体"/>
          <w:highlight w:val="none"/>
        </w:rPr>
        <w:t>出决算情况说明</w:t>
      </w:r>
      <w:r>
        <w:tab/>
      </w:r>
      <w:r>
        <w:fldChar w:fldCharType="begin"/>
      </w:r>
      <w:r>
        <w:instrText xml:space="preserve"> PAGEREF _Toc7869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_Toc9 </w:instrText>
      </w:r>
      <w:r>
        <w:fldChar w:fldCharType="separate"/>
      </w:r>
      <w:r>
        <w:rPr>
          <w:rFonts w:hint="default" w:ascii="黑体" w:hAnsi="黑体" w:eastAsia="黑体"/>
        </w:rPr>
        <w:t xml:space="preserve">四、 </w:t>
      </w:r>
      <w:r>
        <w:rPr>
          <w:rFonts w:hint="eastAsia" w:ascii="黑体" w:hAnsi="黑体" w:eastAsia="黑体"/>
          <w:szCs w:val="32"/>
          <w:highlight w:val="none"/>
        </w:rPr>
        <w:t>财</w:t>
      </w:r>
      <w:r>
        <w:rPr>
          <w:rFonts w:hint="eastAsia" w:ascii="黑体" w:hAnsi="黑体" w:eastAsia="黑体"/>
          <w:highlight w:val="none"/>
        </w:rPr>
        <w:t>政拨款收入支出决算总体情况说明</w:t>
      </w:r>
      <w:r>
        <w:tab/>
      </w:r>
      <w:r>
        <w:fldChar w:fldCharType="begin"/>
      </w:r>
      <w:r>
        <w:instrText xml:space="preserve"> PAGEREF _Toc9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_Toc17060 </w:instrText>
      </w:r>
      <w: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fldChar w:fldCharType="begin"/>
      </w:r>
      <w:r>
        <w:instrText xml:space="preserve"> PAGEREF _Toc17060 \h </w:instrText>
      </w:r>
      <w:r>
        <w:fldChar w:fldCharType="separate"/>
      </w:r>
      <w:r>
        <w:t>6</w:t>
      </w:r>
      <w:r>
        <w:fldChar w:fldCharType="end"/>
      </w:r>
      <w:r>
        <w:fldChar w:fldCharType="end"/>
      </w:r>
    </w:p>
    <w:p>
      <w:pPr>
        <w:pStyle w:val="16"/>
        <w:tabs>
          <w:tab w:val="right" w:leader="dot" w:pos="8306"/>
          <w:tab w:val="clear" w:pos="8296"/>
        </w:tabs>
      </w:pPr>
      <w:r>
        <w:fldChar w:fldCharType="begin"/>
      </w:r>
      <w:r>
        <w:instrText xml:space="preserve"> HYPERLINK \l _Toc1425 </w:instrText>
      </w:r>
      <w: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fldChar w:fldCharType="begin"/>
      </w:r>
      <w:r>
        <w:instrText xml:space="preserve"> PAGEREF _Toc1425 \h </w:instrText>
      </w:r>
      <w:r>
        <w:fldChar w:fldCharType="separate"/>
      </w:r>
      <w:r>
        <w:t>7</w:t>
      </w:r>
      <w:r>
        <w:fldChar w:fldCharType="end"/>
      </w:r>
      <w:r>
        <w:fldChar w:fldCharType="end"/>
      </w:r>
    </w:p>
    <w:p>
      <w:pPr>
        <w:pStyle w:val="16"/>
        <w:tabs>
          <w:tab w:val="right" w:leader="dot" w:pos="8306"/>
          <w:tab w:val="clear" w:pos="8296"/>
        </w:tabs>
      </w:pPr>
      <w:r>
        <w:fldChar w:fldCharType="begin"/>
      </w:r>
      <w:r>
        <w:instrText xml:space="preserve"> HYPERLINK \l _Toc29583 </w:instrText>
      </w:r>
      <w: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fldChar w:fldCharType="begin"/>
      </w:r>
      <w:r>
        <w:instrText xml:space="preserve"> PAGEREF _Toc29583 \h </w:instrText>
      </w:r>
      <w:r>
        <w:fldChar w:fldCharType="separate"/>
      </w:r>
      <w:r>
        <w:t>8</w:t>
      </w:r>
      <w:r>
        <w:fldChar w:fldCharType="end"/>
      </w:r>
      <w:r>
        <w:fldChar w:fldCharType="end"/>
      </w:r>
    </w:p>
    <w:p>
      <w:pPr>
        <w:pStyle w:val="16"/>
        <w:tabs>
          <w:tab w:val="right" w:leader="dot" w:pos="8306"/>
          <w:tab w:val="clear" w:pos="8296"/>
        </w:tabs>
      </w:pPr>
      <w:r>
        <w:fldChar w:fldCharType="begin"/>
      </w:r>
      <w:r>
        <w:instrText xml:space="preserve"> HYPERLINK \l _Toc30899 </w:instrText>
      </w:r>
      <w: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fldChar w:fldCharType="begin"/>
      </w:r>
      <w:r>
        <w:instrText xml:space="preserve"> PAGEREF _Toc30899 \h </w:instrText>
      </w:r>
      <w:r>
        <w:fldChar w:fldCharType="separate"/>
      </w:r>
      <w:r>
        <w:t>9</w:t>
      </w:r>
      <w:r>
        <w:fldChar w:fldCharType="end"/>
      </w:r>
      <w:r>
        <w:fldChar w:fldCharType="end"/>
      </w:r>
    </w:p>
    <w:p>
      <w:pPr>
        <w:pStyle w:val="16"/>
        <w:tabs>
          <w:tab w:val="right" w:leader="dot" w:pos="8306"/>
          <w:tab w:val="clear" w:pos="8296"/>
        </w:tabs>
      </w:pPr>
      <w:r>
        <w:fldChar w:fldCharType="begin"/>
      </w:r>
      <w:r>
        <w:instrText xml:space="preserve"> HYPERLINK \l _Toc24990 </w:instrText>
      </w:r>
      <w:r>
        <w:fldChar w:fldCharType="separate"/>
      </w:r>
      <w:r>
        <w:rPr>
          <w:rFonts w:hint="eastAsia" w:ascii="黑体" w:hAnsi="黑体" w:eastAsia="黑体"/>
        </w:rPr>
        <w:t xml:space="preserve">九、 </w:t>
      </w:r>
      <w:r>
        <w:rPr>
          <w:rFonts w:hint="eastAsia" w:ascii="黑体" w:hAnsi="黑体" w:eastAsia="黑体"/>
          <w:highlight w:val="none"/>
        </w:rPr>
        <w:t>国有资本经营预算支出决算情况说明</w:t>
      </w:r>
      <w:r>
        <w:tab/>
      </w:r>
      <w:r>
        <w:fldChar w:fldCharType="begin"/>
      </w:r>
      <w:r>
        <w:instrText xml:space="preserve"> PAGEREF _Toc24990 \h </w:instrText>
      </w:r>
      <w:r>
        <w:fldChar w:fldCharType="separate"/>
      </w:r>
      <w:r>
        <w:t>9</w:t>
      </w:r>
      <w:r>
        <w:fldChar w:fldCharType="end"/>
      </w:r>
      <w:r>
        <w:fldChar w:fldCharType="end"/>
      </w:r>
    </w:p>
    <w:p>
      <w:pPr>
        <w:pStyle w:val="16"/>
        <w:tabs>
          <w:tab w:val="right" w:leader="dot" w:pos="8306"/>
          <w:tab w:val="clear" w:pos="8296"/>
        </w:tabs>
      </w:pPr>
      <w:r>
        <w:fldChar w:fldCharType="begin"/>
      </w:r>
      <w:r>
        <w:instrText xml:space="preserve"> HYPERLINK \l _Toc19655 </w:instrText>
      </w:r>
      <w:r>
        <w:fldChar w:fldCharType="separate"/>
      </w:r>
      <w:r>
        <w:rPr>
          <w:rFonts w:hint="eastAsia" w:ascii="黑体" w:hAnsi="黑体" w:eastAsia="黑体"/>
        </w:rPr>
        <w:t xml:space="preserve">十、 </w:t>
      </w:r>
      <w:r>
        <w:rPr>
          <w:rFonts w:hint="eastAsia" w:ascii="黑体" w:hAnsi="黑体" w:eastAsia="黑体"/>
          <w:highlight w:val="none"/>
        </w:rPr>
        <w:t>其他重要事项的情况说明</w:t>
      </w:r>
      <w:r>
        <w:tab/>
      </w:r>
      <w:r>
        <w:fldChar w:fldCharType="begin"/>
      </w:r>
      <w:r>
        <w:instrText xml:space="preserve"> PAGEREF _Toc19655 \h </w:instrText>
      </w:r>
      <w:r>
        <w:fldChar w:fldCharType="separate"/>
      </w:r>
      <w:r>
        <w:t>10</w:t>
      </w:r>
      <w:r>
        <w:fldChar w:fldCharType="end"/>
      </w:r>
      <w:r>
        <w:fldChar w:fldCharType="end"/>
      </w:r>
    </w:p>
    <w:p>
      <w:pPr>
        <w:pStyle w:val="14"/>
        <w:tabs>
          <w:tab w:val="right" w:leader="dot" w:pos="8306"/>
          <w:tab w:val="clear" w:pos="8296"/>
        </w:tabs>
      </w:pPr>
      <w:r>
        <w:fldChar w:fldCharType="begin"/>
      </w:r>
      <w:r>
        <w:instrText xml:space="preserve"> HYPERLINK \l _Toc11452 </w:instrText>
      </w:r>
      <w:r>
        <w:fldChar w:fldCharType="separate"/>
      </w:r>
      <w:r>
        <w:rPr>
          <w:rFonts w:hint="eastAsia" w:ascii="黑体" w:hAnsi="黑体" w:eastAsia="黑体"/>
        </w:rPr>
        <w:t xml:space="preserve">第三部分 </w:t>
      </w:r>
      <w:r>
        <w:rPr>
          <w:rFonts w:hint="eastAsia" w:ascii="黑体" w:hAnsi="黑体" w:eastAsia="黑体"/>
          <w:szCs w:val="44"/>
          <w:highlight w:val="none"/>
        </w:rPr>
        <w:t>名</w:t>
      </w:r>
      <w:r>
        <w:rPr>
          <w:rFonts w:hint="eastAsia" w:ascii="黑体" w:hAnsi="黑体" w:eastAsia="黑体"/>
          <w:highlight w:val="none"/>
        </w:rPr>
        <w:t>词解释</w:t>
      </w:r>
      <w:r>
        <w:tab/>
      </w:r>
      <w:r>
        <w:fldChar w:fldCharType="begin"/>
      </w:r>
      <w:r>
        <w:instrText xml:space="preserve"> PAGEREF _Toc11452 \h </w:instrText>
      </w:r>
      <w:r>
        <w:fldChar w:fldCharType="separate"/>
      </w:r>
      <w:r>
        <w:t>11</w:t>
      </w:r>
      <w:r>
        <w:fldChar w:fldCharType="end"/>
      </w:r>
      <w:r>
        <w:fldChar w:fldCharType="end"/>
      </w:r>
    </w:p>
    <w:p>
      <w:pPr>
        <w:pStyle w:val="14"/>
        <w:tabs>
          <w:tab w:val="right" w:leader="dot" w:pos="8306"/>
          <w:tab w:val="clear" w:pos="8296"/>
        </w:tabs>
      </w:pPr>
      <w:r>
        <w:fldChar w:fldCharType="begin"/>
      </w:r>
      <w:r>
        <w:instrText xml:space="preserve"> HYPERLINK \l _Toc12031 </w:instrText>
      </w:r>
      <w:r>
        <w:fldChar w:fldCharType="separate"/>
      </w:r>
      <w:r>
        <w:rPr>
          <w:rFonts w:hint="eastAsia" w:ascii="黑体" w:hAnsi="黑体" w:eastAsia="黑体"/>
          <w:szCs w:val="44"/>
          <w:highlight w:val="none"/>
        </w:rPr>
        <w:t>第</w:t>
      </w:r>
      <w:r>
        <w:rPr>
          <w:rFonts w:hint="eastAsia" w:ascii="黑体" w:hAnsi="黑体" w:eastAsia="黑体"/>
          <w:highlight w:val="none"/>
        </w:rPr>
        <w:t>四部分 附件</w:t>
      </w:r>
      <w:r>
        <w:tab/>
      </w:r>
      <w:r>
        <w:fldChar w:fldCharType="begin"/>
      </w:r>
      <w:r>
        <w:instrText xml:space="preserve"> PAGEREF _Toc12031 \h </w:instrText>
      </w:r>
      <w:r>
        <w:fldChar w:fldCharType="separate"/>
      </w:r>
      <w:r>
        <w:t>13</w:t>
      </w:r>
      <w:r>
        <w:fldChar w:fldCharType="end"/>
      </w:r>
      <w:r>
        <w:fldChar w:fldCharType="end"/>
      </w:r>
    </w:p>
    <w:p>
      <w:pPr>
        <w:keepNext w:val="0"/>
        <w:keepLines w:val="0"/>
        <w:pageBreakBefore w:val="0"/>
        <w:numPr>
          <w:ilvl w:val="0"/>
          <w:numId w:val="0"/>
        </w:numPr>
        <w:kinsoku/>
        <w:bidi w:val="0"/>
        <w:spacing w:line="500" w:lineRule="exact"/>
        <w:ind w:leftChars="150"/>
        <w:jc w:val="both"/>
        <w:outlineLvl w:val="0"/>
        <w:rPr>
          <w:rFonts w:hint="default" w:eastAsia="方正仿宋_GBK"/>
          <w:lang w:val="en-US" w:eastAsia="zh-CN"/>
        </w:rPr>
      </w:pPr>
      <w:r>
        <w:rPr>
          <w:rStyle w:val="23"/>
          <w:rFonts w:hint="eastAsia" w:ascii="方正仿宋_GBK" w:hAnsi="方正仿宋_GBK" w:eastAsia="方正仿宋_GBK" w:cs="方正仿宋_GBK"/>
          <w:b w:val="0"/>
          <w:color w:val="auto"/>
          <w:sz w:val="28"/>
          <w:szCs w:val="28"/>
          <w:highlight w:val="none"/>
        </w:rPr>
        <w:t>部门预算项目支出绩效自评表（2025年度）</w:t>
      </w:r>
      <w:r>
        <w:rPr>
          <w:rStyle w:val="23"/>
          <w:rFonts w:hint="eastAsia" w:ascii="方正仿宋_GBK" w:hAnsi="方正仿宋_GBK" w:eastAsia="方正仿宋_GBK" w:cs="方正仿宋_GBK"/>
          <w:b w:val="0"/>
          <w:color w:val="auto"/>
          <w:sz w:val="32"/>
          <w:szCs w:val="32"/>
          <w:highlight w:val="none"/>
          <w:lang w:val="en-US" w:eastAsia="zh-CN"/>
        </w:rPr>
        <w:t>.........................</w:t>
      </w:r>
      <w:r>
        <w:rPr>
          <w:rFonts w:hint="eastAsia" w:ascii="仿宋" w:hAnsi="仿宋" w:eastAsia="仿宋" w:cs="Times New Roman"/>
          <w:kern w:val="2"/>
          <w:sz w:val="28"/>
          <w:szCs w:val="28"/>
          <w:lang w:val="en-US" w:eastAsia="zh-CN" w:bidi="ar-SA"/>
        </w:rPr>
        <w:t>13</w:t>
      </w:r>
    </w:p>
    <w:p>
      <w:pPr>
        <w:pStyle w:val="14"/>
        <w:tabs>
          <w:tab w:val="right" w:leader="dot" w:pos="8306"/>
          <w:tab w:val="clear" w:pos="8296"/>
        </w:tabs>
      </w:pPr>
      <w:r>
        <w:fldChar w:fldCharType="begin"/>
      </w:r>
      <w:r>
        <w:instrText xml:space="preserve"> HYPERLINK \l _Toc5925 </w:instrText>
      </w:r>
      <w:r>
        <w:fldChar w:fldCharType="separate"/>
      </w:r>
      <w:r>
        <w:rPr>
          <w:rFonts w:hint="eastAsia" w:ascii="黑体" w:hAnsi="黑体" w:eastAsia="黑体"/>
          <w:szCs w:val="44"/>
          <w:highlight w:val="none"/>
        </w:rPr>
        <w:t>第</w:t>
      </w:r>
      <w:r>
        <w:rPr>
          <w:rFonts w:hint="eastAsia" w:ascii="黑体" w:hAnsi="黑体" w:eastAsia="黑体"/>
          <w:highlight w:val="none"/>
        </w:rPr>
        <w:t>五部分 附表</w:t>
      </w:r>
      <w:r>
        <w:tab/>
      </w:r>
      <w:r>
        <w:fldChar w:fldCharType="begin"/>
      </w:r>
      <w:r>
        <w:instrText xml:space="preserve"> PAGEREF _Toc5925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_Toc31231 </w:instrText>
      </w:r>
      <w:r>
        <w:fldChar w:fldCharType="separate"/>
      </w:r>
      <w:r>
        <w:rPr>
          <w:rFonts w:hint="eastAsia" w:ascii="仿宋" w:hAnsi="仿宋" w:eastAsia="仿宋"/>
          <w:highlight w:val="none"/>
        </w:rPr>
        <w:t>一、收</w:t>
      </w:r>
      <w:r>
        <w:rPr>
          <w:rFonts w:hint="eastAsia" w:ascii="仿宋" w:hAnsi="仿宋" w:eastAsia="仿宋"/>
          <w:bCs w:val="0"/>
          <w:highlight w:val="none"/>
        </w:rPr>
        <w:t>入支出决算总表</w:t>
      </w:r>
      <w:r>
        <w:tab/>
      </w:r>
      <w:r>
        <w:fldChar w:fldCharType="begin"/>
      </w:r>
      <w:r>
        <w:instrText xml:space="preserve"> PAGEREF _Toc31231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_Toc17510 </w:instrText>
      </w:r>
      <w:r>
        <w:fldChar w:fldCharType="separate"/>
      </w:r>
      <w:r>
        <w:rPr>
          <w:rFonts w:hint="eastAsia" w:ascii="仿宋" w:hAnsi="仿宋" w:eastAsia="仿宋"/>
          <w:highlight w:val="none"/>
        </w:rPr>
        <w:t>二、收</w:t>
      </w:r>
      <w:r>
        <w:rPr>
          <w:rFonts w:hint="eastAsia" w:ascii="仿宋" w:hAnsi="仿宋" w:eastAsia="仿宋"/>
          <w:bCs w:val="0"/>
          <w:highlight w:val="none"/>
        </w:rPr>
        <w:t>入决算表</w:t>
      </w:r>
      <w:r>
        <w:tab/>
      </w:r>
      <w:r>
        <w:fldChar w:fldCharType="begin"/>
      </w:r>
      <w:r>
        <w:instrText xml:space="preserve"> PAGEREF _Toc17510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_Toc12289 </w:instrText>
      </w:r>
      <w:r>
        <w:fldChar w:fldCharType="separate"/>
      </w:r>
      <w:r>
        <w:rPr>
          <w:rFonts w:hint="eastAsia" w:ascii="仿宋" w:hAnsi="仿宋" w:eastAsia="仿宋"/>
          <w:bCs w:val="0"/>
          <w:highlight w:val="none"/>
        </w:rPr>
        <w:t>三、</w:t>
      </w:r>
      <w:r>
        <w:rPr>
          <w:rFonts w:hint="eastAsia" w:ascii="仿宋" w:hAnsi="仿宋" w:eastAsia="仿宋"/>
          <w:highlight w:val="none"/>
        </w:rPr>
        <w:t>支</w:t>
      </w:r>
      <w:r>
        <w:rPr>
          <w:rFonts w:hint="eastAsia" w:ascii="仿宋" w:hAnsi="仿宋" w:eastAsia="仿宋"/>
          <w:bCs w:val="0"/>
          <w:highlight w:val="none"/>
        </w:rPr>
        <w:t>出决算表</w:t>
      </w:r>
      <w:r>
        <w:tab/>
      </w:r>
      <w:r>
        <w:fldChar w:fldCharType="begin"/>
      </w:r>
      <w:r>
        <w:instrText xml:space="preserve"> PAGEREF _Toc12289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_Toc25006 </w:instrText>
      </w:r>
      <w:r>
        <w:fldChar w:fldCharType="separate"/>
      </w:r>
      <w:r>
        <w:rPr>
          <w:rFonts w:hint="eastAsia" w:ascii="仿宋" w:hAnsi="仿宋" w:eastAsia="仿宋"/>
          <w:bCs w:val="0"/>
          <w:highlight w:val="none"/>
        </w:rPr>
        <w:t>四、</w:t>
      </w:r>
      <w:r>
        <w:rPr>
          <w:rFonts w:hint="eastAsia" w:ascii="仿宋" w:hAnsi="仿宋" w:eastAsia="仿宋"/>
          <w:highlight w:val="none"/>
        </w:rPr>
        <w:t>财</w:t>
      </w:r>
      <w:r>
        <w:rPr>
          <w:rFonts w:hint="eastAsia" w:ascii="仿宋" w:hAnsi="仿宋" w:eastAsia="仿宋"/>
          <w:bCs w:val="0"/>
          <w:highlight w:val="none"/>
        </w:rPr>
        <w:t>政拨款收入支出决算总表</w:t>
      </w:r>
      <w:r>
        <w:tab/>
      </w:r>
      <w:r>
        <w:fldChar w:fldCharType="begin"/>
      </w:r>
      <w:r>
        <w:instrText xml:space="preserve"> PAGEREF _Toc25006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_Toc12379 </w:instrText>
      </w:r>
      <w:r>
        <w:fldChar w:fldCharType="separate"/>
      </w:r>
      <w:r>
        <w:rPr>
          <w:rFonts w:hint="eastAsia" w:ascii="仿宋" w:hAnsi="仿宋" w:eastAsia="仿宋"/>
          <w:bCs w:val="0"/>
          <w:highlight w:val="none"/>
        </w:rPr>
        <w:t>五、</w:t>
      </w:r>
      <w:r>
        <w:rPr>
          <w:rFonts w:hint="eastAsia" w:ascii="仿宋" w:hAnsi="仿宋" w:eastAsia="仿宋"/>
          <w:highlight w:val="none"/>
        </w:rPr>
        <w:t>财</w:t>
      </w:r>
      <w:r>
        <w:rPr>
          <w:rFonts w:hint="eastAsia" w:ascii="仿宋" w:hAnsi="仿宋" w:eastAsia="仿宋"/>
          <w:bCs w:val="0"/>
          <w:highlight w:val="none"/>
        </w:rPr>
        <w:t>政拨款支出决算明细表</w:t>
      </w:r>
      <w:r>
        <w:tab/>
      </w:r>
      <w:r>
        <w:fldChar w:fldCharType="begin"/>
      </w:r>
      <w:r>
        <w:instrText xml:space="preserve"> PAGEREF _Toc12379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_Toc5544 </w:instrText>
      </w:r>
      <w:r>
        <w:fldChar w:fldCharType="separate"/>
      </w:r>
      <w:r>
        <w:rPr>
          <w:rFonts w:hint="eastAsia" w:ascii="仿宋" w:hAnsi="仿宋" w:eastAsia="仿宋"/>
          <w:bCs w:val="0"/>
          <w:highlight w:val="none"/>
        </w:rPr>
        <w:t>六、</w:t>
      </w:r>
      <w:r>
        <w:rPr>
          <w:rFonts w:hint="eastAsia" w:ascii="仿宋" w:hAnsi="仿宋" w:eastAsia="仿宋"/>
          <w:highlight w:val="none"/>
        </w:rPr>
        <w:t>一</w:t>
      </w:r>
      <w:r>
        <w:rPr>
          <w:rFonts w:hint="eastAsia" w:ascii="仿宋" w:hAnsi="仿宋" w:eastAsia="仿宋"/>
          <w:bCs w:val="0"/>
          <w:highlight w:val="none"/>
        </w:rPr>
        <w:t>般公共预算财政拨款支出决算表</w:t>
      </w:r>
      <w:r>
        <w:tab/>
      </w:r>
      <w:r>
        <w:fldChar w:fldCharType="begin"/>
      </w:r>
      <w:r>
        <w:instrText xml:space="preserve"> PAGEREF _Toc5544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_Toc15479 </w:instrText>
      </w:r>
      <w:r>
        <w:fldChar w:fldCharType="separate"/>
      </w:r>
      <w:r>
        <w:rPr>
          <w:rFonts w:hint="eastAsia" w:ascii="仿宋" w:hAnsi="仿宋" w:eastAsia="仿宋"/>
          <w:bCs w:val="0"/>
          <w:highlight w:val="none"/>
        </w:rPr>
        <w:t>七、</w:t>
      </w:r>
      <w:r>
        <w:rPr>
          <w:rFonts w:hint="eastAsia" w:ascii="仿宋" w:hAnsi="仿宋" w:eastAsia="仿宋"/>
          <w:highlight w:val="none"/>
        </w:rPr>
        <w:t>一</w:t>
      </w:r>
      <w:r>
        <w:rPr>
          <w:rFonts w:hint="eastAsia" w:ascii="仿宋" w:hAnsi="仿宋" w:eastAsia="仿宋"/>
          <w:bCs w:val="0"/>
          <w:highlight w:val="none"/>
        </w:rPr>
        <w:t>般公共预算财政拨款支出决算明细表</w:t>
      </w:r>
      <w:r>
        <w:tab/>
      </w:r>
      <w:r>
        <w:fldChar w:fldCharType="begin"/>
      </w:r>
      <w:r>
        <w:instrText xml:space="preserve"> PAGEREF _Toc15479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_Toc9172 </w:instrText>
      </w:r>
      <w:r>
        <w:fldChar w:fldCharType="separate"/>
      </w:r>
      <w:r>
        <w:rPr>
          <w:rFonts w:hint="eastAsia" w:ascii="仿宋" w:hAnsi="仿宋" w:eastAsia="仿宋"/>
          <w:bCs w:val="0"/>
          <w:highlight w:val="none"/>
        </w:rPr>
        <w:t>八、</w:t>
      </w:r>
      <w:r>
        <w:rPr>
          <w:rFonts w:hint="eastAsia" w:ascii="仿宋" w:hAnsi="仿宋" w:eastAsia="仿宋"/>
          <w:highlight w:val="none"/>
        </w:rPr>
        <w:t>一</w:t>
      </w:r>
      <w:r>
        <w:rPr>
          <w:rFonts w:hint="eastAsia" w:ascii="仿宋" w:hAnsi="仿宋" w:eastAsia="仿宋"/>
          <w:bCs w:val="0"/>
          <w:highlight w:val="none"/>
        </w:rPr>
        <w:t>般公共预算财政拨款基本支出决算表</w:t>
      </w:r>
      <w:r>
        <w:tab/>
      </w:r>
      <w:r>
        <w:fldChar w:fldCharType="begin"/>
      </w:r>
      <w:r>
        <w:instrText xml:space="preserve"> PAGEREF _Toc9172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_Toc31373 </w:instrText>
      </w:r>
      <w:r>
        <w:fldChar w:fldCharType="separate"/>
      </w:r>
      <w:r>
        <w:rPr>
          <w:rFonts w:hint="eastAsia" w:ascii="仿宋" w:hAnsi="仿宋" w:eastAsia="仿宋"/>
          <w:bCs w:val="0"/>
          <w:highlight w:val="none"/>
        </w:rPr>
        <w:t>九、</w:t>
      </w:r>
      <w:r>
        <w:rPr>
          <w:rFonts w:hint="eastAsia" w:ascii="仿宋" w:hAnsi="仿宋" w:eastAsia="仿宋"/>
          <w:highlight w:val="none"/>
        </w:rPr>
        <w:t>一</w:t>
      </w:r>
      <w:r>
        <w:rPr>
          <w:rFonts w:hint="eastAsia" w:ascii="仿宋" w:hAnsi="仿宋" w:eastAsia="仿宋"/>
          <w:bCs w:val="0"/>
          <w:highlight w:val="none"/>
        </w:rPr>
        <w:t>般公共预算财政拨款项目支出决算表</w:t>
      </w:r>
      <w:r>
        <w:tab/>
      </w:r>
      <w:r>
        <w:fldChar w:fldCharType="begin"/>
      </w:r>
      <w:r>
        <w:instrText xml:space="preserve"> PAGEREF _Toc31373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_Toc12127 </w:instrText>
      </w:r>
      <w:r>
        <w:fldChar w:fldCharType="separate"/>
      </w:r>
      <w:r>
        <w:rPr>
          <w:rFonts w:hint="eastAsia" w:ascii="仿宋" w:hAnsi="仿宋" w:eastAsia="仿宋"/>
          <w:bCs w:val="0"/>
          <w:highlight w:val="none"/>
        </w:rPr>
        <w:t>十、</w:t>
      </w:r>
      <w:r>
        <w:rPr>
          <w:rFonts w:hint="eastAsia" w:ascii="仿宋" w:hAnsi="仿宋" w:eastAsia="仿宋"/>
          <w:highlight w:val="none"/>
        </w:rPr>
        <w:t>政</w:t>
      </w:r>
      <w:r>
        <w:rPr>
          <w:rFonts w:hint="eastAsia" w:ascii="仿宋" w:hAnsi="仿宋" w:eastAsia="仿宋"/>
          <w:bCs w:val="0"/>
          <w:highlight w:val="none"/>
        </w:rPr>
        <w:t>府性基金预算财政拨款收入支出决算表</w:t>
      </w:r>
      <w:r>
        <w:tab/>
      </w:r>
      <w:r>
        <w:fldChar w:fldCharType="begin"/>
      </w:r>
      <w:r>
        <w:instrText xml:space="preserve"> PAGEREF _Toc12127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_Toc1955 </w:instrText>
      </w:r>
      <w:r>
        <w:fldChar w:fldCharType="separate"/>
      </w:r>
      <w:r>
        <w:rPr>
          <w:rFonts w:hint="eastAsia" w:ascii="仿宋" w:hAnsi="仿宋" w:eastAsia="仿宋"/>
          <w:bCs w:val="0"/>
          <w:highlight w:val="none"/>
        </w:rPr>
        <w:t>十一、</w:t>
      </w:r>
      <w:r>
        <w:rPr>
          <w:rFonts w:hint="eastAsia" w:ascii="仿宋" w:hAnsi="仿宋" w:eastAsia="仿宋"/>
          <w:highlight w:val="none"/>
        </w:rPr>
        <w:t>国</w:t>
      </w:r>
      <w:r>
        <w:rPr>
          <w:rFonts w:hint="eastAsia" w:ascii="仿宋" w:hAnsi="仿宋" w:eastAsia="仿宋"/>
          <w:bCs w:val="0"/>
          <w:highlight w:val="none"/>
        </w:rPr>
        <w:t>有资本经营预算</w:t>
      </w:r>
      <w:r>
        <w:rPr>
          <w:rFonts w:hint="eastAsia" w:ascii="仿宋" w:hAnsi="仿宋" w:eastAsia="仿宋"/>
          <w:bCs w:val="0"/>
          <w:highlight w:val="none"/>
          <w:lang w:eastAsia="zh-CN"/>
        </w:rPr>
        <w:t>财政拨款收入</w:t>
      </w:r>
      <w:r>
        <w:rPr>
          <w:rFonts w:hint="eastAsia" w:ascii="仿宋" w:hAnsi="仿宋" w:eastAsia="仿宋"/>
          <w:bCs w:val="0"/>
          <w:highlight w:val="none"/>
        </w:rPr>
        <w:t>支出决算表</w:t>
      </w:r>
      <w:r>
        <w:tab/>
      </w:r>
      <w:r>
        <w:fldChar w:fldCharType="begin"/>
      </w:r>
      <w:r>
        <w:instrText xml:space="preserve"> PAGEREF _Toc1955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_Toc30106 </w:instrText>
      </w:r>
      <w:r>
        <w:fldChar w:fldCharType="separate"/>
      </w:r>
      <w:r>
        <w:rPr>
          <w:rFonts w:hint="eastAsia" w:ascii="仿宋" w:hAnsi="仿宋" w:eastAsia="仿宋"/>
          <w:bCs w:val="0"/>
          <w:highlight w:val="none"/>
        </w:rPr>
        <w:t>十二、</w:t>
      </w:r>
      <w:r>
        <w:rPr>
          <w:rFonts w:hint="eastAsia" w:ascii="仿宋" w:hAnsi="仿宋" w:eastAsia="仿宋"/>
          <w:bCs w:val="0"/>
          <w:highlight w:val="none"/>
          <w:lang w:eastAsia="zh-CN"/>
        </w:rPr>
        <w:t>国有资本经营预算财政拨款支出决算表</w:t>
      </w:r>
      <w:r>
        <w:tab/>
      </w:r>
      <w:r>
        <w:fldChar w:fldCharType="begin"/>
      </w:r>
      <w:r>
        <w:instrText xml:space="preserve"> PAGEREF _Toc30106 \h </w:instrText>
      </w:r>
      <w:r>
        <w:fldChar w:fldCharType="separate"/>
      </w:r>
      <w:r>
        <w:t>14</w:t>
      </w:r>
      <w:r>
        <w:fldChar w:fldCharType="end"/>
      </w:r>
      <w:r>
        <w:fldChar w:fldCharType="end"/>
      </w:r>
    </w:p>
    <w:p>
      <w:pPr>
        <w:pStyle w:val="16"/>
        <w:tabs>
          <w:tab w:val="right" w:leader="dot" w:pos="8306"/>
          <w:tab w:val="clear" w:pos="8296"/>
        </w:tabs>
      </w:pPr>
      <w:r>
        <w:fldChar w:fldCharType="begin"/>
      </w:r>
      <w:r>
        <w:instrText xml:space="preserve"> HYPERLINK \l _Toc30368 </w:instrText>
      </w:r>
      <w:r>
        <w:fldChar w:fldCharType="separate"/>
      </w:r>
      <w:r>
        <w:rPr>
          <w:rFonts w:hint="eastAsia" w:ascii="仿宋" w:hAnsi="仿宋" w:eastAsia="仿宋"/>
          <w:bCs w:val="0"/>
          <w:highlight w:val="none"/>
        </w:rPr>
        <w:t>十三、</w:t>
      </w:r>
      <w:r>
        <w:rPr>
          <w:rFonts w:hint="eastAsia" w:ascii="仿宋" w:hAnsi="仿宋" w:eastAsia="仿宋"/>
          <w:bCs w:val="0"/>
          <w:highlight w:val="none"/>
          <w:lang w:eastAsia="zh-CN"/>
        </w:rPr>
        <w:t>财政拨款“三公”经费支出决算表</w:t>
      </w:r>
      <w:r>
        <w:tab/>
      </w:r>
      <w:r>
        <w:fldChar w:fldCharType="begin"/>
      </w:r>
      <w:r>
        <w:instrText xml:space="preserve"> PAGEREF _Toc30368 \h </w:instrText>
      </w:r>
      <w:r>
        <w:fldChar w:fldCharType="separate"/>
      </w:r>
      <w:r>
        <w:t>14</w:t>
      </w:r>
      <w:r>
        <w:fldChar w:fldCharType="end"/>
      </w:r>
      <w:r>
        <w:fldChar w:fldCharType="end"/>
      </w:r>
    </w:p>
    <w:p>
      <w:pPr>
        <w:rPr>
          <w:b/>
        </w:rPr>
      </w:pPr>
      <w:r>
        <w:fldChar w:fldCharType="end"/>
      </w:r>
    </w:p>
    <w:p>
      <w:pPr>
        <w:rPr>
          <w:b/>
        </w:rPr>
      </w:pPr>
    </w:p>
    <w:p>
      <w:pPr>
        <w:widowControl/>
        <w:adjustRightInd w:val="0"/>
        <w:snapToGrid w:val="0"/>
        <w:spacing w:line="440" w:lineRule="exact"/>
        <w:ind w:firstLine="1320" w:firstLineChars="550"/>
        <w:jc w:val="left"/>
        <w:rPr>
          <w:rFonts w:hint="eastAsia" w:ascii="黑体" w:hAnsi="黑体" w:eastAsia="黑体"/>
          <w:b w:val="0"/>
          <w:color w:val="auto"/>
          <w:highlight w:val="none"/>
        </w:rPr>
        <w:sectPr>
          <w:footerReference r:id="rId4" w:type="default"/>
          <w:pgSz w:w="11906" w:h="16838"/>
          <w:pgMar w:top="1440" w:right="1800" w:bottom="1440" w:left="1800" w:header="851" w:footer="992" w:gutter="0"/>
          <w:pgNumType w:start="1"/>
          <w:cols w:space="720" w:num="1"/>
          <w:docGrid w:type="lines" w:linePitch="312" w:charSpace="0"/>
        </w:sectPr>
      </w:pPr>
      <w:r>
        <w:rPr>
          <w:rFonts w:ascii="仿宋" w:hAnsi="仿宋" w:eastAsia="仿宋"/>
          <w:color w:val="auto"/>
          <w:sz w:val="24"/>
          <w:highlight w:val="none"/>
        </w:rPr>
        <w:t>(注：</w:t>
      </w:r>
      <w:r>
        <w:rPr>
          <w:rFonts w:hint="eastAsia" w:ascii="仿宋" w:hAnsi="仿宋" w:eastAsia="仿宋"/>
          <w:color w:val="auto"/>
          <w:sz w:val="24"/>
          <w:highlight w:val="none"/>
        </w:rPr>
        <w:t>请部门根据实际注明页码</w:t>
      </w:r>
      <w:bookmarkStart w:id="114" w:name="_GoBack"/>
      <w:bookmarkEnd w:id="114"/>
    </w:p>
    <w:p>
      <w:pPr>
        <w:pageBreakBefore w:val="0"/>
        <w:widowControl/>
        <w:kinsoku/>
        <w:wordWrap/>
        <w:overflowPunct/>
        <w:topLinePunct w:val="0"/>
        <w:autoSpaceDE/>
        <w:autoSpaceDN/>
        <w:bidi w:val="0"/>
        <w:spacing w:line="500" w:lineRule="exact"/>
        <w:jc w:val="left"/>
        <w:textAlignment w:val="auto"/>
        <w:rPr>
          <w:rFonts w:ascii="仿宋" w:hAnsi="仿宋" w:eastAsia="仿宋"/>
          <w:bCs/>
          <w:color w:val="auto"/>
          <w:kern w:val="44"/>
          <w:sz w:val="24"/>
          <w:highlight w:val="none"/>
        </w:rPr>
      </w:pPr>
    </w:p>
    <w:p>
      <w:pPr>
        <w:pStyle w:val="2"/>
        <w:pageBreakBefore w:val="0"/>
        <w:kinsoku/>
        <w:wordWrap/>
        <w:overflowPunct/>
        <w:topLinePunct w:val="0"/>
        <w:autoSpaceDE/>
        <w:autoSpaceDN/>
        <w:bidi w:val="0"/>
        <w:spacing w:before="0" w:after="0" w:line="500" w:lineRule="exact"/>
        <w:jc w:val="center"/>
        <w:textAlignment w:val="auto"/>
        <w:rPr>
          <w:rStyle w:val="23"/>
          <w:rFonts w:ascii="黑体" w:hAnsi="黑体" w:eastAsia="黑体"/>
          <w:b/>
          <w:bCs w:val="0"/>
          <w:color w:val="auto"/>
          <w:highlight w:val="none"/>
        </w:rPr>
      </w:pPr>
      <w:bookmarkStart w:id="16" w:name="_Toc14862"/>
      <w:r>
        <w:rPr>
          <w:rFonts w:hint="eastAsia" w:ascii="黑体" w:hAnsi="黑体" w:eastAsia="黑体"/>
          <w:b w:val="0"/>
          <w:color w:val="auto"/>
          <w:highlight w:val="none"/>
        </w:rPr>
        <w:t xml:space="preserve">第一部分 </w:t>
      </w:r>
      <w:r>
        <w:rPr>
          <w:rStyle w:val="23"/>
          <w:rFonts w:hint="eastAsia" w:ascii="黑体" w:hAnsi="黑体" w:eastAsia="黑体"/>
          <w:b w:val="0"/>
          <w:bCs w:val="0"/>
          <w:color w:val="auto"/>
          <w:highlight w:val="none"/>
        </w:rPr>
        <w:t>部门概况</w:t>
      </w:r>
      <w:bookmarkEnd w:id="16"/>
    </w:p>
    <w:p>
      <w:pPr>
        <w:pageBreakBefore w:val="0"/>
        <w:widowControl/>
        <w:kinsoku/>
        <w:wordWrap/>
        <w:overflowPunct/>
        <w:topLinePunct w:val="0"/>
        <w:autoSpaceDE/>
        <w:autoSpaceDN/>
        <w:bidi w:val="0"/>
        <w:spacing w:line="500" w:lineRule="exact"/>
        <w:jc w:val="left"/>
        <w:textAlignment w:val="auto"/>
        <w:rPr>
          <w:rFonts w:ascii="黑体" w:eastAsia="黑体"/>
          <w:color w:val="auto"/>
          <w:sz w:val="32"/>
          <w:szCs w:val="32"/>
          <w:highlight w:val="none"/>
        </w:rPr>
      </w:pPr>
    </w:p>
    <w:p>
      <w:pPr>
        <w:pStyle w:val="3"/>
        <w:pageBreakBefore w:val="0"/>
        <w:numPr>
          <w:ilvl w:val="0"/>
          <w:numId w:val="0"/>
        </w:numPr>
        <w:kinsoku/>
        <w:wordWrap/>
        <w:overflowPunct/>
        <w:topLinePunct w:val="0"/>
        <w:autoSpaceDE/>
        <w:autoSpaceDN/>
        <w:bidi w:val="0"/>
        <w:spacing w:before="0" w:after="0" w:line="500" w:lineRule="exact"/>
        <w:ind w:firstLine="643" w:firstLineChars="200"/>
        <w:textAlignment w:val="auto"/>
        <w:rPr>
          <w:rFonts w:hint="eastAsia"/>
          <w:lang w:eastAsia="zh-CN"/>
        </w:rPr>
      </w:pPr>
      <w:bookmarkStart w:id="17" w:name="_Toc16415"/>
      <w:r>
        <w:rPr>
          <w:rFonts w:hint="eastAsia" w:ascii="Cambria" w:hAnsi="Cambria" w:eastAsia="宋体" w:cs="Times New Roman"/>
          <w:b/>
          <w:bCs/>
          <w:kern w:val="2"/>
          <w:sz w:val="32"/>
          <w:szCs w:val="32"/>
          <w:lang w:val="en-US" w:eastAsia="zh-CN" w:bidi="ar-SA"/>
        </w:rPr>
        <w:t>一、</w:t>
      </w:r>
      <w:r>
        <w:rPr>
          <w:rFonts w:hint="eastAsia"/>
          <w:lang w:eastAsia="zh-CN"/>
        </w:rPr>
        <w:t>部门职责</w:t>
      </w:r>
      <w:bookmarkEnd w:id="17"/>
    </w:p>
    <w:p>
      <w:pPr>
        <w:pStyle w:val="3"/>
        <w:pageBreakBefore w:val="0"/>
        <w:kinsoku/>
        <w:wordWrap/>
        <w:overflowPunct/>
        <w:topLinePunct w:val="0"/>
        <w:autoSpaceDE/>
        <w:autoSpaceDN/>
        <w:bidi w:val="0"/>
        <w:spacing w:before="0" w:after="0" w:line="500" w:lineRule="exact"/>
        <w:ind w:firstLine="482" w:firstLineChars="150"/>
        <w:textAlignment w:val="auto"/>
        <w:rPr>
          <w:rFonts w:ascii="仿宋" w:hAnsi="仿宋" w:eastAsia="仿宋"/>
          <w:b w:val="0"/>
          <w:bCs w:val="0"/>
        </w:rPr>
      </w:pPr>
      <w:bookmarkStart w:id="18" w:name="_Toc9197"/>
      <w:r>
        <w:rPr>
          <w:rFonts w:hint="eastAsia" w:ascii="仿宋" w:hAnsi="仿宋" w:eastAsia="仿宋"/>
        </w:rPr>
        <w:t>（一）主要职能。</w:t>
      </w:r>
      <w:bookmarkEnd w:id="18"/>
    </w:p>
    <w:p>
      <w:pPr>
        <w:pStyle w:val="17"/>
        <w:keepNext w:val="0"/>
        <w:keepLines w:val="0"/>
        <w:pageBreakBefore w:val="0"/>
        <w:kinsoku/>
        <w:wordWrap/>
        <w:overflowPunct/>
        <w:topLinePunct w:val="0"/>
        <w:autoSpaceDE/>
        <w:autoSpaceDN/>
        <w:bidi w:val="0"/>
        <w:spacing w:before="0" w:beforeAutospacing="0" w:after="0" w:afterAutospacing="0" w:line="520" w:lineRule="exact"/>
        <w:ind w:firstLine="640" w:firstLineChars="200"/>
        <w:rPr>
          <w:rFonts w:hint="eastAsia" w:ascii="仿宋" w:hAnsi="仿宋" w:eastAsia="仿宋" w:cs="仿宋_GB2312"/>
          <w:sz w:val="32"/>
          <w:szCs w:val="32"/>
        </w:rPr>
      </w:pPr>
      <w:bookmarkStart w:id="19" w:name="_Toc16439"/>
      <w:bookmarkStart w:id="20" w:name="_Toc15377200"/>
      <w:bookmarkStart w:id="21" w:name="_Toc15396601"/>
      <w:r>
        <w:rPr>
          <w:rFonts w:hint="eastAsia" w:ascii="仿宋" w:hAnsi="仿宋" w:eastAsia="仿宋" w:cs="仿宋_GB2312"/>
          <w:sz w:val="32"/>
          <w:szCs w:val="32"/>
        </w:rPr>
        <w:t>小金县文化广播电视体育和旅游局（以下简称“县文广体旅局”）负责贯彻落实党中央及省、州、县委关于文化、体育、旅游工作的方针政策和决策部署，坚持和加强党对文化、体育、旅游、广播电视工作的集中统一领导。主要职责包括拟订相关政策措施、推进体制机制改革、组织推动文化体育和旅游业发展、实施资源普查与保护利用、管理重大活动及设施建设、推广整体形象、促进市场推广与合作交流、弘扬优秀传统文化、指导文艺事业、发展公共文化体育事业、推进信息化标准化建设、保护非物质文化遗产、管理文物保护与利用、拟订群众体育及竞技体育发展规划、推动文化体育和旅游市场发展、加强行业监管与信用体系建设、负责广播电视管理、指导人才队伍建设等。</w:t>
      </w:r>
    </w:p>
    <w:p>
      <w:pPr>
        <w:keepNext w:val="0"/>
        <w:keepLines w:val="0"/>
        <w:pageBreakBefore w:val="0"/>
        <w:kinsoku/>
        <w:wordWrap/>
        <w:overflowPunct/>
        <w:topLinePunct w:val="0"/>
        <w:autoSpaceDE/>
        <w:autoSpaceDN/>
        <w:bidi w:val="0"/>
        <w:snapToGrid w:val="0"/>
        <w:spacing w:line="520" w:lineRule="exact"/>
        <w:ind w:firstLine="643" w:firstLineChars="20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（二）当年取得的主要事业成效。</w:t>
      </w:r>
    </w:p>
    <w:p>
      <w:pPr>
        <w:snapToGrid w:val="0"/>
        <w:spacing w:line="520" w:lineRule="exact"/>
        <w:ind w:firstLine="643"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b/>
          <w:bCs/>
          <w:sz w:val="32"/>
          <w:szCs w:val="32"/>
          <w:lang w:val="en-US" w:eastAsia="zh-CN"/>
        </w:rPr>
        <w:t>一是旅游提质与产业升级。</w:t>
      </w:r>
      <w:r>
        <w:rPr>
          <w:rFonts w:hint="eastAsia" w:ascii="仿宋_GB2312" w:hAnsi="仿宋" w:eastAsia="仿宋_GB2312" w:cs="Times New Roman"/>
          <w:sz w:val="32"/>
          <w:szCs w:val="32"/>
          <w:lang w:val="en-US" w:eastAsia="zh-CN"/>
        </w:rPr>
        <w:t>开展A级景区评定复核与安全评估，完成夹金山、两河口等重点景区整改。推进城乡业态提升，优化旅游服务指引，组织“好客之州”培训覆盖200余人。加强行业管理，完成住宿单位及游客调研，推动2家酒店升规入统。</w:t>
      </w:r>
    </w:p>
    <w:p>
      <w:pPr>
        <w:snapToGrid w:val="0"/>
        <w:spacing w:line="520" w:lineRule="exact"/>
        <w:ind w:firstLine="643"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b/>
          <w:bCs/>
          <w:sz w:val="32"/>
          <w:szCs w:val="32"/>
          <w:lang w:val="en-US" w:eastAsia="zh-CN"/>
        </w:rPr>
        <w:t>二是市场监督与秩序规范。</w:t>
      </w:r>
      <w:r>
        <w:rPr>
          <w:rFonts w:hint="eastAsia" w:ascii="仿宋_GB2312" w:hAnsi="仿宋" w:eastAsia="仿宋_GB2312" w:cs="Times New Roman"/>
          <w:sz w:val="32"/>
          <w:szCs w:val="32"/>
          <w:lang w:val="en-US" w:eastAsia="zh-CN"/>
        </w:rPr>
        <w:t>联合巡查文旅企业263家次，整改隐患90处。专项整治导游乱象、低价游等问题。高效处理旅游投诉387件、电话咨询120余次。</w:t>
      </w:r>
    </w:p>
    <w:p>
      <w:pPr>
        <w:snapToGrid w:val="0"/>
        <w:spacing w:line="520" w:lineRule="exact"/>
        <w:ind w:firstLine="643"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b/>
          <w:bCs/>
          <w:sz w:val="32"/>
          <w:szCs w:val="32"/>
          <w:lang w:val="en-US" w:eastAsia="zh-CN"/>
        </w:rPr>
        <w:t>三是宣传营销与品牌推广。</w:t>
      </w:r>
      <w:r>
        <w:rPr>
          <w:rFonts w:hint="eastAsia" w:ascii="仿宋_GB2312" w:hAnsi="仿宋" w:eastAsia="仿宋_GB2312" w:cs="Times New Roman"/>
          <w:sz w:val="32"/>
          <w:szCs w:val="32"/>
          <w:lang w:val="en-US" w:eastAsia="zh-CN"/>
        </w:rPr>
        <w:t>制定年度营销方案，组织非遗项目赴北京、上海等地推介。通过新媒体发布内容近20条，国庆期间入选全国十大热门县城。</w:t>
      </w:r>
    </w:p>
    <w:p>
      <w:pPr>
        <w:snapToGrid w:val="0"/>
        <w:spacing w:line="520" w:lineRule="exact"/>
        <w:ind w:firstLine="643"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b/>
          <w:bCs/>
          <w:sz w:val="32"/>
          <w:szCs w:val="32"/>
          <w:lang w:val="en-US" w:eastAsia="zh-CN"/>
        </w:rPr>
        <w:t>四是体育发展与户外品牌建设。</w:t>
      </w:r>
      <w:r>
        <w:rPr>
          <w:rFonts w:hint="eastAsia" w:ascii="仿宋_GB2312" w:hAnsi="仿宋" w:eastAsia="仿宋_GB2312" w:cs="Times New Roman"/>
          <w:sz w:val="32"/>
          <w:szCs w:val="32"/>
          <w:lang w:val="en-US" w:eastAsia="zh-CN"/>
        </w:rPr>
        <w:t>编制户外管理规范，组建高山救援支队。开放11条徒步登山线路，全年接待户外游客8.5万人次，带动增收8500万元。引进52家户外企业，建成户外博物馆、攀岩馆等设施。举办四姑娘山越野赛等品牌赛事，参与超6000人次；参加外部赛事屡获佳绩。</w:t>
      </w:r>
    </w:p>
    <w:p>
      <w:pPr>
        <w:snapToGrid w:val="0"/>
        <w:spacing w:line="520" w:lineRule="exact"/>
        <w:ind w:firstLine="643"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b/>
          <w:bCs/>
          <w:sz w:val="32"/>
          <w:szCs w:val="32"/>
          <w:lang w:val="en-US" w:eastAsia="zh-CN"/>
        </w:rPr>
        <w:t>五是文旅融合与消费拓展。</w:t>
      </w:r>
      <w:r>
        <w:rPr>
          <w:rFonts w:hint="eastAsia" w:ascii="仿宋_GB2312" w:hAnsi="仿宋" w:eastAsia="仿宋_GB2312" w:cs="Times New Roman"/>
          <w:sz w:val="32"/>
          <w:szCs w:val="32"/>
          <w:lang w:val="en-US" w:eastAsia="zh-CN"/>
        </w:rPr>
        <w:t>打造4条精品自驾线，建成2个旅游驿站、2个露营基地。推出“金研学”品牌，建设六大研学营地，接待学生600余人次。发展等级民宿，举办全国民宿大会，带动就业超3000人。</w:t>
      </w:r>
    </w:p>
    <w:p>
      <w:pPr>
        <w:snapToGrid w:val="0"/>
        <w:spacing w:line="520" w:lineRule="exact"/>
        <w:ind w:firstLine="643"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b/>
          <w:bCs/>
          <w:sz w:val="32"/>
          <w:szCs w:val="32"/>
          <w:lang w:val="en-US" w:eastAsia="zh-CN"/>
        </w:rPr>
        <w:t>六是文物保护与传承利用。</w:t>
      </w:r>
      <w:r>
        <w:rPr>
          <w:rFonts w:hint="eastAsia" w:ascii="仿宋_GB2312" w:hAnsi="仿宋" w:eastAsia="仿宋_GB2312" w:cs="Times New Roman"/>
          <w:sz w:val="32"/>
          <w:szCs w:val="32"/>
          <w:lang w:val="en-US" w:eastAsia="zh-CN"/>
        </w:rPr>
        <w:t>开展44处文物点安全检查，完成文物普查新发现11处。推进壁画数字化、建筑三维建模，成功申报2处省级文保单位。</w:t>
      </w:r>
    </w:p>
    <w:p>
      <w:pPr>
        <w:snapToGrid w:val="0"/>
        <w:spacing w:line="520" w:lineRule="exact"/>
        <w:ind w:firstLine="643"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b/>
          <w:bCs/>
          <w:sz w:val="32"/>
          <w:szCs w:val="32"/>
          <w:lang w:val="en-US" w:eastAsia="zh-CN"/>
        </w:rPr>
        <w:t>七是项目建设与设施完善。</w:t>
      </w:r>
      <w:r>
        <w:rPr>
          <w:rFonts w:hint="eastAsia" w:ascii="仿宋_GB2312" w:hAnsi="仿宋" w:eastAsia="仿宋_GB2312" w:cs="Times New Roman"/>
          <w:sz w:val="32"/>
          <w:szCs w:val="32"/>
          <w:lang w:val="en-US" w:eastAsia="zh-CN"/>
        </w:rPr>
        <w:t>四姑娘山基础设施项目开工，完成投资约1000万元。推进高端酒店项目，夹金村民宿等项目国庆试运营。</w:t>
      </w:r>
    </w:p>
    <w:p>
      <w:pPr>
        <w:snapToGrid w:val="0"/>
        <w:spacing w:line="520" w:lineRule="exact"/>
        <w:ind w:firstLine="643"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b/>
          <w:bCs/>
          <w:sz w:val="32"/>
          <w:szCs w:val="32"/>
          <w:lang w:val="en-US" w:eastAsia="zh-CN"/>
        </w:rPr>
        <w:t>八是文化惠民与公共服务。</w:t>
      </w:r>
      <w:r>
        <w:rPr>
          <w:rFonts w:hint="eastAsia" w:ascii="仿宋_GB2312" w:hAnsi="仿宋" w:eastAsia="仿宋_GB2312" w:cs="Times New Roman"/>
          <w:sz w:val="32"/>
          <w:szCs w:val="32"/>
          <w:lang w:val="en-US" w:eastAsia="zh-CN"/>
        </w:rPr>
        <w:t>举办文化惠民活动30余场，戏曲下乡108场。非遗进景区吸引游客1.2万人次，开展东西部文化走亲活动。公共文化场馆免费开放，图书馆开展阅读活动百余场。</w:t>
      </w:r>
    </w:p>
    <w:p>
      <w:pPr>
        <w:snapToGrid w:val="0"/>
        <w:spacing w:line="520" w:lineRule="exact"/>
        <w:ind w:firstLine="643" w:firstLineChars="200"/>
        <w:rPr>
          <w:rFonts w:hint="eastAsia" w:ascii="仿宋" w:hAnsi="仿宋" w:eastAsia="仿宋" w:cs="仿宋_GB2312"/>
          <w:sz w:val="32"/>
          <w:szCs w:val="32"/>
        </w:rPr>
      </w:pPr>
      <w:r>
        <w:rPr>
          <w:rFonts w:hint="eastAsia" w:ascii="仿宋_GB2312" w:hAnsi="仿宋" w:eastAsia="仿宋_GB2312" w:cs="Times New Roman"/>
          <w:b/>
          <w:bCs/>
          <w:sz w:val="32"/>
          <w:szCs w:val="32"/>
          <w:lang w:val="en-US" w:eastAsia="zh-CN"/>
        </w:rPr>
        <w:t>九是广电服务保障。</w:t>
      </w:r>
      <w:r>
        <w:rPr>
          <w:rFonts w:hint="eastAsia" w:ascii="仿宋_GB2312" w:hAnsi="仿宋" w:eastAsia="仿宋_GB2312" w:cs="Times New Roman"/>
          <w:sz w:val="32"/>
          <w:szCs w:val="32"/>
          <w:lang w:val="en-US" w:eastAsia="zh-CN"/>
        </w:rPr>
        <w:t>维护维修“户户通”设备168次，为重点群体采购500台。完成43个行政村“村村响”设备维修维护。</w:t>
      </w:r>
    </w:p>
    <w:p>
      <w:pPr>
        <w:pStyle w:val="3"/>
        <w:pageBreakBefore w:val="0"/>
        <w:kinsoku/>
        <w:wordWrap/>
        <w:overflowPunct/>
        <w:topLinePunct w:val="0"/>
        <w:autoSpaceDE/>
        <w:autoSpaceDN/>
        <w:bidi w:val="0"/>
        <w:spacing w:before="0" w:after="0" w:line="500" w:lineRule="exact"/>
        <w:ind w:firstLine="640" w:firstLineChars="200"/>
        <w:textAlignment w:val="auto"/>
        <w:rPr>
          <w:rStyle w:val="24"/>
          <w:b w:val="0"/>
          <w:bCs w:val="0"/>
          <w:color w:val="auto"/>
          <w:highlight w:val="none"/>
        </w:rPr>
      </w:pPr>
      <w:r>
        <w:rPr>
          <w:rFonts w:hint="eastAsia" w:ascii="黑体" w:eastAsia="黑体"/>
          <w:b w:val="0"/>
          <w:color w:val="auto"/>
          <w:highlight w:val="none"/>
        </w:rPr>
        <w:t>二、</w:t>
      </w:r>
      <w:r>
        <w:rPr>
          <w:rFonts w:hint="eastAsia" w:ascii="黑体" w:hAnsi="黑体" w:eastAsia="黑体"/>
          <w:b w:val="0"/>
          <w:color w:val="auto"/>
          <w:highlight w:val="none"/>
        </w:rPr>
        <w:t>机</w:t>
      </w:r>
      <w:r>
        <w:rPr>
          <w:rStyle w:val="24"/>
          <w:rFonts w:hint="eastAsia" w:ascii="黑体" w:hAnsi="黑体" w:eastAsia="黑体"/>
          <w:b w:val="0"/>
          <w:bCs w:val="0"/>
          <w:color w:val="auto"/>
          <w:highlight w:val="none"/>
        </w:rPr>
        <w:t>构设置</w:t>
      </w:r>
      <w:bookmarkEnd w:id="19"/>
      <w:bookmarkEnd w:id="20"/>
      <w:bookmarkEnd w:id="21"/>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9"/>
        <w:rPr>
          <w:rFonts w:hint="default" w:ascii="仿宋_GB2312" w:hAnsi="仿宋" w:eastAsia="仿宋_GB2312"/>
          <w:sz w:val="32"/>
          <w:szCs w:val="32"/>
          <w:lang w:val="en-US" w:eastAsia="zh-CN"/>
        </w:rPr>
      </w:pPr>
      <w:bookmarkStart w:id="22" w:name="_Toc79163606"/>
      <w:bookmarkStart w:id="23" w:name="_Toc15377432"/>
      <w:bookmarkStart w:id="24" w:name="_Toc15377201"/>
      <w:bookmarkStart w:id="25" w:name="_Toc79163856"/>
      <w:bookmarkStart w:id="26" w:name="_Toc15306275"/>
      <w:bookmarkStart w:id="27" w:name="_Toc15378448"/>
      <w:r>
        <w:rPr>
          <w:rFonts w:hint="eastAsia" w:ascii="仿宋" w:hAnsi="仿宋" w:eastAsia="仿宋" w:cs="仿宋_GB2312"/>
          <w:sz w:val="32"/>
          <w:szCs w:val="32"/>
        </w:rPr>
        <w:t>本单位本年度纳入本套决算编制范围的独立编制机构数共</w:t>
      </w:r>
      <w:r>
        <w:rPr>
          <w:rFonts w:hint="eastAsia" w:ascii="仿宋" w:hAnsi="仿宋" w:eastAsia="仿宋" w:cs="仿宋_GB2312"/>
          <w:sz w:val="32"/>
          <w:szCs w:val="32"/>
          <w:lang w:val="en-US" w:eastAsia="zh-CN"/>
        </w:rPr>
        <w:t>1</w:t>
      </w:r>
      <w:r>
        <w:rPr>
          <w:rFonts w:hint="eastAsia" w:ascii="仿宋" w:hAnsi="仿宋" w:eastAsia="仿宋" w:cs="仿宋_GB2312"/>
          <w:sz w:val="32"/>
          <w:szCs w:val="32"/>
        </w:rPr>
        <w:t>个，比上年增加0个；独立核算机构数共</w:t>
      </w:r>
      <w:r>
        <w:rPr>
          <w:rFonts w:hint="eastAsia" w:ascii="仿宋" w:hAnsi="仿宋" w:eastAsia="仿宋" w:cs="仿宋_GB2312"/>
          <w:sz w:val="32"/>
          <w:szCs w:val="32"/>
          <w:lang w:val="en-US" w:eastAsia="zh-CN"/>
        </w:rPr>
        <w:t>1</w:t>
      </w:r>
      <w:r>
        <w:rPr>
          <w:rFonts w:hint="eastAsia" w:ascii="仿宋" w:hAnsi="仿宋" w:eastAsia="仿宋" w:cs="仿宋_GB2312"/>
          <w:sz w:val="32"/>
          <w:szCs w:val="32"/>
        </w:rPr>
        <w:t>个，比上年增加0个。</w:t>
      </w:r>
      <w:r>
        <w:rPr>
          <w:rFonts w:hint="eastAsia" w:ascii="仿宋_GB2312" w:hAnsi="仿宋" w:eastAsia="仿宋_GB2312"/>
          <w:sz w:val="32"/>
          <w:szCs w:val="32"/>
        </w:rPr>
        <w:t>县</w:t>
      </w:r>
      <w:r>
        <w:rPr>
          <w:rFonts w:hint="eastAsia" w:ascii="仿宋_GB2312" w:hAnsi="仿宋" w:eastAsia="仿宋_GB2312"/>
          <w:sz w:val="32"/>
          <w:szCs w:val="32"/>
          <w:lang w:eastAsia="zh-CN"/>
        </w:rPr>
        <w:t>文广体旅局</w:t>
      </w:r>
      <w:r>
        <w:rPr>
          <w:rFonts w:hint="eastAsia" w:ascii="仿宋_GB2312" w:hAnsi="仿宋" w:eastAsia="仿宋_GB2312"/>
          <w:sz w:val="32"/>
          <w:szCs w:val="32"/>
        </w:rPr>
        <w:t>设下列内设机构7个，分别是办公室、政策法规和规划指导股（行政审批股）、公共服务和体育股、文化股、产业发展和资源开发股、市场管理和宣传营销股、广播电视股。</w:t>
      </w:r>
      <w:r>
        <w:rPr>
          <w:rFonts w:hint="eastAsia" w:ascii="仿宋_GB2312" w:hAnsi="仿宋" w:eastAsia="仿宋_GB2312"/>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outlineLvl w:val="9"/>
        <w:rPr>
          <w:rFonts w:hint="eastAsia" w:ascii="仿宋" w:hAnsi="仿宋" w:eastAsia="仿宋" w:cs="仿宋_GB2312"/>
          <w:sz w:val="32"/>
          <w:szCs w:val="32"/>
        </w:rPr>
      </w:pPr>
      <w:r>
        <w:rPr>
          <w:rFonts w:hint="eastAsia" w:ascii="仿宋_GB2312" w:hAnsi="仿宋" w:eastAsia="仿宋_GB2312"/>
          <w:sz w:val="32"/>
          <w:szCs w:val="32"/>
        </w:rPr>
        <w:t>小金县</w:t>
      </w:r>
      <w:r>
        <w:rPr>
          <w:rFonts w:hint="eastAsia" w:ascii="仿宋_GB2312" w:hAnsi="仿宋" w:eastAsia="仿宋_GB2312"/>
          <w:sz w:val="32"/>
          <w:szCs w:val="32"/>
          <w:lang w:eastAsia="zh-CN"/>
        </w:rPr>
        <w:t>文广体旅局</w:t>
      </w:r>
      <w:r>
        <w:rPr>
          <w:rFonts w:hint="eastAsia" w:ascii="仿宋_GB2312" w:hAnsi="仿宋" w:eastAsia="仿宋_GB2312"/>
          <w:sz w:val="32"/>
          <w:szCs w:val="32"/>
        </w:rPr>
        <w:t>现有行政编制数10人，实有行政在职数1</w:t>
      </w:r>
      <w:r>
        <w:rPr>
          <w:rFonts w:hint="eastAsia" w:ascii="仿宋_GB2312" w:hAnsi="仿宋" w:eastAsia="仿宋_GB2312"/>
          <w:sz w:val="32"/>
          <w:szCs w:val="32"/>
          <w:lang w:val="en-US" w:eastAsia="zh-CN"/>
        </w:rPr>
        <w:t>0</w:t>
      </w:r>
      <w:r>
        <w:rPr>
          <w:rFonts w:hint="eastAsia" w:ascii="仿宋_GB2312" w:hAnsi="仿宋" w:eastAsia="仿宋_GB2312"/>
          <w:sz w:val="32"/>
          <w:szCs w:val="32"/>
        </w:rPr>
        <w:t>人；行政工勤编制数1人，实有行政工勤数</w:t>
      </w:r>
      <w:r>
        <w:rPr>
          <w:rFonts w:hint="eastAsia" w:ascii="仿宋_GB2312" w:hAnsi="仿宋" w:eastAsia="仿宋_GB2312"/>
          <w:sz w:val="32"/>
          <w:szCs w:val="32"/>
          <w:lang w:val="en-US" w:eastAsia="zh-CN"/>
        </w:rPr>
        <w:t>5</w:t>
      </w:r>
      <w:r>
        <w:rPr>
          <w:rFonts w:hint="eastAsia" w:ascii="仿宋_GB2312" w:hAnsi="仿宋" w:eastAsia="仿宋_GB2312"/>
          <w:sz w:val="32"/>
          <w:szCs w:val="32"/>
        </w:rPr>
        <w:t>人。</w:t>
      </w:r>
      <w:r>
        <w:rPr>
          <w:rFonts w:hint="eastAsia" w:ascii="仿宋" w:hAnsi="仿宋" w:eastAsia="仿宋" w:cs="仿宋_GB2312"/>
          <w:sz w:val="32"/>
          <w:szCs w:val="32"/>
        </w:rPr>
        <w:t>本单位本年度年末实有人数为</w:t>
      </w:r>
      <w:r>
        <w:rPr>
          <w:rFonts w:hint="eastAsia" w:ascii="仿宋" w:hAnsi="仿宋" w:eastAsia="仿宋" w:cs="仿宋_GB2312"/>
          <w:sz w:val="32"/>
          <w:szCs w:val="32"/>
          <w:lang w:val="en-US" w:eastAsia="zh-CN"/>
        </w:rPr>
        <w:t>13</w:t>
      </w:r>
      <w:r>
        <w:rPr>
          <w:rFonts w:hint="eastAsia" w:ascii="仿宋" w:hAnsi="仿宋" w:eastAsia="仿宋" w:cs="仿宋_GB2312"/>
          <w:sz w:val="32"/>
          <w:szCs w:val="32"/>
        </w:rPr>
        <w:t>人，比上年</w:t>
      </w:r>
      <w:r>
        <w:rPr>
          <w:rFonts w:hint="eastAsia" w:ascii="仿宋" w:hAnsi="仿宋" w:eastAsia="仿宋" w:cs="仿宋_GB2312"/>
          <w:sz w:val="32"/>
          <w:szCs w:val="32"/>
          <w:lang w:eastAsia="zh-CN"/>
        </w:rPr>
        <w:t>减少</w:t>
      </w:r>
      <w:r>
        <w:rPr>
          <w:rFonts w:hint="eastAsia" w:ascii="仿宋" w:hAnsi="仿宋" w:eastAsia="仿宋" w:cs="仿宋_GB2312"/>
          <w:sz w:val="32"/>
          <w:szCs w:val="32"/>
          <w:lang w:val="en-US" w:eastAsia="zh-CN"/>
        </w:rPr>
        <w:t>3</w:t>
      </w:r>
      <w:r>
        <w:rPr>
          <w:rFonts w:hint="eastAsia" w:ascii="仿宋" w:hAnsi="仿宋" w:eastAsia="仿宋" w:cs="仿宋_GB2312"/>
          <w:sz w:val="32"/>
          <w:szCs w:val="32"/>
        </w:rPr>
        <w:t>人</w:t>
      </w:r>
      <w:r>
        <w:rPr>
          <w:rFonts w:hint="eastAsia" w:ascii="仿宋" w:hAnsi="仿宋" w:eastAsia="仿宋" w:cs="仿宋_GB2312"/>
          <w:sz w:val="32"/>
          <w:szCs w:val="32"/>
          <w:lang w:eastAsia="zh-CN"/>
        </w:rPr>
        <w:t>，</w:t>
      </w:r>
      <w:r>
        <w:rPr>
          <w:rFonts w:hint="eastAsia" w:ascii="仿宋" w:hAnsi="仿宋" w:eastAsia="仿宋" w:cs="仿宋_GB2312"/>
          <w:sz w:val="32"/>
          <w:szCs w:val="32"/>
        </w:rPr>
        <w:t>变动情况及原因为</w:t>
      </w:r>
      <w:r>
        <w:rPr>
          <w:rFonts w:hint="eastAsia" w:ascii="仿宋" w:hAnsi="仿宋" w:eastAsia="仿宋" w:cs="仿宋_GB2312"/>
          <w:sz w:val="32"/>
          <w:szCs w:val="32"/>
          <w:lang w:val="en-US" w:eastAsia="zh-CN"/>
        </w:rPr>
        <w:t>2025年机构改革，人员分流，人员变动</w:t>
      </w:r>
      <w:r>
        <w:rPr>
          <w:rFonts w:hint="eastAsia" w:ascii="仿宋" w:hAnsi="仿宋" w:eastAsia="仿宋" w:cs="仿宋_GB2312"/>
          <w:sz w:val="32"/>
          <w:szCs w:val="32"/>
        </w:rPr>
        <w:t>。年末实有其他人数为0人，比上年增加0人；变动情况及原因为</w:t>
      </w:r>
      <w:r>
        <w:rPr>
          <w:rFonts w:hint="eastAsia" w:ascii="仿宋" w:hAnsi="仿宋" w:eastAsia="仿宋" w:cs="仿宋_GB2312"/>
          <w:sz w:val="32"/>
          <w:szCs w:val="32"/>
          <w:lang w:val="en-US" w:eastAsia="zh-CN"/>
        </w:rPr>
        <w:t>无人员变动</w:t>
      </w:r>
      <w:r>
        <w:rPr>
          <w:rFonts w:hint="eastAsia" w:ascii="仿宋" w:hAnsi="仿宋" w:eastAsia="仿宋" w:cs="仿宋_GB2312"/>
          <w:sz w:val="32"/>
          <w:szCs w:val="32"/>
        </w:rPr>
        <w:t>。</w:t>
      </w:r>
    </w:p>
    <w:p>
      <w:pPr>
        <w:snapToGrid w:val="0"/>
        <w:spacing w:line="576" w:lineRule="exact"/>
        <w:ind w:firstLine="640" w:firstLineChars="200"/>
        <w:rPr>
          <w:rFonts w:ascii="仿宋_GB2312" w:hAnsi="仿宋" w:eastAsia="仿宋_GB2312"/>
          <w:sz w:val="32"/>
          <w:szCs w:val="32"/>
        </w:rPr>
      </w:pPr>
    </w:p>
    <w:bookmarkEnd w:id="22"/>
    <w:bookmarkEnd w:id="23"/>
    <w:bookmarkEnd w:id="24"/>
    <w:bookmarkEnd w:id="25"/>
    <w:bookmarkEnd w:id="26"/>
    <w:bookmarkEnd w:id="27"/>
    <w:p>
      <w:pPr>
        <w:widowControl/>
        <w:jc w:val="left"/>
        <w:rPr>
          <w:rFonts w:ascii="仿宋" w:hAnsi="仿宋" w:eastAsia="仿宋"/>
          <w:color w:val="auto"/>
          <w:kern w:val="0"/>
          <w:sz w:val="32"/>
          <w:szCs w:val="32"/>
          <w:highlight w:val="none"/>
        </w:rPr>
      </w:pPr>
      <w:r>
        <w:rPr>
          <w:rFonts w:ascii="仿宋" w:hAnsi="仿宋" w:eastAsia="仿宋"/>
          <w:color w:val="auto"/>
          <w:sz w:val="32"/>
          <w:szCs w:val="32"/>
          <w:highlight w:val="none"/>
        </w:rPr>
        <w:br w:type="page"/>
      </w:r>
    </w:p>
    <w:p>
      <w:pPr>
        <w:pStyle w:val="2"/>
        <w:pageBreakBefore w:val="0"/>
        <w:widowControl w:val="0"/>
        <w:kinsoku/>
        <w:wordWrap/>
        <w:overflowPunct/>
        <w:topLinePunct w:val="0"/>
        <w:autoSpaceDE/>
        <w:autoSpaceDN/>
        <w:bidi w:val="0"/>
        <w:adjustRightInd/>
        <w:snapToGrid/>
        <w:spacing w:line="500" w:lineRule="exact"/>
        <w:ind w:right="440"/>
        <w:jc w:val="center"/>
        <w:textAlignment w:val="auto"/>
        <w:rPr>
          <w:color w:val="auto"/>
          <w:highlight w:val="none"/>
        </w:rPr>
      </w:pPr>
      <w:bookmarkStart w:id="28" w:name="_Toc15377204"/>
      <w:bookmarkStart w:id="29" w:name="_Toc15396602"/>
      <w:bookmarkStart w:id="30" w:name="_Toc22317"/>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23"/>
          <w:rFonts w:hint="eastAsia" w:ascii="黑体" w:hAnsi="黑体" w:eastAsia="黑体"/>
          <w:b w:val="0"/>
          <w:bCs/>
          <w:color w:val="auto"/>
          <w:highlight w:val="none"/>
        </w:rPr>
        <w:t>部门决算情况说明</w:t>
      </w:r>
      <w:bookmarkEnd w:id="28"/>
      <w:bookmarkEnd w:id="29"/>
      <w:bookmarkEnd w:id="30"/>
    </w:p>
    <w:p>
      <w:pPr>
        <w:pStyle w:val="34"/>
        <w:pageBreakBefore w:val="0"/>
        <w:widowControl w:val="0"/>
        <w:numPr>
          <w:ilvl w:val="0"/>
          <w:numId w:val="1"/>
        </w:numPr>
        <w:kinsoku/>
        <w:wordWrap/>
        <w:overflowPunct/>
        <w:topLinePunct w:val="0"/>
        <w:autoSpaceDE/>
        <w:autoSpaceDN/>
        <w:bidi w:val="0"/>
        <w:adjustRightInd/>
        <w:snapToGrid/>
        <w:spacing w:line="500" w:lineRule="exact"/>
        <w:ind w:firstLineChars="0"/>
        <w:textAlignment w:val="auto"/>
        <w:outlineLvl w:val="1"/>
        <w:rPr>
          <w:rStyle w:val="24"/>
          <w:rFonts w:ascii="黑体" w:hAnsi="黑体" w:eastAsia="黑体"/>
          <w:b w:val="0"/>
          <w:color w:val="auto"/>
          <w:highlight w:val="none"/>
        </w:rPr>
      </w:pPr>
      <w:bookmarkStart w:id="31" w:name="_Toc17918"/>
      <w:bookmarkStart w:id="32" w:name="_Toc15396603"/>
      <w:bookmarkStart w:id="33" w:name="_Toc15377205"/>
      <w:r>
        <w:rPr>
          <w:rFonts w:hint="eastAsia" w:ascii="黑体" w:hAnsi="黑体" w:eastAsia="黑体"/>
          <w:color w:val="auto"/>
          <w:sz w:val="32"/>
          <w:szCs w:val="32"/>
          <w:highlight w:val="none"/>
        </w:rPr>
        <w:t>收</w:t>
      </w:r>
      <w:r>
        <w:rPr>
          <w:rStyle w:val="24"/>
          <w:rFonts w:hint="eastAsia" w:ascii="黑体" w:hAnsi="黑体" w:eastAsia="黑体"/>
          <w:b w:val="0"/>
          <w:color w:val="auto"/>
          <w:highlight w:val="none"/>
        </w:rPr>
        <w:t>入支出决算总体情况说明</w:t>
      </w:r>
      <w:bookmarkEnd w:id="31"/>
      <w:bookmarkEnd w:id="32"/>
      <w:bookmarkEnd w:id="33"/>
    </w:p>
    <w:p>
      <w:pPr>
        <w:pageBreakBefore w:val="0"/>
        <w:widowControl w:val="0"/>
        <w:kinsoku/>
        <w:wordWrap/>
        <w:overflowPunct/>
        <w:topLinePunct w:val="0"/>
        <w:autoSpaceDE/>
        <w:autoSpaceDN/>
        <w:bidi w:val="0"/>
        <w:adjustRightInd/>
        <w:snapToGrid/>
        <w:spacing w:line="500" w:lineRule="exact"/>
        <w:ind w:firstLine="640" w:firstLineChars="200"/>
        <w:textAlignment w:val="auto"/>
        <w:outlineLvl w:val="1"/>
        <w:rPr>
          <w:rFonts w:hint="eastAsia" w:ascii="仿宋" w:hAnsi="仿宋" w:eastAsia="仿宋"/>
          <w:color w:val="auto"/>
          <w:sz w:val="32"/>
          <w:szCs w:val="32"/>
          <w:highlight w:val="none"/>
          <w:lang w:eastAsia="zh-CN"/>
        </w:rPr>
      </w:pPr>
      <w:bookmarkStart w:id="34" w:name="_Toc21230"/>
      <w:bookmarkStart w:id="35" w:name="_Toc10364"/>
      <w:r>
        <w:rPr>
          <w:rFonts w:hint="eastAsia" w:ascii="仿宋" w:hAnsi="仿宋" w:eastAsia="仿宋"/>
          <w:color w:val="auto"/>
          <w:sz w:val="32"/>
          <w:szCs w:val="32"/>
          <w:highlight w:val="none"/>
          <w:lang w:eastAsia="zh-CN"/>
        </w:rPr>
        <w:t>2025年度收入为</w:t>
      </w:r>
      <w:r>
        <w:rPr>
          <w:rFonts w:hint="eastAsia" w:ascii="仿宋" w:hAnsi="仿宋" w:eastAsia="仿宋"/>
          <w:color w:val="auto"/>
          <w:sz w:val="32"/>
          <w:szCs w:val="32"/>
          <w:highlight w:val="none"/>
          <w:lang w:val="en-US" w:eastAsia="zh-CN"/>
        </w:rPr>
        <w:t>2888.49</w:t>
      </w:r>
      <w:r>
        <w:rPr>
          <w:rFonts w:hint="eastAsia" w:ascii="仿宋" w:hAnsi="仿宋" w:eastAsia="仿宋"/>
          <w:color w:val="auto"/>
          <w:sz w:val="32"/>
          <w:szCs w:val="32"/>
          <w:highlight w:val="none"/>
          <w:lang w:eastAsia="zh-CN"/>
        </w:rPr>
        <w:t>万元，与2024年相比减少3050.91万元，降幅为51.37%。主要变动原因为：一是人员减少；二是年度项目支出减少。</w:t>
      </w:r>
    </w:p>
    <w:p>
      <w:pPr>
        <w:pageBreakBefore w:val="0"/>
        <w:widowControl w:val="0"/>
        <w:kinsoku/>
        <w:wordWrap/>
        <w:overflowPunct/>
        <w:topLinePunct w:val="0"/>
        <w:autoSpaceDE/>
        <w:autoSpaceDN/>
        <w:bidi w:val="0"/>
        <w:adjustRightInd/>
        <w:snapToGrid/>
        <w:spacing w:line="500" w:lineRule="exact"/>
        <w:ind w:firstLine="420" w:firstLineChars="200"/>
        <w:textAlignment w:val="auto"/>
        <w:outlineLvl w:val="1"/>
        <w:rPr>
          <w:rFonts w:hint="eastAsia" w:ascii="仿宋" w:hAnsi="仿宋" w:eastAsia="仿宋"/>
          <w:color w:val="auto"/>
          <w:sz w:val="32"/>
          <w:szCs w:val="32"/>
          <w:highlight w:val="none"/>
        </w:rPr>
      </w:pPr>
      <w:r>
        <w:drawing>
          <wp:anchor distT="0" distB="0" distL="114300" distR="114300" simplePos="0" relativeHeight="251662336" behindDoc="0" locked="0" layoutInCell="1" allowOverlap="1">
            <wp:simplePos x="0" y="0"/>
            <wp:positionH relativeFrom="column">
              <wp:posOffset>8255</wp:posOffset>
            </wp:positionH>
            <wp:positionV relativeFrom="paragraph">
              <wp:posOffset>1073150</wp:posOffset>
            </wp:positionV>
            <wp:extent cx="4572000" cy="2535555"/>
            <wp:effectExtent l="4445" t="4445" r="14605" b="12700"/>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度支出</w:t>
      </w:r>
      <w:r>
        <w:rPr>
          <w:rFonts w:hint="eastAsia" w:ascii="仿宋" w:hAnsi="仿宋" w:eastAsia="仿宋"/>
          <w:color w:val="auto"/>
          <w:sz w:val="32"/>
          <w:szCs w:val="32"/>
          <w:highlight w:val="none"/>
          <w:lang w:val="en-US" w:eastAsia="zh-CN"/>
        </w:rPr>
        <w:t>2888.49万元，</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bookmarkEnd w:id="34"/>
      <w:bookmarkEnd w:id="35"/>
      <w:r>
        <w:rPr>
          <w:rFonts w:hint="eastAsia" w:ascii="仿宋" w:hAnsi="仿宋" w:eastAsia="仿宋"/>
          <w:color w:val="auto"/>
          <w:sz w:val="32"/>
          <w:szCs w:val="32"/>
          <w:highlight w:val="none"/>
          <w:lang w:eastAsia="zh-CN"/>
        </w:rPr>
        <w:t>减少3050.91万元，降幅为51.37%。主要变动原因为：一是人员减少；二是年度项目支出减少。</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eastAsia="仿宋_GB2312"/>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34"/>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Chars="0"/>
        <w:textAlignment w:val="auto"/>
        <w:outlineLvl w:val="1"/>
        <w:rPr>
          <w:rStyle w:val="24"/>
          <w:rFonts w:ascii="黑体" w:hAnsi="黑体" w:eastAsia="黑体"/>
          <w:b w:val="0"/>
          <w:color w:val="auto"/>
          <w:highlight w:val="none"/>
        </w:rPr>
      </w:pPr>
      <w:bookmarkStart w:id="36" w:name="_Toc23193"/>
      <w:bookmarkStart w:id="37" w:name="_Toc15377206"/>
      <w:bookmarkStart w:id="38" w:name="_Toc15396604"/>
      <w:r>
        <w:rPr>
          <w:rFonts w:hint="eastAsia" w:ascii="黑体" w:hAnsi="黑体" w:eastAsia="黑体"/>
          <w:color w:val="auto"/>
          <w:sz w:val="32"/>
          <w:szCs w:val="32"/>
          <w:highlight w:val="none"/>
        </w:rPr>
        <w:t>收</w:t>
      </w:r>
      <w:r>
        <w:rPr>
          <w:rStyle w:val="24"/>
          <w:rFonts w:hint="eastAsia" w:ascii="黑体" w:hAnsi="黑体" w:eastAsia="黑体"/>
          <w:b w:val="0"/>
          <w:color w:val="auto"/>
          <w:highlight w:val="none"/>
        </w:rPr>
        <w:t>入决算情况说明</w:t>
      </w:r>
      <w:bookmarkEnd w:id="36"/>
      <w:bookmarkEnd w:id="37"/>
      <w:bookmarkEnd w:id="38"/>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1"/>
        <w:rPr>
          <w:rFonts w:hint="eastAsia" w:ascii="仿宋" w:hAnsi="仿宋" w:eastAsia="仿宋"/>
          <w:color w:val="auto"/>
          <w:sz w:val="32"/>
          <w:szCs w:val="32"/>
          <w:highlight w:val="none"/>
        </w:rPr>
      </w:pPr>
      <w:bookmarkStart w:id="39" w:name="_Toc30786"/>
      <w:bookmarkStart w:id="40" w:name="_Toc21565"/>
      <w:r>
        <w:drawing>
          <wp:anchor distT="0" distB="0" distL="114300" distR="114300" simplePos="0" relativeHeight="251663360" behindDoc="0" locked="0" layoutInCell="1" allowOverlap="1">
            <wp:simplePos x="0" y="0"/>
            <wp:positionH relativeFrom="column">
              <wp:posOffset>94615</wp:posOffset>
            </wp:positionH>
            <wp:positionV relativeFrom="paragraph">
              <wp:posOffset>389255</wp:posOffset>
            </wp:positionV>
            <wp:extent cx="3839845" cy="2154555"/>
            <wp:effectExtent l="4445" t="4445" r="22860" b="12700"/>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2888.49万元</w:t>
      </w:r>
      <w:r>
        <w:rPr>
          <w:rFonts w:hint="eastAsia" w:ascii="仿宋" w:hAnsi="仿宋" w:eastAsia="仿宋"/>
          <w:color w:val="auto"/>
          <w:sz w:val="32"/>
          <w:szCs w:val="32"/>
          <w:highlight w:val="none"/>
        </w:rPr>
        <w:t>，其中：一般公共预算财政拨款收入</w:t>
      </w:r>
      <w:r>
        <w:rPr>
          <w:rFonts w:hint="eastAsia" w:ascii="仿宋" w:hAnsi="仿宋" w:eastAsia="仿宋"/>
          <w:color w:val="auto"/>
          <w:sz w:val="32"/>
          <w:szCs w:val="32"/>
          <w:highlight w:val="none"/>
          <w:lang w:val="en-US" w:eastAsia="zh-CN"/>
        </w:rPr>
        <w:t>2888.49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其他</w:t>
      </w:r>
      <w:r>
        <w:rPr>
          <w:rFonts w:hint="eastAsia" w:ascii="仿宋" w:hAnsi="仿宋" w:eastAsia="仿宋"/>
          <w:color w:val="auto"/>
          <w:sz w:val="32"/>
          <w:szCs w:val="32"/>
          <w:highlight w:val="none"/>
        </w:rPr>
        <w:t>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9"/>
      <w:bookmarkEnd w:id="40"/>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eastAsia="仿宋_GB2312"/>
          <w:color w:val="auto"/>
          <w:sz w:val="32"/>
          <w:szCs w:val="32"/>
          <w:highlight w:val="none"/>
        </w:rPr>
      </w:pPr>
      <w:r>
        <w:rPr>
          <w:rFonts w:hint="eastAsia" w:ascii="仿宋" w:hAnsi="仿宋" w:eastAsia="仿宋"/>
          <w:color w:val="auto"/>
          <w:sz w:val="32"/>
          <w:szCs w:val="32"/>
          <w:highlight w:val="none"/>
        </w:rPr>
        <w:t>（图2：收入决算结构图）（饼状图）</w:t>
      </w:r>
    </w:p>
    <w:p>
      <w:pPr>
        <w:pStyle w:val="34"/>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Chars="0"/>
        <w:textAlignment w:val="auto"/>
        <w:outlineLvl w:val="1"/>
        <w:rPr>
          <w:rStyle w:val="24"/>
          <w:rFonts w:ascii="黑体" w:hAnsi="黑体" w:eastAsia="黑体"/>
          <w:b w:val="0"/>
          <w:color w:val="auto"/>
          <w:highlight w:val="none"/>
        </w:rPr>
      </w:pPr>
      <w:bookmarkStart w:id="41" w:name="_Toc15377207"/>
      <w:bookmarkStart w:id="42" w:name="_Toc15396605"/>
      <w:bookmarkStart w:id="43" w:name="_Toc7869"/>
      <w:r>
        <w:rPr>
          <w:rFonts w:hint="eastAsia" w:ascii="黑体" w:hAnsi="黑体" w:eastAsia="黑体"/>
          <w:color w:val="auto"/>
          <w:sz w:val="32"/>
          <w:szCs w:val="32"/>
          <w:highlight w:val="none"/>
        </w:rPr>
        <w:t>支</w:t>
      </w:r>
      <w:r>
        <w:rPr>
          <w:rStyle w:val="24"/>
          <w:rFonts w:hint="eastAsia" w:ascii="黑体" w:hAnsi="黑体" w:eastAsia="黑体"/>
          <w:b w:val="0"/>
          <w:color w:val="auto"/>
          <w:highlight w:val="none"/>
        </w:rPr>
        <w:t>出决算情况说明</w:t>
      </w:r>
      <w:bookmarkEnd w:id="41"/>
      <w:bookmarkEnd w:id="42"/>
      <w:bookmarkEnd w:id="43"/>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1"/>
        <w:rPr>
          <w:rFonts w:hint="eastAsia" w:ascii="仿宋" w:hAnsi="仿宋" w:eastAsia="仿宋_GB2312"/>
          <w:color w:val="auto"/>
          <w:sz w:val="32"/>
          <w:szCs w:val="32"/>
          <w:highlight w:val="none"/>
          <w:shd w:val="pct10" w:color="auto" w:fill="FFFFFF"/>
          <w:lang w:val="en-US" w:eastAsia="zh-CN"/>
        </w:rPr>
      </w:pPr>
      <w:bookmarkStart w:id="44" w:name="_Toc21001"/>
      <w:bookmarkStart w:id="45" w:name="_Toc5274"/>
      <w:r>
        <w:drawing>
          <wp:anchor distT="0" distB="0" distL="114300" distR="114300" simplePos="0" relativeHeight="251664384" behindDoc="0" locked="0" layoutInCell="1" allowOverlap="1">
            <wp:simplePos x="0" y="0"/>
            <wp:positionH relativeFrom="column">
              <wp:posOffset>1765935</wp:posOffset>
            </wp:positionH>
            <wp:positionV relativeFrom="paragraph">
              <wp:posOffset>369570</wp:posOffset>
            </wp:positionV>
            <wp:extent cx="3455670" cy="2362200"/>
            <wp:effectExtent l="4445" t="4445" r="6985" b="1460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2888.49万元</w:t>
      </w:r>
      <w:r>
        <w:rPr>
          <w:rFonts w:hint="eastAsia" w:ascii="仿宋" w:hAnsi="仿宋" w:eastAsia="仿宋"/>
          <w:color w:val="auto"/>
          <w:sz w:val="32"/>
          <w:szCs w:val="32"/>
          <w:highlight w:val="none"/>
        </w:rPr>
        <w:t>，其中：基本支出</w:t>
      </w:r>
      <w:r>
        <w:rPr>
          <w:rFonts w:hint="eastAsia" w:ascii="仿宋" w:hAnsi="仿宋" w:eastAsia="仿宋"/>
          <w:color w:val="auto"/>
          <w:sz w:val="32"/>
          <w:szCs w:val="32"/>
          <w:highlight w:val="none"/>
          <w:lang w:val="en-US" w:eastAsia="zh-CN"/>
        </w:rPr>
        <w:t>370.64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12.83</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2517.85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87.17</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44"/>
      <w:bookmarkEnd w:id="45"/>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eastAsia="仿宋_GB2312"/>
          <w:color w:val="auto"/>
          <w:sz w:val="32"/>
          <w:szCs w:val="32"/>
          <w:highlight w:val="none"/>
        </w:rPr>
      </w:pPr>
      <w:r>
        <w:rPr>
          <w:rFonts w:hint="eastAsia" w:ascii="仿宋" w:hAnsi="仿宋" w:eastAsia="仿宋"/>
          <w:color w:val="auto"/>
          <w:sz w:val="32"/>
          <w:szCs w:val="32"/>
          <w:highlight w:val="none"/>
        </w:rPr>
        <w:t>（图3：支出决算结构图）（饼状图）</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1360" w:leftChars="0" w:hanging="720" w:firstLineChars="0"/>
        <w:textAlignment w:val="auto"/>
        <w:outlineLvl w:val="1"/>
        <w:rPr>
          <w:rStyle w:val="24"/>
          <w:rFonts w:hint="eastAsia" w:ascii="黑体" w:hAnsi="黑体" w:eastAsia="黑体"/>
          <w:b w:val="0"/>
          <w:color w:val="auto"/>
          <w:highlight w:val="none"/>
        </w:rPr>
      </w:pPr>
      <w:bookmarkStart w:id="46" w:name="_Toc15377208"/>
      <w:bookmarkStart w:id="47" w:name="_Toc15396606"/>
      <w:bookmarkStart w:id="48" w:name="_Toc9"/>
      <w:r>
        <w:rPr>
          <w:rFonts w:hint="eastAsia" w:ascii="黑体" w:hAnsi="黑体" w:eastAsia="黑体"/>
          <w:color w:val="auto"/>
          <w:sz w:val="32"/>
          <w:szCs w:val="32"/>
          <w:highlight w:val="none"/>
        </w:rPr>
        <w:t>财</w:t>
      </w:r>
      <w:r>
        <w:rPr>
          <w:rStyle w:val="24"/>
          <w:rFonts w:hint="eastAsia" w:ascii="黑体" w:hAnsi="黑体" w:eastAsia="黑体"/>
          <w:b w:val="0"/>
          <w:color w:val="auto"/>
          <w:highlight w:val="none"/>
        </w:rPr>
        <w:t>政拨款收入支出决算总体情况说明</w:t>
      </w:r>
      <w:bookmarkEnd w:id="46"/>
      <w:bookmarkEnd w:id="47"/>
      <w:bookmarkEnd w:id="48"/>
    </w:p>
    <w:p>
      <w:pPr>
        <w:pageBreakBefore w:val="0"/>
        <w:widowControl w:val="0"/>
        <w:kinsoku/>
        <w:wordWrap/>
        <w:overflowPunct/>
        <w:topLinePunct w:val="0"/>
        <w:autoSpaceDE/>
        <w:autoSpaceDN/>
        <w:bidi w:val="0"/>
        <w:adjustRightInd/>
        <w:snapToGrid/>
        <w:spacing w:line="500" w:lineRule="exact"/>
        <w:ind w:firstLine="630" w:firstLineChars="300"/>
        <w:textAlignment w:val="auto"/>
        <w:outlineLvl w:val="1"/>
        <w:rPr>
          <w:rFonts w:hint="default"/>
          <w:lang w:val="en-US" w:eastAsia="zh-CN"/>
        </w:rPr>
      </w:pPr>
      <w:bookmarkStart w:id="49" w:name="_Toc31702"/>
      <w:r>
        <w:drawing>
          <wp:anchor distT="0" distB="0" distL="114300" distR="114300" simplePos="0" relativeHeight="251665408" behindDoc="0" locked="0" layoutInCell="1" allowOverlap="1">
            <wp:simplePos x="0" y="0"/>
            <wp:positionH relativeFrom="column">
              <wp:posOffset>-8255</wp:posOffset>
            </wp:positionH>
            <wp:positionV relativeFrom="paragraph">
              <wp:posOffset>766445</wp:posOffset>
            </wp:positionV>
            <wp:extent cx="3305810" cy="2093595"/>
            <wp:effectExtent l="4445" t="4445" r="23495" b="16510"/>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Style w:val="19"/>
          <w:rFonts w:hint="eastAsia" w:ascii="仿宋_GB2312" w:hAnsi="仿宋_GB2312" w:eastAsia="仿宋_GB2312" w:cs="仿宋_GB2312"/>
          <w:b w:val="0"/>
          <w:kern w:val="0"/>
          <w:sz w:val="32"/>
          <w:szCs w:val="32"/>
          <w:shd w:val="clear" w:color="auto" w:fill="FFFFFF"/>
          <w:lang w:val="en-US" w:eastAsia="zh-CN" w:bidi="ar-SA"/>
        </w:rPr>
        <w:t>2025年度财政拨款收入2888.49万元，</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减少3050.91万元，降幅为51.37%。主要变动原因为：一是人员减少；二是年度项目支出减少</w:t>
      </w:r>
      <w:r>
        <w:rPr>
          <w:rFonts w:hint="eastAsia" w:ascii="仿宋" w:hAnsi="仿宋" w:eastAsia="仿宋"/>
          <w:color w:val="auto"/>
          <w:sz w:val="32"/>
          <w:szCs w:val="32"/>
          <w:highlight w:val="none"/>
        </w:rPr>
        <w:t>。</w:t>
      </w:r>
      <w:bookmarkEnd w:id="49"/>
      <w:bookmarkStart w:id="50" w:name="_Toc7826"/>
      <w:r>
        <w:rPr>
          <w:rStyle w:val="19"/>
          <w:rFonts w:hint="eastAsia" w:ascii="仿宋_GB2312" w:hAnsi="仿宋_GB2312" w:eastAsia="仿宋_GB2312" w:cs="仿宋_GB2312"/>
          <w:b w:val="0"/>
          <w:sz w:val="32"/>
          <w:szCs w:val="32"/>
          <w:shd w:val="clear" w:color="auto" w:fill="FFFFFF"/>
          <w:lang w:eastAsia="zh-CN"/>
        </w:rPr>
        <w:t>2025年</w:t>
      </w:r>
      <w:r>
        <w:rPr>
          <w:rStyle w:val="19"/>
          <w:rFonts w:hint="eastAsia" w:ascii="仿宋_GB2312" w:hAnsi="仿宋_GB2312" w:eastAsia="仿宋_GB2312" w:cs="仿宋_GB2312"/>
          <w:b w:val="0"/>
          <w:sz w:val="32"/>
          <w:szCs w:val="32"/>
          <w:shd w:val="clear" w:color="auto" w:fill="FFFFFF"/>
        </w:rPr>
        <w:t>度</w:t>
      </w:r>
      <w:r>
        <w:rPr>
          <w:rFonts w:hint="eastAsia" w:ascii="仿宋" w:hAnsi="仿宋" w:eastAsia="仿宋"/>
          <w:sz w:val="32"/>
          <w:szCs w:val="32"/>
        </w:rPr>
        <w:t>财政拨款</w:t>
      </w:r>
      <w:r>
        <w:rPr>
          <w:rStyle w:val="19"/>
          <w:rFonts w:hint="eastAsia" w:ascii="仿宋_GB2312" w:hAnsi="仿宋_GB2312" w:eastAsia="仿宋_GB2312" w:cs="仿宋_GB2312"/>
          <w:b w:val="0"/>
          <w:sz w:val="32"/>
          <w:szCs w:val="32"/>
          <w:shd w:val="clear" w:color="auto" w:fill="FFFFFF"/>
        </w:rPr>
        <w:t>支出</w:t>
      </w:r>
      <w:r>
        <w:rPr>
          <w:rStyle w:val="19"/>
          <w:rFonts w:hint="eastAsia" w:ascii="仿宋_GB2312" w:hAnsi="仿宋_GB2312" w:eastAsia="仿宋_GB2312" w:cs="仿宋_GB2312"/>
          <w:b w:val="0"/>
          <w:kern w:val="0"/>
          <w:sz w:val="32"/>
          <w:szCs w:val="32"/>
          <w:shd w:val="clear" w:color="auto" w:fill="FFFFFF"/>
          <w:lang w:val="en-US" w:eastAsia="zh-CN" w:bidi="ar-SA"/>
        </w:rPr>
        <w:t>2888.49万元，</w:t>
      </w:r>
      <w:bookmarkEnd w:id="50"/>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减少3050.91万元，降幅为51.37%。主要变动原因为：一是人员减少；二是年度项目支出减少。</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 w:hAnsi="仿宋" w:eastAsia="仿宋"/>
          <w:b/>
          <w:color w:val="auto"/>
          <w:sz w:val="32"/>
          <w:szCs w:val="32"/>
          <w:highlight w:val="none"/>
        </w:rPr>
      </w:pPr>
      <w:r>
        <w:rPr>
          <w:rFonts w:hint="eastAsia" w:ascii="仿宋" w:hAnsi="仿宋" w:eastAsia="仿宋"/>
          <w:color w:val="auto"/>
          <w:sz w:val="32"/>
          <w:szCs w:val="32"/>
          <w:highlight w:val="none"/>
        </w:rPr>
        <w:t>（图4：财政拨款收、支决算总计变动情况）（柱状图）</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1"/>
        <w:rPr>
          <w:rStyle w:val="24"/>
          <w:rFonts w:ascii="黑体" w:hAnsi="黑体" w:eastAsia="黑体"/>
          <w:b w:val="0"/>
          <w:color w:val="auto"/>
          <w:highlight w:val="none"/>
        </w:rPr>
      </w:pPr>
      <w:bookmarkStart w:id="51" w:name="_Toc15377209"/>
      <w:bookmarkStart w:id="52" w:name="_Toc15396607"/>
      <w:bookmarkStart w:id="53" w:name="_Toc17060"/>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4"/>
          <w:rFonts w:hint="eastAsia" w:ascii="黑体" w:hAnsi="黑体" w:eastAsia="黑体"/>
          <w:b w:val="0"/>
          <w:color w:val="auto"/>
          <w:highlight w:val="none"/>
        </w:rPr>
        <w:t>般公共预算财政拨款支出决算情况说明</w:t>
      </w:r>
      <w:bookmarkEnd w:id="51"/>
      <w:bookmarkEnd w:id="52"/>
      <w:bookmarkEnd w:id="53"/>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outlineLvl w:val="2"/>
        <w:rPr>
          <w:rFonts w:ascii="仿宋" w:hAnsi="仿宋" w:eastAsia="仿宋"/>
          <w:b/>
          <w:color w:val="auto"/>
          <w:sz w:val="32"/>
          <w:szCs w:val="32"/>
          <w:highlight w:val="none"/>
        </w:rPr>
      </w:pPr>
      <w:bookmarkStart w:id="54" w:name="_Toc15377210"/>
      <w:r>
        <w:rPr>
          <w:rFonts w:hint="eastAsia" w:ascii="仿宋" w:hAnsi="仿宋" w:eastAsia="仿宋"/>
          <w:b/>
          <w:color w:val="auto"/>
          <w:sz w:val="32"/>
          <w:szCs w:val="32"/>
          <w:highlight w:val="none"/>
        </w:rPr>
        <w:t>（一）一般公共预算财政拨款支出决算总体情况</w:t>
      </w:r>
      <w:bookmarkEnd w:id="54"/>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outlineLvl w:val="1"/>
        <w:rPr>
          <w:rFonts w:hint="eastAsia" w:ascii="仿宋" w:hAnsi="仿宋" w:eastAsia="仿宋"/>
          <w:color w:val="auto"/>
          <w:sz w:val="32"/>
          <w:szCs w:val="32"/>
          <w:highlight w:val="none"/>
        </w:rPr>
      </w:pPr>
      <w:r>
        <w:drawing>
          <wp:anchor distT="0" distB="0" distL="114300" distR="114300" simplePos="0" relativeHeight="251666432" behindDoc="0" locked="0" layoutInCell="1" allowOverlap="1">
            <wp:simplePos x="0" y="0"/>
            <wp:positionH relativeFrom="column">
              <wp:posOffset>-198755</wp:posOffset>
            </wp:positionH>
            <wp:positionV relativeFrom="paragraph">
              <wp:posOffset>423545</wp:posOffset>
            </wp:positionV>
            <wp:extent cx="4053840" cy="2330450"/>
            <wp:effectExtent l="4445" t="4445" r="18415" b="8255"/>
            <wp:wrapSquare wrapText="bothSides"/>
            <wp:docPr id="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2888.49</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减少3050.91万元，降幅为51.37%。主要变动原因为：一是人员减少；二是年度项目支出减少。</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outlineLvl w:val="2"/>
        <w:rPr>
          <w:rFonts w:ascii="仿宋" w:hAnsi="仿宋" w:eastAsia="仿宋"/>
          <w:b/>
          <w:color w:val="auto"/>
          <w:sz w:val="32"/>
          <w:szCs w:val="32"/>
          <w:highlight w:val="none"/>
        </w:rPr>
      </w:pPr>
      <w:bookmarkStart w:id="55" w:name="_Toc15377211"/>
      <w:r>
        <w:rPr>
          <w:rFonts w:hint="eastAsia" w:ascii="仿宋" w:hAnsi="仿宋" w:eastAsia="仿宋"/>
          <w:b/>
          <w:color w:val="auto"/>
          <w:sz w:val="32"/>
          <w:szCs w:val="32"/>
          <w:highlight w:val="none"/>
        </w:rPr>
        <w:t>（二）一般公共预算财政拨款支出决算结构情况</w:t>
      </w:r>
      <w:bookmarkEnd w:id="55"/>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 w:hAnsi="仿宋" w:eastAsia="仿宋"/>
          <w:color w:val="auto"/>
          <w:sz w:val="32"/>
          <w:szCs w:val="32"/>
          <w:highlight w:val="none"/>
        </w:rPr>
      </w:pPr>
      <w:r>
        <w:drawing>
          <wp:anchor distT="0" distB="0" distL="114300" distR="114300" simplePos="0" relativeHeight="251667456" behindDoc="0" locked="0" layoutInCell="1" allowOverlap="1">
            <wp:simplePos x="0" y="0"/>
            <wp:positionH relativeFrom="column">
              <wp:posOffset>-138430</wp:posOffset>
            </wp:positionH>
            <wp:positionV relativeFrom="paragraph">
              <wp:posOffset>391160</wp:posOffset>
            </wp:positionV>
            <wp:extent cx="3836035" cy="2379980"/>
            <wp:effectExtent l="4445" t="4445" r="7620" b="15875"/>
            <wp:wrapSquare wrapText="bothSides"/>
            <wp:docPr id="1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2888.49</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bCs/>
          <w:color w:val="auto"/>
          <w:sz w:val="32"/>
          <w:szCs w:val="32"/>
          <w:highlight w:val="none"/>
        </w:rPr>
        <w:t>文化旅游体育与传媒支出</w:t>
      </w:r>
      <w:r>
        <w:rPr>
          <w:rFonts w:hint="eastAsia" w:ascii="仿宋" w:hAnsi="仿宋" w:eastAsia="仿宋"/>
          <w:b w:val="0"/>
          <w:bCs w:val="0"/>
          <w:color w:val="auto"/>
          <w:sz w:val="32"/>
          <w:szCs w:val="32"/>
          <w:highlight w:val="none"/>
          <w:lang w:val="en-US" w:eastAsia="zh-CN"/>
        </w:rPr>
        <w:t>2785.54</w:t>
      </w:r>
      <w:r>
        <w:rPr>
          <w:rFonts w:hint="eastAsia" w:ascii="仿宋" w:hAnsi="仿宋" w:eastAsia="仿宋"/>
          <w:b w:val="0"/>
          <w:bCs w:val="0"/>
          <w:color w:val="auto"/>
          <w:sz w:val="32"/>
          <w:szCs w:val="32"/>
          <w:highlight w:val="none"/>
        </w:rPr>
        <w:t>万元，占</w:t>
      </w:r>
      <w:r>
        <w:rPr>
          <w:rFonts w:hint="eastAsia" w:ascii="仿宋" w:hAnsi="仿宋" w:eastAsia="仿宋"/>
          <w:b w:val="0"/>
          <w:bCs w:val="0"/>
          <w:color w:val="auto"/>
          <w:sz w:val="32"/>
          <w:szCs w:val="32"/>
          <w:highlight w:val="none"/>
          <w:lang w:val="en-US" w:eastAsia="zh-CN"/>
        </w:rPr>
        <w:t>96.44</w:t>
      </w:r>
      <w:r>
        <w:rPr>
          <w:rFonts w:ascii="仿宋" w:hAnsi="仿宋" w:eastAsia="仿宋"/>
          <w:b w:val="0"/>
          <w:bCs w:val="0"/>
          <w:color w:val="auto"/>
          <w:sz w:val="32"/>
          <w:szCs w:val="32"/>
          <w:highlight w:val="none"/>
        </w:rPr>
        <w:t>%</w:t>
      </w:r>
      <w:r>
        <w:rPr>
          <w:rFonts w:hint="eastAsia" w:ascii="仿宋" w:hAnsi="仿宋" w:eastAsia="仿宋"/>
          <w:b w:val="0"/>
          <w:bCs w:val="0"/>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51.51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1.78</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23.7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0.82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27.75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0.96</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outlineLvl w:val="2"/>
        <w:rPr>
          <w:rFonts w:ascii="仿宋" w:hAnsi="仿宋" w:eastAsia="仿宋"/>
          <w:b/>
          <w:color w:val="auto"/>
          <w:sz w:val="32"/>
          <w:szCs w:val="32"/>
          <w:highlight w:val="none"/>
        </w:rPr>
      </w:pPr>
      <w:bookmarkStart w:id="56" w:name="_Toc15377212"/>
      <w:r>
        <w:rPr>
          <w:rFonts w:hint="eastAsia" w:ascii="仿宋" w:hAnsi="仿宋" w:eastAsia="仿宋"/>
          <w:b/>
          <w:color w:val="auto"/>
          <w:sz w:val="32"/>
          <w:szCs w:val="32"/>
          <w:highlight w:val="none"/>
        </w:rPr>
        <w:t>（三）一般公共预算财政拨款支出决算具体情况</w:t>
      </w:r>
      <w:bookmarkEnd w:id="56"/>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outlineLvl w:val="2"/>
        <w:rPr>
          <w:rFonts w:ascii="仿宋" w:hAnsi="仿宋" w:eastAsia="仿宋"/>
          <w:color w:val="auto"/>
          <w:sz w:val="32"/>
          <w:szCs w:val="32"/>
          <w:highlight w:val="none"/>
        </w:rPr>
      </w:pPr>
      <w:bookmarkStart w:id="57" w:name="_Toc15378460"/>
      <w:bookmarkStart w:id="58" w:name="_Toc15377444"/>
      <w:bookmarkStart w:id="59" w:name="_Toc15377213"/>
      <w:r>
        <w:rPr>
          <w:rFonts w:hint="eastAsia" w:ascii="仿宋" w:hAnsi="仿宋" w:eastAsia="仿宋"/>
          <w:b/>
          <w:color w:val="auto"/>
          <w:sz w:val="32"/>
          <w:szCs w:val="32"/>
          <w:highlight w:val="none"/>
          <w:lang w:eastAsia="zh-CN"/>
        </w:rPr>
        <w:t>2025年一</w:t>
      </w:r>
      <w:r>
        <w:rPr>
          <w:rFonts w:hint="eastAsia" w:ascii="仿宋" w:hAnsi="仿宋" w:eastAsia="仿宋"/>
          <w:b/>
          <w:color w:val="auto"/>
          <w:sz w:val="32"/>
          <w:szCs w:val="32"/>
          <w:highlight w:val="none"/>
        </w:rPr>
        <w:t>般公共预算支出决算数为</w:t>
      </w:r>
      <w:r>
        <w:rPr>
          <w:rFonts w:hint="eastAsia" w:ascii="仿宋" w:hAnsi="仿宋" w:eastAsia="仿宋"/>
          <w:b/>
          <w:bCs/>
          <w:color w:val="auto"/>
          <w:sz w:val="32"/>
          <w:szCs w:val="32"/>
          <w:highlight w:val="none"/>
          <w:lang w:val="en-US" w:eastAsia="zh-CN"/>
        </w:rPr>
        <w:t>2888.49万元</w:t>
      </w:r>
      <w:r>
        <w:rPr>
          <w:rFonts w:hint="eastAsia" w:ascii="仿宋" w:hAnsi="仿宋" w:eastAsia="仿宋"/>
          <w:b/>
          <w:bCs/>
          <w:color w:val="auto"/>
          <w:sz w:val="32"/>
          <w:szCs w:val="32"/>
          <w:highlight w:val="none"/>
        </w:rPr>
        <w:t>，</w:t>
      </w:r>
      <w:r>
        <w:rPr>
          <w:rStyle w:val="19"/>
          <w:rFonts w:hint="eastAsia" w:ascii="仿宋" w:hAnsi="仿宋" w:eastAsia="仿宋"/>
          <w:bCs/>
          <w:color w:val="auto"/>
          <w:sz w:val="32"/>
          <w:szCs w:val="32"/>
          <w:highlight w:val="none"/>
        </w:rPr>
        <w:t>完成预算</w:t>
      </w:r>
      <w:r>
        <w:rPr>
          <w:rStyle w:val="19"/>
          <w:rFonts w:hint="eastAsia" w:ascii="仿宋" w:hAnsi="仿宋" w:eastAsia="仿宋"/>
          <w:bCs/>
          <w:color w:val="auto"/>
          <w:sz w:val="32"/>
          <w:szCs w:val="32"/>
          <w:highlight w:val="none"/>
          <w:lang w:val="en-US" w:eastAsia="zh-CN"/>
        </w:rPr>
        <w:t>100</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。其中：</w:t>
      </w:r>
      <w:bookmarkEnd w:id="57"/>
      <w:bookmarkEnd w:id="58"/>
      <w:bookmarkEnd w:id="59"/>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ascii="仿宋" w:hAnsi="仿宋" w:eastAsia="仿宋"/>
          <w:b/>
          <w:color w:val="auto"/>
          <w:sz w:val="32"/>
          <w:szCs w:val="32"/>
          <w:highlight w:val="none"/>
        </w:rPr>
      </w:pPr>
      <w:r>
        <w:rPr>
          <w:rStyle w:val="19"/>
          <w:rFonts w:hint="eastAsia" w:ascii="仿宋" w:hAnsi="仿宋" w:eastAsia="仿宋"/>
          <w:bCs/>
          <w:sz w:val="32"/>
          <w:szCs w:val="32"/>
          <w:lang w:val="en-US" w:eastAsia="zh-CN"/>
        </w:rPr>
        <w:t>1</w:t>
      </w:r>
      <w:r>
        <w:rPr>
          <w:rStyle w:val="19"/>
          <w:rFonts w:ascii="仿宋" w:hAnsi="仿宋" w:eastAsia="仿宋"/>
          <w:bCs/>
          <w:sz w:val="32"/>
          <w:szCs w:val="32"/>
        </w:rPr>
        <w:t>.</w:t>
      </w:r>
      <w:r>
        <w:rPr>
          <w:rStyle w:val="19"/>
          <w:rFonts w:hint="eastAsia" w:ascii="仿宋" w:hAnsi="仿宋" w:eastAsia="仿宋"/>
          <w:bCs/>
          <w:sz w:val="32"/>
          <w:szCs w:val="32"/>
        </w:rPr>
        <w:t>文化旅游体育与传媒207</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2785.54</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rPr>
        <w:t>行政运行2070101</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267.68</w:t>
      </w:r>
      <w:r>
        <w:rPr>
          <w:rStyle w:val="19"/>
          <w:rFonts w:hint="eastAsia" w:ascii="仿宋" w:hAnsi="仿宋" w:eastAsia="仿宋"/>
          <w:b w:val="0"/>
          <w:bCs/>
          <w:sz w:val="32"/>
          <w:szCs w:val="32"/>
        </w:rPr>
        <w:t>万元，</w:t>
      </w:r>
      <w:r>
        <w:rPr>
          <w:rStyle w:val="19"/>
          <w:rFonts w:hint="eastAsia" w:ascii="仿宋" w:hAnsi="仿宋" w:eastAsia="仿宋"/>
          <w:b/>
          <w:bCs w:val="0"/>
          <w:sz w:val="32"/>
          <w:szCs w:val="32"/>
          <w:lang w:eastAsia="zh-CN"/>
        </w:rPr>
        <w:t>一般行政管理事务</w:t>
      </w:r>
      <w:r>
        <w:rPr>
          <w:rStyle w:val="19"/>
          <w:rFonts w:hint="eastAsia" w:ascii="仿宋" w:hAnsi="仿宋" w:eastAsia="仿宋"/>
          <w:b/>
          <w:bCs w:val="0"/>
          <w:sz w:val="32"/>
          <w:szCs w:val="32"/>
          <w:lang w:val="en-US" w:eastAsia="zh-CN"/>
        </w:rPr>
        <w:t>2070102</w:t>
      </w:r>
      <w:r>
        <w:rPr>
          <w:rStyle w:val="19"/>
          <w:rFonts w:hint="eastAsia" w:ascii="仿宋" w:hAnsi="仿宋" w:eastAsia="仿宋"/>
          <w:b w:val="0"/>
          <w:bCs/>
          <w:sz w:val="32"/>
          <w:szCs w:val="32"/>
          <w:lang w:eastAsia="zh-CN"/>
        </w:rPr>
        <w:t>支出决算数</w:t>
      </w:r>
      <w:r>
        <w:rPr>
          <w:rStyle w:val="19"/>
          <w:rFonts w:hint="eastAsia" w:ascii="仿宋" w:hAnsi="仿宋" w:eastAsia="仿宋"/>
          <w:b w:val="0"/>
          <w:bCs/>
          <w:sz w:val="32"/>
          <w:szCs w:val="32"/>
          <w:lang w:val="en-US" w:eastAsia="zh-CN"/>
        </w:rPr>
        <w:t>2023.11万元，</w:t>
      </w:r>
      <w:r>
        <w:rPr>
          <w:rStyle w:val="19"/>
          <w:rFonts w:hint="eastAsia" w:ascii="仿宋" w:hAnsi="仿宋" w:eastAsia="仿宋"/>
          <w:b/>
          <w:bCs w:val="0"/>
          <w:sz w:val="32"/>
          <w:szCs w:val="32"/>
          <w:lang w:val="en-US" w:eastAsia="zh-CN"/>
        </w:rPr>
        <w:t>群众文化2070109</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0.34万元</w:t>
      </w:r>
      <w:r>
        <w:rPr>
          <w:rStyle w:val="19"/>
          <w:rFonts w:hint="eastAsia" w:ascii="仿宋" w:hAnsi="仿宋" w:eastAsia="仿宋"/>
          <w:b/>
          <w:bCs w:val="0"/>
          <w:sz w:val="32"/>
          <w:szCs w:val="32"/>
          <w:lang w:val="en-US" w:eastAsia="zh-CN"/>
        </w:rPr>
        <w:t>，文化和旅游交流与合作2070110</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29.81万元</w:t>
      </w:r>
      <w:r>
        <w:rPr>
          <w:rStyle w:val="19"/>
          <w:rFonts w:hint="eastAsia" w:ascii="仿宋" w:hAnsi="仿宋" w:eastAsia="仿宋"/>
          <w:b/>
          <w:bCs w:val="0"/>
          <w:sz w:val="32"/>
          <w:szCs w:val="32"/>
          <w:lang w:val="en-US" w:eastAsia="zh-CN"/>
        </w:rPr>
        <w:t>，</w:t>
      </w:r>
      <w:r>
        <w:rPr>
          <w:rStyle w:val="19"/>
          <w:rFonts w:hint="eastAsia" w:ascii="仿宋" w:hAnsi="仿宋" w:eastAsia="仿宋"/>
          <w:sz w:val="32"/>
          <w:szCs w:val="32"/>
        </w:rPr>
        <w:t>其他文化和旅游支出2070199</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317.84</w:t>
      </w:r>
      <w:r>
        <w:rPr>
          <w:rStyle w:val="19"/>
          <w:rFonts w:hint="eastAsia" w:ascii="仿宋" w:hAnsi="仿宋" w:eastAsia="仿宋"/>
          <w:b w:val="0"/>
          <w:bCs/>
          <w:sz w:val="32"/>
          <w:szCs w:val="32"/>
        </w:rPr>
        <w:t>万元，</w:t>
      </w:r>
      <w:r>
        <w:rPr>
          <w:rStyle w:val="19"/>
          <w:rFonts w:hint="eastAsia" w:ascii="仿宋" w:hAnsi="仿宋" w:eastAsia="仿宋"/>
          <w:sz w:val="32"/>
          <w:szCs w:val="32"/>
        </w:rPr>
        <w:t>文物保护2070204</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16.38</w:t>
      </w:r>
      <w:r>
        <w:rPr>
          <w:rStyle w:val="19"/>
          <w:rFonts w:hint="eastAsia" w:ascii="仿宋" w:hAnsi="仿宋" w:eastAsia="仿宋"/>
          <w:b w:val="0"/>
          <w:bCs/>
          <w:sz w:val="32"/>
          <w:szCs w:val="32"/>
        </w:rPr>
        <w:t>万元，</w:t>
      </w:r>
      <w:r>
        <w:rPr>
          <w:rStyle w:val="19"/>
          <w:rFonts w:hint="eastAsia" w:ascii="仿宋" w:hAnsi="仿宋" w:eastAsia="仿宋"/>
          <w:sz w:val="32"/>
          <w:szCs w:val="32"/>
        </w:rPr>
        <w:t>博物馆2070205</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98.43</w:t>
      </w:r>
      <w:r>
        <w:rPr>
          <w:rStyle w:val="19"/>
          <w:rFonts w:hint="eastAsia" w:ascii="仿宋" w:hAnsi="仿宋" w:eastAsia="仿宋"/>
          <w:b w:val="0"/>
          <w:bCs/>
          <w:sz w:val="32"/>
          <w:szCs w:val="32"/>
        </w:rPr>
        <w:t>万元，</w:t>
      </w:r>
      <w:r>
        <w:rPr>
          <w:rStyle w:val="19"/>
          <w:rFonts w:hint="eastAsia" w:ascii="仿宋" w:hAnsi="仿宋" w:eastAsia="仿宋"/>
          <w:b/>
          <w:bCs w:val="0"/>
          <w:sz w:val="32"/>
          <w:szCs w:val="32"/>
          <w:lang w:eastAsia="zh-CN"/>
        </w:rPr>
        <w:t>一般行政管理事务</w:t>
      </w:r>
      <w:r>
        <w:rPr>
          <w:rStyle w:val="19"/>
          <w:rFonts w:hint="eastAsia" w:ascii="仿宋" w:hAnsi="仿宋" w:eastAsia="仿宋"/>
          <w:b/>
          <w:bCs w:val="0"/>
          <w:sz w:val="32"/>
          <w:szCs w:val="32"/>
          <w:lang w:val="en-US" w:eastAsia="zh-CN"/>
        </w:rPr>
        <w:t>2070302</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6.95万元</w:t>
      </w:r>
      <w:r>
        <w:rPr>
          <w:rStyle w:val="19"/>
          <w:rFonts w:hint="eastAsia" w:ascii="仿宋" w:hAnsi="仿宋" w:eastAsia="仿宋"/>
          <w:b/>
          <w:bCs w:val="0"/>
          <w:sz w:val="32"/>
          <w:szCs w:val="32"/>
          <w:lang w:val="en-US" w:eastAsia="zh-CN"/>
        </w:rPr>
        <w:t>，</w:t>
      </w:r>
      <w:r>
        <w:rPr>
          <w:rStyle w:val="19"/>
          <w:rFonts w:hint="eastAsia" w:ascii="仿宋" w:hAnsi="仿宋" w:eastAsia="仿宋"/>
          <w:b/>
          <w:bCs w:val="0"/>
          <w:sz w:val="32"/>
          <w:szCs w:val="32"/>
          <w:lang w:eastAsia="zh-CN"/>
        </w:rPr>
        <w:t>体育场馆</w:t>
      </w:r>
      <w:r>
        <w:rPr>
          <w:rStyle w:val="19"/>
          <w:rFonts w:hint="eastAsia" w:ascii="仿宋" w:hAnsi="仿宋" w:eastAsia="仿宋"/>
          <w:b/>
          <w:bCs w:val="0"/>
          <w:sz w:val="32"/>
          <w:szCs w:val="32"/>
          <w:lang w:val="en-US" w:eastAsia="zh-CN"/>
        </w:rPr>
        <w:t>2070307</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25万元</w:t>
      </w:r>
      <w:r>
        <w:rPr>
          <w:rStyle w:val="19"/>
          <w:rFonts w:hint="eastAsia" w:ascii="仿宋" w:hAnsi="仿宋" w:eastAsia="仿宋"/>
          <w:b w:val="0"/>
          <w:bCs/>
          <w:sz w:val="32"/>
          <w:szCs w:val="32"/>
        </w:rPr>
        <w:t>）</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ascii="仿宋" w:hAnsi="仿宋" w:eastAsia="仿宋"/>
          <w:b/>
          <w:color w:val="auto"/>
          <w:sz w:val="32"/>
          <w:szCs w:val="32"/>
          <w:highlight w:val="none"/>
        </w:rPr>
      </w:pPr>
      <w:r>
        <w:rPr>
          <w:rStyle w:val="19"/>
          <w:rFonts w:hint="eastAsia" w:ascii="仿宋" w:hAnsi="仿宋" w:eastAsia="仿宋"/>
          <w:bCs/>
          <w:sz w:val="32"/>
          <w:szCs w:val="32"/>
          <w:lang w:val="en-US" w:eastAsia="zh-CN"/>
        </w:rPr>
        <w:t>2</w:t>
      </w:r>
      <w:r>
        <w:rPr>
          <w:rStyle w:val="19"/>
          <w:rFonts w:ascii="仿宋" w:hAnsi="仿宋" w:eastAsia="仿宋"/>
          <w:bCs/>
          <w:sz w:val="32"/>
          <w:szCs w:val="32"/>
        </w:rPr>
        <w:t>.</w:t>
      </w:r>
      <w:r>
        <w:rPr>
          <w:rStyle w:val="19"/>
          <w:rFonts w:hint="eastAsia" w:ascii="仿宋" w:hAnsi="仿宋" w:eastAsia="仿宋"/>
          <w:bCs/>
          <w:sz w:val="32"/>
          <w:szCs w:val="32"/>
        </w:rPr>
        <w:t>社会保障和就业208</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51.51</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rPr>
        <w:t>机关事业单位基本养老保险缴费支出2080505</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33.31</w:t>
      </w:r>
      <w:r>
        <w:rPr>
          <w:rStyle w:val="19"/>
          <w:rFonts w:hint="eastAsia" w:ascii="仿宋" w:hAnsi="仿宋" w:eastAsia="仿宋"/>
          <w:b w:val="0"/>
          <w:bCs/>
          <w:sz w:val="32"/>
          <w:szCs w:val="32"/>
        </w:rPr>
        <w:t>万元，</w:t>
      </w:r>
      <w:r>
        <w:rPr>
          <w:rStyle w:val="19"/>
          <w:rFonts w:hint="eastAsia" w:ascii="仿宋" w:hAnsi="仿宋" w:eastAsia="仿宋"/>
          <w:b/>
          <w:bCs w:val="0"/>
          <w:sz w:val="32"/>
          <w:szCs w:val="32"/>
        </w:rPr>
        <w:t>机关事业单位职业年金缴费支出2080506</w:t>
      </w:r>
      <w:r>
        <w:rPr>
          <w:rStyle w:val="19"/>
          <w:rFonts w:hint="eastAsia" w:ascii="仿宋" w:hAnsi="仿宋" w:eastAsia="仿宋"/>
          <w:b w:val="0"/>
          <w:bCs/>
          <w:sz w:val="32"/>
          <w:szCs w:val="32"/>
        </w:rPr>
        <w:t>支出决算</w:t>
      </w:r>
      <w:r>
        <w:rPr>
          <w:rStyle w:val="19"/>
          <w:rFonts w:hint="eastAsia" w:ascii="仿宋" w:hAnsi="仿宋" w:eastAsia="仿宋"/>
          <w:b w:val="0"/>
          <w:bCs/>
          <w:sz w:val="32"/>
          <w:szCs w:val="32"/>
          <w:lang w:eastAsia="zh-CN"/>
        </w:rPr>
        <w:t>数为</w:t>
      </w:r>
      <w:r>
        <w:rPr>
          <w:rStyle w:val="19"/>
          <w:rFonts w:hint="eastAsia" w:ascii="仿宋" w:hAnsi="仿宋" w:eastAsia="仿宋"/>
          <w:b w:val="0"/>
          <w:bCs/>
          <w:sz w:val="32"/>
          <w:szCs w:val="32"/>
          <w:lang w:val="en-US" w:eastAsia="zh-CN"/>
        </w:rPr>
        <w:t>18.2</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Style w:val="19"/>
          <w:rFonts w:hint="eastAsia" w:ascii="仿宋" w:hAnsi="仿宋" w:eastAsia="仿宋"/>
          <w:b w:val="0"/>
          <w:bCs/>
          <w:sz w:val="32"/>
          <w:szCs w:val="32"/>
        </w:rPr>
      </w:pPr>
      <w:r>
        <w:rPr>
          <w:rStyle w:val="19"/>
          <w:rFonts w:hint="eastAsia" w:ascii="仿宋" w:hAnsi="仿宋" w:eastAsia="仿宋"/>
          <w:bCs/>
          <w:sz w:val="32"/>
          <w:szCs w:val="32"/>
          <w:lang w:val="en-US" w:eastAsia="zh-CN"/>
        </w:rPr>
        <w:t>3</w:t>
      </w:r>
      <w:r>
        <w:rPr>
          <w:rStyle w:val="19"/>
          <w:rFonts w:ascii="仿宋" w:hAnsi="仿宋" w:eastAsia="仿宋"/>
          <w:bCs/>
          <w:sz w:val="32"/>
          <w:szCs w:val="32"/>
        </w:rPr>
        <w:t>.</w:t>
      </w:r>
      <w:r>
        <w:rPr>
          <w:rFonts w:hint="eastAsia" w:ascii="仿宋" w:hAnsi="仿宋" w:eastAsia="仿宋"/>
          <w:b/>
          <w:bCs/>
          <w:sz w:val="32"/>
          <w:szCs w:val="32"/>
        </w:rPr>
        <w:t>卫生健康210</w:t>
      </w:r>
      <w:r>
        <w:rPr>
          <w:rStyle w:val="19"/>
          <w:rFonts w:hint="eastAsia" w:ascii="仿宋" w:hAnsi="仿宋" w:eastAsia="仿宋"/>
          <w:b w:val="0"/>
          <w:bCs/>
          <w:sz w:val="32"/>
          <w:szCs w:val="32"/>
        </w:rPr>
        <w:t>支出决算</w:t>
      </w:r>
      <w:r>
        <w:rPr>
          <w:rStyle w:val="19"/>
          <w:rFonts w:hint="eastAsia" w:ascii="仿宋" w:hAnsi="仿宋" w:eastAsia="仿宋"/>
          <w:b w:val="0"/>
          <w:bCs/>
          <w:sz w:val="32"/>
          <w:szCs w:val="32"/>
          <w:lang w:eastAsia="zh-CN"/>
        </w:rPr>
        <w:t>数为</w:t>
      </w:r>
      <w:r>
        <w:rPr>
          <w:rStyle w:val="19"/>
          <w:rFonts w:hint="eastAsia" w:ascii="仿宋" w:hAnsi="仿宋" w:eastAsia="仿宋"/>
          <w:b w:val="0"/>
          <w:bCs/>
          <w:sz w:val="32"/>
          <w:szCs w:val="32"/>
          <w:lang w:val="en-US" w:eastAsia="zh-CN"/>
        </w:rPr>
        <w:t>23.7</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rPr>
        <w:t>行政单位医疗2101101</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15.92</w:t>
      </w:r>
      <w:r>
        <w:rPr>
          <w:rStyle w:val="19"/>
          <w:rFonts w:hint="eastAsia" w:ascii="仿宋" w:hAnsi="仿宋" w:eastAsia="仿宋"/>
          <w:b w:val="0"/>
          <w:bCs/>
          <w:sz w:val="32"/>
          <w:szCs w:val="32"/>
        </w:rPr>
        <w:t>万元，</w:t>
      </w:r>
      <w:r>
        <w:rPr>
          <w:rStyle w:val="19"/>
          <w:rFonts w:hint="eastAsia" w:ascii="仿宋" w:hAnsi="仿宋" w:eastAsia="仿宋"/>
          <w:b/>
          <w:bCs w:val="0"/>
          <w:sz w:val="32"/>
          <w:szCs w:val="32"/>
        </w:rPr>
        <w:t>公务员医疗补助2101103</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7.77</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Style w:val="19"/>
          <w:rFonts w:hint="eastAsia" w:ascii="仿宋" w:hAnsi="仿宋" w:eastAsia="仿宋"/>
          <w:b w:val="0"/>
          <w:bCs/>
          <w:sz w:val="32"/>
          <w:szCs w:val="32"/>
        </w:rPr>
      </w:pPr>
      <w:r>
        <w:rPr>
          <w:rFonts w:hint="eastAsia" w:ascii="仿宋" w:hAnsi="仿宋" w:eastAsia="仿宋"/>
          <w:b/>
          <w:bCs/>
          <w:sz w:val="32"/>
          <w:szCs w:val="32"/>
          <w:lang w:val="en-US" w:eastAsia="zh-CN"/>
        </w:rPr>
        <w:t>4</w:t>
      </w:r>
      <w:r>
        <w:rPr>
          <w:rFonts w:hint="eastAsia" w:ascii="仿宋" w:hAnsi="仿宋" w:eastAsia="仿宋"/>
          <w:b/>
          <w:bCs/>
          <w:sz w:val="32"/>
          <w:szCs w:val="32"/>
        </w:rPr>
        <w:t>.</w:t>
      </w:r>
      <w:r>
        <w:rPr>
          <w:rFonts w:hint="eastAsia" w:ascii="仿宋" w:hAnsi="仿宋" w:eastAsia="仿宋"/>
          <w:b/>
          <w:sz w:val="32"/>
          <w:szCs w:val="32"/>
        </w:rPr>
        <w:t>住房保障</w:t>
      </w:r>
      <w:r>
        <w:rPr>
          <w:rFonts w:hint="eastAsia" w:ascii="仿宋" w:hAnsi="仿宋" w:eastAsia="仿宋"/>
          <w:b/>
          <w:sz w:val="32"/>
          <w:szCs w:val="32"/>
          <w:lang w:val="en-US" w:eastAsia="zh-CN"/>
        </w:rPr>
        <w:t>221</w:t>
      </w:r>
      <w:r>
        <w:rPr>
          <w:rFonts w:hint="eastAsia" w:ascii="仿宋" w:hAnsi="仿宋" w:eastAsia="仿宋"/>
          <w:b/>
          <w:sz w:val="32"/>
          <w:szCs w:val="32"/>
        </w:rPr>
        <w:t>支出：住房公积金2210201</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27.75</w:t>
      </w:r>
      <w:r>
        <w:rPr>
          <w:rStyle w:val="19"/>
          <w:rFonts w:hint="eastAsia" w:ascii="仿宋" w:hAnsi="仿宋" w:eastAsia="仿宋"/>
          <w:b w:val="0"/>
          <w:bCs/>
          <w:sz w:val="32"/>
          <w:szCs w:val="32"/>
        </w:rPr>
        <w:t>万元，完成预算100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keepNext w:val="0"/>
        <w:keepLines w:val="0"/>
        <w:pageBreakBefore w:val="0"/>
        <w:widowControl w:val="0"/>
        <w:tabs>
          <w:tab w:val="right" w:pos="8306"/>
        </w:tabs>
        <w:kinsoku/>
        <w:wordWrap/>
        <w:overflowPunct/>
        <w:topLinePunct w:val="0"/>
        <w:autoSpaceDE/>
        <w:autoSpaceDN/>
        <w:bidi w:val="0"/>
        <w:adjustRightInd/>
        <w:snapToGrid/>
        <w:spacing w:line="500" w:lineRule="exact"/>
        <w:ind w:firstLine="640"/>
        <w:textAlignment w:val="auto"/>
        <w:outlineLvl w:val="1"/>
        <w:rPr>
          <w:rStyle w:val="24"/>
          <w:color w:val="auto"/>
          <w:highlight w:val="none"/>
        </w:rPr>
      </w:pPr>
      <w:bookmarkStart w:id="60" w:name="_Toc1425"/>
      <w:bookmarkStart w:id="61" w:name="_Toc15377214"/>
      <w:bookmarkStart w:id="62" w:name="_Toc15396608"/>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24"/>
          <w:rFonts w:hint="eastAsia" w:ascii="黑体" w:hAnsi="黑体" w:eastAsia="黑体"/>
          <w:b w:val="0"/>
          <w:color w:val="auto"/>
          <w:highlight w:val="none"/>
        </w:rPr>
        <w:t>般公共预算财政拨款基本支出决算情况说明</w:t>
      </w:r>
      <w:bookmarkEnd w:id="60"/>
      <w:bookmarkEnd w:id="61"/>
      <w:bookmarkEnd w:id="62"/>
      <w:r>
        <w:rPr>
          <w:rStyle w:val="24"/>
          <w:rFonts w:ascii="黑体" w:hAnsi="黑体" w:eastAsia="黑体"/>
          <w:b w:val="0"/>
          <w:color w:val="auto"/>
          <w:highlight w:val="none"/>
        </w:rPr>
        <w:tab/>
      </w:r>
    </w:p>
    <w:p>
      <w:pPr>
        <w:keepNext w:val="0"/>
        <w:keepLines w:val="0"/>
        <w:pageBreakBefore w:val="0"/>
        <w:widowControl w:val="0"/>
        <w:kinsoku/>
        <w:wordWrap/>
        <w:overflowPunct/>
        <w:topLinePunct w:val="0"/>
        <w:autoSpaceDE/>
        <w:autoSpaceDN/>
        <w:bidi w:val="0"/>
        <w:adjustRightInd/>
        <w:snapToGrid/>
        <w:spacing w:line="500" w:lineRule="exact"/>
        <w:ind w:firstLine="645"/>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370.64</w:t>
      </w:r>
      <w:r>
        <w:rPr>
          <w:rFonts w:hint="eastAsia" w:ascii="仿宋" w:hAnsi="仿宋" w:eastAsia="仿宋"/>
          <w:color w:val="auto"/>
          <w:sz w:val="32"/>
          <w:szCs w:val="32"/>
          <w:highlight w:val="none"/>
        </w:rPr>
        <w:t>万元，其中：</w:t>
      </w:r>
    </w:p>
    <w:p>
      <w:pPr>
        <w:keepNext w:val="0"/>
        <w:keepLines w:val="0"/>
        <w:pageBreakBefore w:val="0"/>
        <w:widowControl w:val="0"/>
        <w:kinsoku/>
        <w:wordWrap/>
        <w:overflowPunct/>
        <w:topLinePunct w:val="0"/>
        <w:autoSpaceDE/>
        <w:autoSpaceDN/>
        <w:bidi w:val="0"/>
        <w:adjustRightInd/>
        <w:snapToGrid/>
        <w:spacing w:line="500" w:lineRule="exact"/>
        <w:ind w:firstLine="645"/>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347.61</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23.02</w:t>
      </w:r>
      <w:r>
        <w:rPr>
          <w:rFonts w:hint="eastAsia" w:ascii="仿宋" w:hAnsi="仿宋" w:eastAsia="仿宋"/>
          <w:color w:val="auto"/>
          <w:sz w:val="32"/>
          <w:szCs w:val="32"/>
          <w:highlight w:val="none"/>
        </w:rPr>
        <w:t>万元，主要包括：办公费、印刷费、水费、电费、邮电费、差旅费、维修（护）费、劳务费、委托业务费、公务用车运行维护费、其他交通费、其他商品和服务支出、办公设备购置、专用设备购置等。</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outlineLvl w:val="1"/>
        <w:rPr>
          <w:rStyle w:val="24"/>
          <w:rFonts w:ascii="黑体" w:hAnsi="黑体" w:eastAsia="黑体"/>
          <w:b w:val="0"/>
          <w:color w:val="auto"/>
          <w:highlight w:val="none"/>
        </w:rPr>
      </w:pPr>
      <w:bookmarkStart w:id="63" w:name="_Toc15377215"/>
      <w:bookmarkStart w:id="64" w:name="_Toc15396609"/>
      <w:bookmarkStart w:id="65" w:name="_Toc29583"/>
      <w:r>
        <w:rPr>
          <w:rFonts w:hint="eastAsia" w:ascii="黑体" w:eastAsia="黑体"/>
          <w:color w:val="auto"/>
          <w:sz w:val="32"/>
          <w:szCs w:val="32"/>
          <w:highlight w:val="none"/>
        </w:rPr>
        <w:t>七、</w:t>
      </w:r>
      <w:r>
        <w:rPr>
          <w:rStyle w:val="24"/>
          <w:rFonts w:hint="eastAsia" w:ascii="黑体" w:hAnsi="黑体" w:eastAsia="黑体"/>
          <w:b w:val="0"/>
          <w:color w:val="auto"/>
          <w:highlight w:val="none"/>
        </w:rPr>
        <w:t>财政拨款</w:t>
      </w:r>
      <w:r>
        <w:rPr>
          <w:rStyle w:val="24"/>
          <w:rFonts w:hint="eastAsia" w:ascii="黑体" w:hAnsi="黑体" w:eastAsia="黑体"/>
          <w:color w:val="auto"/>
          <w:highlight w:val="none"/>
        </w:rPr>
        <w:t>“</w:t>
      </w:r>
      <w:r>
        <w:rPr>
          <w:rStyle w:val="24"/>
          <w:rFonts w:hint="eastAsia" w:ascii="黑体" w:hAnsi="黑体" w:eastAsia="黑体"/>
          <w:b w:val="0"/>
          <w:color w:val="auto"/>
          <w:highlight w:val="none"/>
        </w:rPr>
        <w:t>三公”经费支出决算情况说明</w:t>
      </w:r>
      <w:bookmarkEnd w:id="63"/>
      <w:bookmarkEnd w:id="64"/>
      <w:bookmarkEnd w:id="65"/>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outlineLvl w:val="2"/>
        <w:rPr>
          <w:rFonts w:ascii="仿宋" w:hAnsi="仿宋" w:eastAsia="仿宋"/>
          <w:b/>
          <w:color w:val="auto"/>
          <w:sz w:val="32"/>
          <w:szCs w:val="32"/>
          <w:highlight w:val="none"/>
        </w:rPr>
      </w:pPr>
      <w:bookmarkStart w:id="66" w:name="_Toc15377216"/>
      <w:r>
        <w:rPr>
          <w:rFonts w:hint="eastAsia" w:ascii="仿宋" w:hAnsi="仿宋" w:eastAsia="仿宋"/>
          <w:b/>
          <w:color w:val="auto"/>
          <w:sz w:val="32"/>
          <w:szCs w:val="32"/>
          <w:highlight w:val="none"/>
        </w:rPr>
        <w:t>（一）“三公”经费财政拨款支出决算总体情况说明</w:t>
      </w:r>
      <w:bookmarkEnd w:id="66"/>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 w:hAnsi="仿宋" w:eastAsia="仿宋"/>
          <w:b/>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_GB2312" w:hAnsi="宋体" w:eastAsia="仿宋_GB2312" w:cs="宋体"/>
          <w:color w:val="auto"/>
          <w:kern w:val="0"/>
          <w:sz w:val="32"/>
          <w:szCs w:val="32"/>
        </w:rPr>
        <w:t>较</w:t>
      </w:r>
      <w:r>
        <w:rPr>
          <w:rFonts w:hint="eastAsia" w:ascii="仿宋_GB2312" w:hAnsi="宋体" w:eastAsia="仿宋_GB2312" w:cs="宋体"/>
          <w:color w:val="auto"/>
          <w:kern w:val="0"/>
          <w:sz w:val="32"/>
          <w:szCs w:val="32"/>
          <w:lang w:eastAsia="zh-CN"/>
        </w:rPr>
        <w:t>2024年</w:t>
      </w:r>
      <w:r>
        <w:rPr>
          <w:rFonts w:hint="eastAsia" w:ascii="仿宋_GB2312" w:hAnsi="宋体" w:eastAsia="仿宋_GB2312" w:cs="宋体"/>
          <w:color w:val="auto"/>
          <w:kern w:val="0"/>
          <w:sz w:val="32"/>
          <w:szCs w:val="32"/>
        </w:rPr>
        <w:t>决算</w:t>
      </w:r>
      <w:r>
        <w:rPr>
          <w:rFonts w:hint="eastAsia" w:ascii="仿宋_GB2312" w:hAnsi="宋体" w:eastAsia="仿宋_GB2312" w:cs="宋体"/>
          <w:color w:val="auto"/>
          <w:kern w:val="0"/>
          <w:sz w:val="32"/>
          <w:szCs w:val="32"/>
          <w:lang w:eastAsia="zh-CN"/>
        </w:rPr>
        <w:t>减少了</w:t>
      </w:r>
      <w:r>
        <w:rPr>
          <w:rFonts w:hint="eastAsia" w:ascii="仿宋_GB2312" w:hAnsi="宋体" w:eastAsia="仿宋_GB2312" w:cs="宋体"/>
          <w:color w:val="auto"/>
          <w:kern w:val="0"/>
          <w:sz w:val="32"/>
          <w:szCs w:val="32"/>
          <w:lang w:val="en-US" w:eastAsia="zh-CN"/>
        </w:rPr>
        <w:t>2.09</w:t>
      </w:r>
      <w:r>
        <w:rPr>
          <w:rFonts w:hint="eastAsia" w:ascii="仿宋_GB2312" w:hAnsi="宋体" w:eastAsia="仿宋_GB2312" w:cs="宋体"/>
          <w:color w:val="auto"/>
          <w:kern w:val="0"/>
          <w:sz w:val="32"/>
          <w:szCs w:val="32"/>
          <w:lang w:eastAsia="zh-CN"/>
        </w:rPr>
        <w:t>%，</w:t>
      </w:r>
      <w:r>
        <w:rPr>
          <w:rFonts w:hint="eastAsia" w:ascii="仿宋_GB2312" w:hAnsi="仿宋" w:eastAsia="仿宋_GB2312" w:cs="Times New Roman"/>
          <w:sz w:val="32"/>
          <w:szCs w:val="32"/>
        </w:rPr>
        <w:t>主要原因为</w:t>
      </w:r>
      <w:r>
        <w:rPr>
          <w:rFonts w:hint="eastAsia" w:ascii="仿宋_GB2312" w:hAnsi="仿宋" w:eastAsia="仿宋_GB2312" w:cs="Times New Roman"/>
          <w:sz w:val="32"/>
          <w:szCs w:val="32"/>
          <w:lang w:eastAsia="zh-CN"/>
        </w:rPr>
        <w:t>厉行节约</w:t>
      </w:r>
      <w:r>
        <w:rPr>
          <w:rFonts w:hint="eastAsia" w:ascii="仿宋_GB2312" w:hAnsi="仿宋"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outlineLvl w:val="2"/>
        <w:rPr>
          <w:rFonts w:ascii="仿宋" w:hAnsi="仿宋" w:eastAsia="仿宋"/>
          <w:b/>
          <w:color w:val="auto"/>
          <w:sz w:val="32"/>
          <w:szCs w:val="32"/>
          <w:highlight w:val="none"/>
        </w:rPr>
      </w:pPr>
      <w:bookmarkStart w:id="67" w:name="_Toc15377217"/>
      <w:r>
        <w:rPr>
          <w:rFonts w:hint="eastAsia" w:ascii="仿宋" w:hAnsi="仿宋" w:eastAsia="仿宋"/>
          <w:b/>
          <w:color w:val="auto"/>
          <w:sz w:val="32"/>
          <w:szCs w:val="32"/>
          <w:highlight w:val="none"/>
        </w:rPr>
        <w:t>（二）“三公”经费财政拨款支出决算具体情况说明</w:t>
      </w:r>
      <w:bookmarkEnd w:id="67"/>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pPr>
      <w:r>
        <w:drawing>
          <wp:anchor distT="0" distB="0" distL="114300" distR="114300" simplePos="0" relativeHeight="251668480" behindDoc="0" locked="0" layoutInCell="1" allowOverlap="1">
            <wp:simplePos x="0" y="0"/>
            <wp:positionH relativeFrom="column">
              <wp:posOffset>-9525</wp:posOffset>
            </wp:positionH>
            <wp:positionV relativeFrom="paragraph">
              <wp:posOffset>73660</wp:posOffset>
            </wp:positionV>
            <wp:extent cx="3432810" cy="2050415"/>
            <wp:effectExtent l="4445" t="4445" r="10795" b="21590"/>
            <wp:wrapSquare wrapText="bothSides"/>
            <wp:docPr id="11" name="图表 10"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r>
        <w:rPr>
          <w:rFonts w:hint="eastAsia"/>
          <w:lang w:val="en-US" w:eastAsia="zh-CN"/>
        </w:rPr>
        <w:t xml:space="preserve"> </w:t>
      </w:r>
    </w:p>
    <w:p>
      <w:pPr>
        <w:spacing w:line="600" w:lineRule="exact"/>
        <w:ind w:firstLine="640"/>
      </w:pPr>
      <w:r>
        <w:rPr>
          <w:rFonts w:hint="eastAsia" w:ascii="仿宋" w:hAnsi="仿宋" w:eastAsia="仿宋"/>
          <w:color w:val="auto"/>
          <w:sz w:val="32"/>
          <w:szCs w:val="32"/>
          <w:highlight w:val="none"/>
        </w:rPr>
        <w:t>（图7：“三公”经费财政拨款支出结构）（饼状图）</w:t>
      </w:r>
    </w:p>
    <w:p>
      <w:pPr>
        <w:keepNext w:val="0"/>
        <w:keepLines w:val="0"/>
        <w:pageBreakBefore w:val="0"/>
        <w:kinsoku/>
        <w:bidi w:val="0"/>
        <w:spacing w:line="500" w:lineRule="exact"/>
        <w:ind w:left="0" w:leftChars="0"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2024年</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r>
        <w:rPr>
          <w:rFonts w:hint="eastAsia" w:ascii="仿宋_GB2312"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hAnsi="宋体" w:eastAsia="仿宋_GB2312" w:cs="宋体"/>
          <w:color w:val="auto"/>
          <w:kern w:val="0"/>
          <w:sz w:val="32"/>
          <w:szCs w:val="32"/>
        </w:rPr>
        <w:t>较</w:t>
      </w:r>
      <w:r>
        <w:rPr>
          <w:rFonts w:hint="eastAsia" w:ascii="仿宋_GB2312" w:hAnsi="宋体" w:eastAsia="仿宋_GB2312" w:cs="宋体"/>
          <w:color w:val="auto"/>
          <w:kern w:val="0"/>
          <w:sz w:val="32"/>
          <w:szCs w:val="32"/>
          <w:lang w:eastAsia="zh-CN"/>
        </w:rPr>
        <w:t>2024年</w:t>
      </w:r>
      <w:r>
        <w:rPr>
          <w:rFonts w:hint="eastAsia" w:ascii="仿宋_GB2312" w:hAnsi="宋体" w:eastAsia="仿宋_GB2312" w:cs="宋体"/>
          <w:color w:val="auto"/>
          <w:kern w:val="0"/>
          <w:sz w:val="32"/>
          <w:szCs w:val="32"/>
        </w:rPr>
        <w:t>决算</w:t>
      </w:r>
      <w:r>
        <w:rPr>
          <w:rFonts w:hint="eastAsia" w:ascii="仿宋_GB2312" w:hAnsi="宋体" w:eastAsia="仿宋_GB2312" w:cs="宋体"/>
          <w:color w:val="auto"/>
          <w:kern w:val="0"/>
          <w:sz w:val="32"/>
          <w:szCs w:val="32"/>
          <w:lang w:eastAsia="zh-CN"/>
        </w:rPr>
        <w:t>减少了</w:t>
      </w:r>
      <w:r>
        <w:rPr>
          <w:rFonts w:hint="eastAsia" w:ascii="仿宋_GB2312" w:hAnsi="宋体" w:eastAsia="仿宋_GB2312" w:cs="宋体"/>
          <w:color w:val="auto"/>
          <w:kern w:val="0"/>
          <w:sz w:val="32"/>
          <w:szCs w:val="32"/>
          <w:lang w:val="en-US" w:eastAsia="zh-CN"/>
        </w:rPr>
        <w:t>2.09</w:t>
      </w:r>
      <w:r>
        <w:rPr>
          <w:rFonts w:hint="eastAsia" w:ascii="仿宋_GB2312" w:hAnsi="宋体" w:eastAsia="仿宋_GB2312" w:cs="宋体"/>
          <w:color w:val="auto"/>
          <w:kern w:val="0"/>
          <w:sz w:val="32"/>
          <w:szCs w:val="32"/>
          <w:lang w:eastAsia="zh-CN"/>
        </w:rPr>
        <w:t>%，</w:t>
      </w:r>
      <w:r>
        <w:rPr>
          <w:rFonts w:hint="eastAsia" w:ascii="仿宋_GB2312" w:hAnsi="仿宋" w:eastAsia="仿宋_GB2312" w:cs="Times New Roman"/>
          <w:sz w:val="32"/>
          <w:szCs w:val="32"/>
        </w:rPr>
        <w:t>主要原因为</w:t>
      </w:r>
      <w:r>
        <w:rPr>
          <w:rFonts w:hint="eastAsia" w:ascii="仿宋_GB2312" w:hAnsi="仿宋" w:eastAsia="仿宋_GB2312" w:cs="Times New Roman"/>
          <w:sz w:val="32"/>
          <w:szCs w:val="32"/>
          <w:lang w:eastAsia="zh-CN"/>
        </w:rPr>
        <w:t>厉行节约</w:t>
      </w:r>
      <w:r>
        <w:rPr>
          <w:rFonts w:hint="eastAsia" w:ascii="仿宋_GB2312" w:hAnsi="仿宋" w:eastAsia="仿宋_GB2312" w:cs="Times New Roman"/>
          <w:sz w:val="32"/>
          <w:szCs w:val="32"/>
        </w:rPr>
        <w:t>。</w:t>
      </w:r>
    </w:p>
    <w:p>
      <w:pPr>
        <w:keepNext w:val="0"/>
        <w:keepLines w:val="0"/>
        <w:pageBreakBefore w:val="0"/>
        <w:kinsoku/>
        <w:bidi w:val="0"/>
        <w:spacing w:line="500" w:lineRule="exact"/>
        <w:ind w:left="0" w:leftChars="0"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万元，主要用于…。截至</w:t>
      </w:r>
      <w:r>
        <w:rPr>
          <w:rFonts w:hint="eastAsia" w:ascii="仿宋_GB2312" w:eastAsia="仿宋_GB2312"/>
          <w:color w:val="auto"/>
          <w:sz w:val="32"/>
          <w:szCs w:val="32"/>
          <w:highlight w:val="none"/>
          <w:lang w:eastAsia="zh-CN"/>
        </w:rPr>
        <w:t>2025年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辆，其中：</w:t>
      </w:r>
      <w:r>
        <w:rPr>
          <w:rFonts w:hint="eastAsia" w:ascii="仿宋_GB2312" w:eastAsia="仿宋_GB2312"/>
          <w:color w:val="auto"/>
          <w:sz w:val="32"/>
          <w:szCs w:val="32"/>
          <w:highlight w:val="none"/>
          <w:lang w:eastAsia="zh-CN"/>
        </w:rPr>
        <w:t>大中型客车</w:t>
      </w:r>
      <w:r>
        <w:rPr>
          <w:rFonts w:hint="eastAsia" w:ascii="仿宋_GB2312" w:eastAsia="仿宋_GB2312"/>
          <w:color w:val="auto"/>
          <w:sz w:val="32"/>
          <w:szCs w:val="32"/>
          <w:highlight w:val="none"/>
          <w:lang w:val="en-US" w:eastAsia="zh-CN"/>
        </w:rPr>
        <w:t>2辆，</w:t>
      </w:r>
      <w:r>
        <w:rPr>
          <w:rFonts w:hint="eastAsia" w:ascii="仿宋_GB2312" w:eastAsia="仿宋_GB2312"/>
          <w:color w:val="auto"/>
          <w:sz w:val="32"/>
          <w:szCs w:val="32"/>
          <w:highlight w:val="none"/>
        </w:rPr>
        <w:t>轿车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客车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p>
    <w:p>
      <w:pPr>
        <w:keepNext w:val="0"/>
        <w:keepLines w:val="0"/>
        <w:pageBreakBefore w:val="0"/>
        <w:kinsoku/>
        <w:bidi w:val="0"/>
        <w:spacing w:line="500" w:lineRule="exact"/>
        <w:ind w:left="0" w:leftChars="0" w:firstLine="640"/>
        <w:rPr>
          <w:rFonts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万元。主要用于</w:t>
      </w:r>
      <w:r>
        <w:rPr>
          <w:rFonts w:hint="eastAsia" w:ascii="仿宋_GB2312" w:eastAsia="仿宋_GB2312"/>
          <w:color w:val="auto"/>
          <w:sz w:val="32"/>
          <w:szCs w:val="32"/>
          <w:highlight w:val="none"/>
          <w:lang w:eastAsia="zh-CN"/>
        </w:rPr>
        <w:t>单位日常工作的开展、下乡、项目检查</w:t>
      </w:r>
      <w:r>
        <w:rPr>
          <w:rFonts w:hint="eastAsia" w:ascii="仿宋_GB2312" w:eastAsia="仿宋_GB2312"/>
          <w:color w:val="auto"/>
          <w:sz w:val="32"/>
          <w:szCs w:val="32"/>
          <w:highlight w:val="none"/>
        </w:rPr>
        <w:t>等所需的公务用车燃料费、维修费、过路费、保险费等支出。</w:t>
      </w:r>
    </w:p>
    <w:p>
      <w:pPr>
        <w:keepNext w:val="0"/>
        <w:keepLines w:val="0"/>
        <w:pageBreakBefore w:val="0"/>
        <w:kinsoku/>
        <w:bidi w:val="0"/>
        <w:spacing w:line="500" w:lineRule="exact"/>
        <w:ind w:left="0" w:leftChars="0" w:firstLine="640"/>
        <w:rPr>
          <w:rFonts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2024年</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r>
        <w:rPr>
          <w:rFonts w:hint="eastAsia" w:ascii="仿宋_GB2312" w:eastAsia="仿宋_GB2312"/>
          <w:color w:val="auto"/>
          <w:sz w:val="32"/>
          <w:szCs w:val="32"/>
          <w:highlight w:val="none"/>
        </w:rPr>
        <w:t>。其中：</w:t>
      </w:r>
    </w:p>
    <w:p>
      <w:pPr>
        <w:keepNext w:val="0"/>
        <w:keepLines w:val="0"/>
        <w:pageBreakBefore w:val="0"/>
        <w:kinsoku/>
        <w:bidi w:val="0"/>
        <w:spacing w:line="500" w:lineRule="exact"/>
        <w:ind w:left="0" w:leftChars="0"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万元，主要用于……(执行公务、开展业务活动开支的交通费、住宿费、用餐费等)。国内公务接待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万元，具体内容包括：…（接待具体项目、金额）。</w:t>
      </w:r>
    </w:p>
    <w:p>
      <w:pPr>
        <w:keepNext w:val="0"/>
        <w:keepLines w:val="0"/>
        <w:pageBreakBefore w:val="0"/>
        <w:kinsoku/>
        <w:bidi w:val="0"/>
        <w:spacing w:line="500" w:lineRule="exact"/>
        <w:ind w:left="0" w:leftChars="0" w:firstLine="643" w:firstLineChars="200"/>
        <w:rPr>
          <w:rFonts w:hint="eastAsia" w:ascii="黑体" w:eastAsia="黑体"/>
          <w:color w:val="auto"/>
          <w:sz w:val="32"/>
          <w:szCs w:val="32"/>
          <w:highlight w:val="none"/>
          <w:lang w:val="en-US" w:eastAsia="zh-CN"/>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万元，主要用于接待</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（具体项目）</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外事接待</w:t>
      </w:r>
      <w:r>
        <w:rPr>
          <w:rFonts w:ascii="仿宋_GB2312" w:eastAsia="仿宋_GB2312"/>
          <w:color w:val="auto"/>
          <w:sz w:val="32"/>
          <w:szCs w:val="32"/>
          <w:highlight w:val="none"/>
        </w:rPr>
        <w:t>**</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w:t>
      </w:r>
      <w:r>
        <w:rPr>
          <w:rFonts w:hint="eastAsia" w:ascii="仿宋_GB2312" w:eastAsia="仿宋_GB2312"/>
          <w:color w:val="auto"/>
          <w:sz w:val="32"/>
          <w:szCs w:val="32"/>
          <w:highlight w:val="none"/>
          <w:lang w:eastAsia="zh-CN"/>
        </w:rPr>
        <w:t>次（不包括陪同人员）</w:t>
      </w:r>
      <w:r>
        <w:rPr>
          <w:rFonts w:hint="eastAsia" w:ascii="仿宋_GB2312" w:eastAsia="仿宋_GB2312"/>
          <w:color w:val="auto"/>
          <w:sz w:val="32"/>
          <w:szCs w:val="32"/>
          <w:highlight w:val="none"/>
        </w:rPr>
        <w:t>，共计支出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bookmarkStart w:id="68" w:name="_Toc15396610"/>
      <w:bookmarkStart w:id="69" w:name="_Toc15377218"/>
    </w:p>
    <w:p>
      <w:pPr>
        <w:keepNext w:val="0"/>
        <w:keepLines w:val="0"/>
        <w:pageBreakBefore w:val="0"/>
        <w:kinsoku/>
        <w:bidi w:val="0"/>
        <w:spacing w:line="500" w:lineRule="exact"/>
        <w:ind w:left="0" w:leftChars="0" w:firstLine="640"/>
        <w:outlineLvl w:val="1"/>
        <w:rPr>
          <w:rStyle w:val="24"/>
          <w:rFonts w:ascii="黑体" w:hAnsi="黑体" w:eastAsia="黑体"/>
          <w:color w:val="auto"/>
          <w:highlight w:val="none"/>
        </w:rPr>
      </w:pPr>
      <w:bookmarkStart w:id="70" w:name="_Toc30899"/>
      <w:r>
        <w:rPr>
          <w:rFonts w:hint="eastAsia" w:ascii="黑体" w:eastAsia="黑体"/>
          <w:color w:val="auto"/>
          <w:sz w:val="32"/>
          <w:szCs w:val="32"/>
          <w:highlight w:val="none"/>
        </w:rPr>
        <w:t>八、</w:t>
      </w:r>
      <w:r>
        <w:rPr>
          <w:rStyle w:val="24"/>
          <w:rFonts w:hint="eastAsia" w:ascii="黑体" w:hAnsi="黑体" w:eastAsia="黑体"/>
          <w:b w:val="0"/>
          <w:color w:val="auto"/>
          <w:highlight w:val="none"/>
        </w:rPr>
        <w:t>政府性基金预算支出决算情况说明</w:t>
      </w:r>
      <w:bookmarkEnd w:id="68"/>
      <w:bookmarkEnd w:id="69"/>
      <w:bookmarkEnd w:id="70"/>
    </w:p>
    <w:p>
      <w:pPr>
        <w:keepNext w:val="0"/>
        <w:keepLines w:val="0"/>
        <w:pageBreakBefore w:val="0"/>
        <w:kinsoku/>
        <w:bidi w:val="0"/>
        <w:spacing w:line="500" w:lineRule="exact"/>
        <w:ind w:left="0" w:leftChars="0" w:firstLine="640"/>
        <w:rPr>
          <w:rFonts w:ascii="仿宋_GB2312" w:eastAsia="仿宋_GB2312"/>
          <w:color w:val="auto"/>
          <w:sz w:val="32"/>
          <w:szCs w:val="32"/>
          <w:highlight w:val="none"/>
        </w:rPr>
      </w:pPr>
      <w:bookmarkStart w:id="71" w:name="_Toc15377219"/>
      <w:bookmarkStart w:id="72" w:name="_Toc24990"/>
      <w:bookmarkStart w:id="73" w:name="_Toc15396611"/>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万元。主要原因是我单位没有</w:t>
      </w:r>
      <w:r>
        <w:rPr>
          <w:rFonts w:hint="eastAsia" w:ascii="仿宋_GB2312" w:eastAsia="仿宋_GB2312"/>
          <w:color w:val="auto"/>
          <w:sz w:val="32"/>
          <w:szCs w:val="32"/>
          <w:highlight w:val="none"/>
          <w:lang w:eastAsia="zh-CN"/>
        </w:rPr>
        <w:t>使用</w:t>
      </w:r>
      <w:r>
        <w:rPr>
          <w:rFonts w:hint="eastAsia" w:ascii="仿宋_GB2312" w:eastAsia="仿宋_GB2312"/>
          <w:color w:val="auto"/>
          <w:sz w:val="32"/>
          <w:szCs w:val="32"/>
          <w:highlight w:val="none"/>
        </w:rPr>
        <w:t>政府性基金预算安排的支出，故本项无数据。</w:t>
      </w:r>
    </w:p>
    <w:p>
      <w:pPr>
        <w:keepNext w:val="0"/>
        <w:keepLines w:val="0"/>
        <w:pageBreakBefore w:val="0"/>
        <w:numPr>
          <w:ilvl w:val="0"/>
          <w:numId w:val="2"/>
        </w:numPr>
        <w:kinsoku/>
        <w:bidi w:val="0"/>
        <w:spacing w:line="500" w:lineRule="exact"/>
        <w:ind w:left="0" w:leftChars="0" w:firstLine="640"/>
        <w:outlineLvl w:val="1"/>
        <w:rPr>
          <w:rStyle w:val="24"/>
          <w:rFonts w:ascii="黑体" w:hAnsi="黑体" w:eastAsia="黑体"/>
          <w:b w:val="0"/>
          <w:color w:val="auto"/>
          <w:highlight w:val="none"/>
        </w:rPr>
      </w:pPr>
      <w:r>
        <w:rPr>
          <w:rStyle w:val="24"/>
          <w:rFonts w:hint="eastAsia" w:ascii="黑体" w:hAnsi="黑体" w:eastAsia="黑体"/>
          <w:b w:val="0"/>
          <w:color w:val="auto"/>
          <w:highlight w:val="none"/>
        </w:rPr>
        <w:t>国有资本经营预算支出决算情况说明</w:t>
      </w:r>
      <w:bookmarkEnd w:id="71"/>
      <w:bookmarkEnd w:id="72"/>
      <w:bookmarkEnd w:id="73"/>
    </w:p>
    <w:p>
      <w:pPr>
        <w:keepNext w:val="0"/>
        <w:keepLines w:val="0"/>
        <w:pageBreakBefore w:val="0"/>
        <w:kinsoku/>
        <w:bidi w:val="0"/>
        <w:spacing w:line="500" w:lineRule="exact"/>
        <w:ind w:left="0" w:leftChars="0" w:firstLine="640"/>
        <w:rPr>
          <w:rFonts w:ascii="微软雅黑" w:hAnsi="微软雅黑" w:eastAsia="微软雅黑" w:cs="微软雅黑"/>
          <w:color w:val="auto"/>
          <w:sz w:val="44"/>
          <w:szCs w:val="44"/>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国有资本经营预算财政拨款支出0万元。主要原因是我单位没有使用国有资本经营预算安排的支出，故本项无数据。</w:t>
      </w:r>
    </w:p>
    <w:p>
      <w:pPr>
        <w:keepNext w:val="0"/>
        <w:keepLines w:val="0"/>
        <w:pageBreakBefore w:val="0"/>
        <w:numPr>
          <w:ilvl w:val="0"/>
          <w:numId w:val="2"/>
        </w:numPr>
        <w:kinsoku/>
        <w:bidi w:val="0"/>
        <w:spacing w:line="500" w:lineRule="exact"/>
        <w:ind w:left="0" w:leftChars="0" w:firstLine="640"/>
        <w:outlineLvl w:val="1"/>
        <w:rPr>
          <w:rStyle w:val="24"/>
          <w:rFonts w:hint="eastAsia" w:ascii="黑体" w:hAnsi="黑体" w:eastAsia="黑体"/>
          <w:b w:val="0"/>
          <w:color w:val="auto"/>
          <w:highlight w:val="none"/>
        </w:rPr>
      </w:pPr>
      <w:bookmarkStart w:id="74" w:name="_Toc19655"/>
      <w:bookmarkStart w:id="75" w:name="_Toc15377221"/>
      <w:bookmarkStart w:id="76" w:name="_Toc15396612"/>
      <w:r>
        <w:rPr>
          <w:rStyle w:val="24"/>
          <w:rFonts w:hint="eastAsia" w:ascii="黑体" w:hAnsi="黑体" w:eastAsia="黑体"/>
          <w:b w:val="0"/>
          <w:color w:val="auto"/>
          <w:highlight w:val="none"/>
        </w:rPr>
        <w:t>其他重要事项的情况说明</w:t>
      </w:r>
      <w:bookmarkEnd w:id="74"/>
      <w:bookmarkEnd w:id="75"/>
      <w:bookmarkEnd w:id="76"/>
    </w:p>
    <w:p>
      <w:pPr>
        <w:keepNext w:val="0"/>
        <w:keepLines w:val="0"/>
        <w:pageBreakBefore w:val="0"/>
        <w:kinsoku/>
        <w:bidi w:val="0"/>
        <w:spacing w:line="500" w:lineRule="exact"/>
        <w:ind w:left="0" w:leftChars="0" w:firstLine="643" w:firstLineChars="200"/>
        <w:outlineLvl w:val="2"/>
        <w:rPr>
          <w:rFonts w:ascii="仿宋" w:hAnsi="仿宋" w:eastAsia="仿宋"/>
          <w:color w:val="auto"/>
          <w:sz w:val="32"/>
          <w:szCs w:val="32"/>
          <w:highlight w:val="none"/>
        </w:rPr>
      </w:pPr>
      <w:bookmarkStart w:id="77" w:name="_Toc15377222"/>
      <w:r>
        <w:rPr>
          <w:rFonts w:hint="eastAsia" w:ascii="仿宋" w:hAnsi="仿宋" w:eastAsia="仿宋"/>
          <w:b/>
          <w:color w:val="auto"/>
          <w:sz w:val="32"/>
          <w:szCs w:val="32"/>
          <w:highlight w:val="none"/>
        </w:rPr>
        <w:t>（一）机关运行经费支出情况</w:t>
      </w:r>
      <w:bookmarkEnd w:id="77"/>
    </w:p>
    <w:p>
      <w:pPr>
        <w:keepNext w:val="0"/>
        <w:keepLines w:val="0"/>
        <w:pageBreakBefore w:val="0"/>
        <w:kinsoku/>
        <w:bidi w:val="0"/>
        <w:spacing w:line="500" w:lineRule="exact"/>
        <w:ind w:left="0" w:leftChars="0"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23.02</w:t>
      </w:r>
      <w:r>
        <w:rPr>
          <w:rFonts w:hint="eastAsia" w:ascii="仿宋_GB2312" w:eastAsia="仿宋_GB2312"/>
          <w:color w:val="auto"/>
          <w:sz w:val="32"/>
          <w:szCs w:val="32"/>
          <w:highlight w:val="none"/>
        </w:rPr>
        <w:t>万元，比</w:t>
      </w:r>
      <w:r>
        <w:rPr>
          <w:rFonts w:hint="eastAsia" w:ascii="仿宋_GB2312" w:eastAsia="仿宋_GB2312"/>
          <w:color w:val="auto"/>
          <w:sz w:val="32"/>
          <w:szCs w:val="32"/>
          <w:highlight w:val="none"/>
          <w:lang w:eastAsia="zh-CN"/>
        </w:rPr>
        <w:t>2024年减少</w:t>
      </w:r>
      <w:r>
        <w:rPr>
          <w:rFonts w:hint="eastAsia" w:ascii="仿宋_GB2312" w:eastAsia="仿宋_GB2312"/>
          <w:color w:val="auto"/>
          <w:sz w:val="32"/>
          <w:szCs w:val="32"/>
          <w:highlight w:val="none"/>
          <w:lang w:val="en-US" w:eastAsia="zh-CN"/>
        </w:rPr>
        <w:t>1556.85</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减少</w:t>
      </w:r>
      <w:r>
        <w:rPr>
          <w:rFonts w:hint="eastAsia" w:ascii="仿宋_GB2312" w:eastAsia="仿宋_GB2312"/>
          <w:color w:val="auto"/>
          <w:sz w:val="32"/>
          <w:szCs w:val="32"/>
          <w:highlight w:val="none"/>
          <w:lang w:val="en-US" w:eastAsia="zh-CN"/>
        </w:rPr>
        <w:t>98.54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p>
    <w:p>
      <w:pPr>
        <w:keepNext w:val="0"/>
        <w:keepLines w:val="0"/>
        <w:pageBreakBefore w:val="0"/>
        <w:kinsoku/>
        <w:autoSpaceDE w:val="0"/>
        <w:autoSpaceDN w:val="0"/>
        <w:bidi w:val="0"/>
        <w:adjustRightInd w:val="0"/>
        <w:spacing w:line="500" w:lineRule="exact"/>
        <w:ind w:left="0" w:leftChars="0" w:firstLine="643" w:firstLineChars="200"/>
        <w:jc w:val="left"/>
        <w:outlineLvl w:val="2"/>
        <w:rPr>
          <w:rFonts w:ascii="仿宋" w:hAnsi="仿宋" w:eastAsia="仿宋"/>
          <w:b/>
          <w:color w:val="auto"/>
          <w:sz w:val="32"/>
          <w:szCs w:val="32"/>
          <w:highlight w:val="none"/>
        </w:rPr>
      </w:pPr>
      <w:bookmarkStart w:id="78" w:name="_Toc15377223"/>
      <w:r>
        <w:rPr>
          <w:rFonts w:hint="eastAsia" w:ascii="仿宋" w:hAnsi="仿宋" w:eastAsia="仿宋"/>
          <w:b/>
          <w:color w:val="auto"/>
          <w:sz w:val="32"/>
          <w:szCs w:val="32"/>
          <w:highlight w:val="none"/>
        </w:rPr>
        <w:t>（二）政府采购支出情况</w:t>
      </w:r>
      <w:bookmarkEnd w:id="78"/>
    </w:p>
    <w:p>
      <w:pPr>
        <w:keepNext w:val="0"/>
        <w:keepLines w:val="0"/>
        <w:pageBreakBefore w:val="0"/>
        <w:kinsoku/>
        <w:bidi w:val="0"/>
        <w:spacing w:line="500" w:lineRule="exact"/>
        <w:ind w:left="0" w:leftChars="0" w:firstLine="640" w:firstLineChars="200"/>
        <w:rPr>
          <w:rFonts w:ascii="仿宋_GB2312" w:eastAsia="仿宋_GB2312"/>
          <w:color w:val="0000FF"/>
          <w:sz w:val="32"/>
          <w:szCs w:val="32"/>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104.3</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均为</w:t>
      </w:r>
      <w:r>
        <w:rPr>
          <w:rFonts w:hint="eastAsia" w:ascii="仿宋_GB2312" w:eastAsia="仿宋_GB2312"/>
          <w:color w:val="auto"/>
          <w:sz w:val="32"/>
          <w:szCs w:val="32"/>
          <w:highlight w:val="none"/>
        </w:rPr>
        <w:t>政府采购服务支出。</w:t>
      </w:r>
    </w:p>
    <w:p>
      <w:pPr>
        <w:keepNext w:val="0"/>
        <w:keepLines w:val="0"/>
        <w:pageBreakBefore w:val="0"/>
        <w:kinsoku/>
        <w:autoSpaceDE w:val="0"/>
        <w:autoSpaceDN w:val="0"/>
        <w:bidi w:val="0"/>
        <w:adjustRightInd w:val="0"/>
        <w:spacing w:line="500" w:lineRule="exact"/>
        <w:ind w:left="0" w:leftChars="0" w:firstLine="643" w:firstLineChars="200"/>
        <w:jc w:val="left"/>
        <w:outlineLvl w:val="2"/>
        <w:rPr>
          <w:rFonts w:ascii="仿宋" w:hAnsi="仿宋" w:eastAsia="仿宋"/>
          <w:b/>
          <w:color w:val="auto"/>
          <w:sz w:val="32"/>
          <w:szCs w:val="32"/>
          <w:highlight w:val="none"/>
        </w:rPr>
      </w:pPr>
      <w:bookmarkStart w:id="79" w:name="_Toc15377224"/>
      <w:r>
        <w:rPr>
          <w:rFonts w:hint="eastAsia" w:ascii="仿宋" w:hAnsi="仿宋" w:eastAsia="仿宋"/>
          <w:b/>
          <w:color w:val="auto"/>
          <w:sz w:val="32"/>
          <w:szCs w:val="32"/>
          <w:highlight w:val="none"/>
        </w:rPr>
        <w:t>（三）国有资产占有使用情况</w:t>
      </w:r>
      <w:bookmarkEnd w:id="79"/>
    </w:p>
    <w:p>
      <w:pPr>
        <w:keepNext w:val="0"/>
        <w:keepLines w:val="0"/>
        <w:pageBreakBefore w:val="0"/>
        <w:kinsoku/>
        <w:autoSpaceDE w:val="0"/>
        <w:autoSpaceDN w:val="0"/>
        <w:bidi w:val="0"/>
        <w:adjustRightInd w:val="0"/>
        <w:spacing w:line="500" w:lineRule="exact"/>
        <w:ind w:left="0" w:leftChars="0"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2025年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我单位</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均为</w:t>
      </w:r>
      <w:r>
        <w:rPr>
          <w:rFonts w:hint="eastAsia" w:ascii="仿宋_GB2312" w:eastAsia="仿宋_GB2312"/>
          <w:color w:val="auto"/>
          <w:sz w:val="32"/>
          <w:szCs w:val="32"/>
          <w:highlight w:val="none"/>
        </w:rPr>
        <w:t>应急保障用车。</w:t>
      </w:r>
    </w:p>
    <w:p>
      <w:pPr>
        <w:keepNext w:val="0"/>
        <w:keepLines w:val="0"/>
        <w:pageBreakBefore w:val="0"/>
        <w:kinsoku/>
        <w:autoSpaceDE w:val="0"/>
        <w:autoSpaceDN w:val="0"/>
        <w:bidi w:val="0"/>
        <w:adjustRightInd w:val="0"/>
        <w:spacing w:line="500" w:lineRule="exact"/>
        <w:ind w:left="0" w:leftChars="0"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pPr>
        <w:keepNext w:val="0"/>
        <w:keepLines w:val="0"/>
        <w:pageBreakBefore w:val="0"/>
        <w:widowControl/>
        <w:kinsoku/>
        <w:bidi w:val="0"/>
        <w:spacing w:line="50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度预算编制阶段，组织对</w:t>
      </w:r>
      <w:r>
        <w:rPr>
          <w:rFonts w:hint="eastAsia" w:ascii="仿宋_GB2312" w:hAnsi="仿宋_GB2312" w:eastAsia="仿宋_GB2312" w:cs="仿宋_GB2312"/>
          <w:color w:val="auto"/>
          <w:sz w:val="32"/>
          <w:szCs w:val="32"/>
          <w:highlight w:val="none"/>
          <w:lang w:val="en-US" w:eastAsia="zh-CN"/>
        </w:rPr>
        <w:t>所有</w:t>
      </w:r>
      <w:r>
        <w:rPr>
          <w:rFonts w:hint="eastAsia" w:ascii="仿宋_GB2312" w:hAnsi="仿宋_GB2312" w:eastAsia="仿宋_GB2312" w:cs="仿宋_GB2312"/>
          <w:color w:val="auto"/>
          <w:sz w:val="32"/>
          <w:szCs w:val="32"/>
          <w:highlight w:val="none"/>
        </w:rPr>
        <w:t>项目编制了绩效目标，预算执行过程中，选取</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个项目开展绩效监控</w:t>
      </w:r>
      <w:r>
        <w:rPr>
          <w:rFonts w:hint="eastAsia" w:ascii="仿宋_GB2312" w:hAnsi="仿宋_GB2312" w:eastAsia="仿宋_GB2312" w:cs="仿宋_GB2312"/>
          <w:color w:val="auto"/>
          <w:sz w:val="32"/>
          <w:szCs w:val="32"/>
          <w:highlight w:val="none"/>
          <w:lang w:eastAsia="zh-CN"/>
        </w:rPr>
        <w:t>，组织对</w:t>
      </w:r>
      <w:r>
        <w:rPr>
          <w:rFonts w:hint="eastAsia" w:ascii="仿宋_GB2312" w:hAnsi="仿宋_GB2312" w:eastAsia="仿宋_GB2312" w:cs="仿宋_GB2312"/>
          <w:color w:val="auto"/>
          <w:sz w:val="32"/>
          <w:szCs w:val="32"/>
          <w:highlight w:val="none"/>
          <w:lang w:val="en-US" w:eastAsia="zh-CN"/>
        </w:rPr>
        <w:t>27个项目开展绩效自评，绩效自评表详见第四部分附件</w:t>
      </w:r>
      <w:r>
        <w:rPr>
          <w:rFonts w:hint="eastAsia" w:ascii="仿宋_GB2312" w:hAnsi="仿宋_GB2312" w:eastAsia="仿宋_GB2312" w:cs="仿宋_GB2312"/>
          <w:color w:val="auto"/>
          <w:sz w:val="32"/>
          <w:szCs w:val="32"/>
          <w:highlight w:val="none"/>
        </w:rPr>
        <w:t>。</w:t>
      </w:r>
    </w:p>
    <w:p>
      <w:pPr>
        <w:keepNext w:val="0"/>
        <w:keepLines w:val="0"/>
        <w:pageBreakBefore w:val="0"/>
        <w:widowControl/>
        <w:kinsoku/>
        <w:bidi w:val="0"/>
        <w:spacing w:line="500" w:lineRule="exact"/>
        <w:ind w:left="0" w:leftChars="0" w:firstLine="643" w:firstLineChars="200"/>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pPr>
        <w:keepNext w:val="0"/>
        <w:keepLines w:val="0"/>
        <w:pageBreakBefore w:val="0"/>
        <w:numPr>
          <w:ilvl w:val="0"/>
          <w:numId w:val="3"/>
        </w:numPr>
        <w:kinsoku/>
        <w:bidi w:val="0"/>
        <w:spacing w:line="500" w:lineRule="exact"/>
        <w:ind w:left="0" w:leftChars="0" w:firstLine="660" w:firstLineChars="150"/>
        <w:jc w:val="center"/>
        <w:outlineLvl w:val="0"/>
        <w:rPr>
          <w:rStyle w:val="23"/>
          <w:rFonts w:ascii="黑体" w:hAnsi="黑体" w:eastAsia="黑体"/>
          <w:b w:val="0"/>
          <w:color w:val="auto"/>
          <w:highlight w:val="none"/>
        </w:rPr>
      </w:pPr>
      <w:bookmarkStart w:id="80" w:name="_Toc15377225"/>
      <w:bookmarkStart w:id="81" w:name="_Toc11452"/>
      <w:bookmarkStart w:id="82" w:name="_Toc15396613"/>
      <w:r>
        <w:rPr>
          <w:rFonts w:hint="eastAsia" w:ascii="黑体" w:hAnsi="黑体" w:eastAsia="黑体"/>
          <w:color w:val="auto"/>
          <w:sz w:val="44"/>
          <w:szCs w:val="44"/>
          <w:highlight w:val="none"/>
        </w:rPr>
        <w:t>名</w:t>
      </w:r>
      <w:r>
        <w:rPr>
          <w:rStyle w:val="23"/>
          <w:rFonts w:hint="eastAsia" w:ascii="黑体" w:hAnsi="黑体" w:eastAsia="黑体"/>
          <w:b w:val="0"/>
          <w:color w:val="auto"/>
          <w:highlight w:val="none"/>
        </w:rPr>
        <w:t>词解释</w:t>
      </w:r>
      <w:bookmarkEnd w:id="80"/>
      <w:bookmarkEnd w:id="81"/>
      <w:bookmarkEnd w:id="82"/>
    </w:p>
    <w:p>
      <w:pPr>
        <w:keepNext w:val="0"/>
        <w:keepLines w:val="0"/>
        <w:pageBreakBefore w:val="0"/>
        <w:kinsoku/>
        <w:bidi w:val="0"/>
        <w:spacing w:line="500" w:lineRule="exact"/>
        <w:ind w:left="0" w:leftChars="0"/>
        <w:jc w:val="left"/>
        <w:rPr>
          <w:rFonts w:ascii="宋体"/>
          <w:b/>
          <w:color w:val="auto"/>
          <w:sz w:val="44"/>
          <w:szCs w:val="44"/>
          <w:highlight w:val="none"/>
        </w:rPr>
      </w:pP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1.财政拨款收入：本科目核算行政单位从同级财政部门取得的财政预算资金。</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2.事业收入：本科目核算事业单位开展专业业务活动及其辅助活动取得的收入。</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3.经营收入：本科目核算事业单位在专业业务活动及其辅助活动之外开展非独立核算经营活动取得的收入。</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 xml:space="preserve">4.其他收入：事业单位本科目核算事业单位除财政补助收入、事业收入、上级补助收入、附属单位上缴收入、经营收入以外的各项收入；行政单位本科核算行政单位取得的除财政拨款收入以外的其他各项收入。 </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 xml:space="preserve">6.年初结转和结余：指以前年度尚未完成、结转到本年按有关规定继续使用的资金。 </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7.结余分配：指事业单位按照事业单位会计制度的规定从非财政补助结余中分配的事业基金和职工福利基金等。</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8、年末结转和结余：指单位按有关规定结转到下年或以后年度继续使用的资金。</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rPr>
        <w:t>9.一般公共服务支出：反映政府提供一般公共服务的支出。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.文化体育与传媒支出：反映政府在文化、体育、广播影视、新闻出版等方面的支出。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1</w:t>
      </w:r>
      <w:r>
        <w:rPr>
          <w:rFonts w:hint="eastAsia" w:ascii="仿宋_GB2312" w:eastAsia="仿宋_GB2312"/>
          <w:sz w:val="32"/>
          <w:szCs w:val="32"/>
        </w:rPr>
        <w:t>.社会保障和就业支出：反映政府在社会保障与就业方面的支出。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2</w:t>
      </w:r>
      <w:r>
        <w:rPr>
          <w:rFonts w:hint="eastAsia" w:ascii="仿宋_GB2312" w:eastAsia="仿宋_GB2312"/>
          <w:sz w:val="32"/>
          <w:szCs w:val="32"/>
        </w:rPr>
        <w:t>.医疗卫生与计划生育支出：反映政府医疗卫生与计划生育管理方面的支出。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lang w:val="en-US" w:eastAsia="zh-CN"/>
        </w:rPr>
        <w:t>13</w:t>
      </w:r>
      <w:r>
        <w:rPr>
          <w:rFonts w:hint="eastAsia" w:ascii="仿宋_GB2312" w:eastAsia="仿宋_GB2312"/>
          <w:sz w:val="32"/>
          <w:szCs w:val="32"/>
        </w:rPr>
        <w:t>.住房保障支出：集中反映政府用于住房方面的支出。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lang w:val="en-US" w:eastAsia="zh-CN"/>
        </w:rPr>
        <w:t>14</w:t>
      </w:r>
      <w:r>
        <w:rPr>
          <w:rFonts w:hint="eastAsia" w:ascii="仿宋_GB2312" w:eastAsia="仿宋_GB2312"/>
          <w:sz w:val="32"/>
          <w:szCs w:val="32"/>
        </w:rPr>
        <w:t>.基本支出：指为保障机构正常运转、完成日常工作任务而发生的人员支出和公用支出。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lang w:val="en-US" w:eastAsia="zh-CN"/>
        </w:rPr>
        <w:t>15</w:t>
      </w:r>
      <w:r>
        <w:rPr>
          <w:rFonts w:hint="eastAsia" w:ascii="仿宋_GB2312" w:eastAsia="仿宋_GB2312"/>
          <w:sz w:val="32"/>
          <w:szCs w:val="32"/>
        </w:rPr>
        <w:t xml:space="preserve">.项目支出：指在基本支出之外为完成特定行政任务和事业发展目标所发生的支出。 </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16</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3"/>
        <w:keepNext w:val="0"/>
        <w:keepLines w:val="0"/>
        <w:pageBreakBefore w:val="0"/>
        <w:kinsoku/>
        <w:bidi w:val="0"/>
        <w:spacing w:line="500" w:lineRule="exact"/>
        <w:ind w:left="0" w:leftChars="0" w:firstLine="640" w:firstLineChars="200"/>
        <w:rPr>
          <w:rFonts w:ascii="黑体" w:hAnsi="黑体" w:eastAsia="黑体"/>
          <w:color w:val="auto"/>
          <w:sz w:val="44"/>
          <w:szCs w:val="44"/>
        </w:rPr>
      </w:pPr>
      <w:r>
        <w:rPr>
          <w:rFonts w:hint="eastAsia" w:ascii="仿宋_GB2312" w:eastAsia="仿宋_GB2312"/>
          <w:color w:val="auto"/>
          <w:sz w:val="32"/>
          <w:szCs w:val="32"/>
          <w:lang w:val="en-US" w:eastAsia="zh-CN"/>
        </w:rPr>
        <w:t>17</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kinsoku/>
        <w:bidi w:val="0"/>
        <w:spacing w:line="500" w:lineRule="exact"/>
        <w:ind w:left="0" w:leftChars="0" w:firstLine="640" w:firstLineChars="200"/>
        <w:rPr>
          <w:rFonts w:ascii="仿宋_GB2312" w:eastAsia="仿宋_GB2312"/>
          <w:color w:val="auto"/>
          <w:sz w:val="32"/>
          <w:szCs w:val="32"/>
          <w:highlight w:val="none"/>
        </w:rPr>
      </w:pPr>
    </w:p>
    <w:p>
      <w:pPr>
        <w:keepNext w:val="0"/>
        <w:keepLines w:val="0"/>
        <w:pageBreakBefore w:val="0"/>
        <w:kinsoku/>
        <w:bidi w:val="0"/>
        <w:spacing w:line="500" w:lineRule="exact"/>
        <w:ind w:left="0" w:leftChars="0" w:firstLine="640" w:firstLineChars="200"/>
        <w:rPr>
          <w:rFonts w:ascii="仿宋_GB2312" w:eastAsia="仿宋_GB2312"/>
          <w:color w:val="auto"/>
          <w:sz w:val="32"/>
          <w:szCs w:val="32"/>
          <w:highlight w:val="none"/>
        </w:rPr>
      </w:pPr>
    </w:p>
    <w:p>
      <w:pPr>
        <w:keepNext w:val="0"/>
        <w:keepLines w:val="0"/>
        <w:pageBreakBefore w:val="0"/>
        <w:kinsoku/>
        <w:bidi w:val="0"/>
        <w:spacing w:line="500" w:lineRule="exact"/>
        <w:ind w:left="0" w:leftChars="0" w:firstLine="640" w:firstLineChars="200"/>
        <w:rPr>
          <w:rFonts w:ascii="仿宋_GB2312" w:eastAsia="仿宋_GB2312"/>
          <w:color w:val="auto"/>
          <w:sz w:val="32"/>
          <w:szCs w:val="32"/>
          <w:highlight w:val="none"/>
        </w:rPr>
      </w:pPr>
    </w:p>
    <w:p>
      <w:pPr>
        <w:keepNext w:val="0"/>
        <w:keepLines w:val="0"/>
        <w:pageBreakBefore w:val="0"/>
        <w:kinsoku/>
        <w:bidi w:val="0"/>
        <w:spacing w:line="500" w:lineRule="exact"/>
        <w:rPr>
          <w:rFonts w:ascii="仿宋_GB2312" w:eastAsia="仿宋_GB2312"/>
          <w:color w:val="auto"/>
          <w:sz w:val="32"/>
          <w:szCs w:val="32"/>
          <w:highlight w:val="none"/>
        </w:rPr>
      </w:pPr>
    </w:p>
    <w:p>
      <w:pPr>
        <w:keepNext w:val="0"/>
        <w:keepLines w:val="0"/>
        <w:pageBreakBefore w:val="0"/>
        <w:kinsoku/>
        <w:bidi w:val="0"/>
        <w:spacing w:line="500" w:lineRule="exact"/>
        <w:rPr>
          <w:rFonts w:ascii="仿宋_GB2312" w:eastAsia="仿宋_GB2312"/>
          <w:color w:val="auto"/>
          <w:sz w:val="32"/>
          <w:szCs w:val="32"/>
          <w:highlight w:val="none"/>
        </w:rPr>
      </w:pPr>
    </w:p>
    <w:p>
      <w:pPr>
        <w:keepNext w:val="0"/>
        <w:keepLines w:val="0"/>
        <w:pageBreakBefore w:val="0"/>
        <w:numPr>
          <w:ilvl w:val="0"/>
          <w:numId w:val="3"/>
        </w:numPr>
        <w:kinsoku/>
        <w:bidi w:val="0"/>
        <w:spacing w:line="500" w:lineRule="exact"/>
        <w:ind w:left="0" w:leftChars="0" w:firstLine="660" w:firstLineChars="150"/>
        <w:jc w:val="center"/>
        <w:outlineLvl w:val="0"/>
        <w:rPr>
          <w:rStyle w:val="23"/>
          <w:rFonts w:hint="eastAsia" w:ascii="黑体" w:hAnsi="黑体" w:eastAsia="黑体"/>
          <w:b w:val="0"/>
          <w:color w:val="auto"/>
          <w:highlight w:val="none"/>
        </w:rPr>
      </w:pPr>
      <w:bookmarkStart w:id="83" w:name="_Toc15396614"/>
      <w:bookmarkStart w:id="84" w:name="_Toc12031"/>
      <w:bookmarkStart w:id="85" w:name="_Toc15377226"/>
      <w:r>
        <w:rPr>
          <w:rStyle w:val="23"/>
          <w:rFonts w:hint="eastAsia" w:ascii="黑体" w:hAnsi="黑体" w:eastAsia="黑体"/>
          <w:b w:val="0"/>
          <w:color w:val="auto"/>
          <w:highlight w:val="none"/>
        </w:rPr>
        <w:t>附件</w:t>
      </w:r>
      <w:bookmarkEnd w:id="83"/>
      <w:bookmarkEnd w:id="84"/>
    </w:p>
    <w:p>
      <w:pPr>
        <w:keepNext w:val="0"/>
        <w:keepLines w:val="0"/>
        <w:pageBreakBefore w:val="0"/>
        <w:numPr>
          <w:ilvl w:val="0"/>
          <w:numId w:val="0"/>
        </w:numPr>
        <w:kinsoku/>
        <w:bidi w:val="0"/>
        <w:spacing w:line="500" w:lineRule="exact"/>
        <w:ind w:leftChars="150"/>
        <w:jc w:val="both"/>
        <w:outlineLvl w:val="0"/>
        <w:rPr>
          <w:rStyle w:val="23"/>
          <w:rFonts w:hint="eastAsia" w:ascii="黑体" w:hAnsi="黑体" w:eastAsia="黑体"/>
          <w:b w:val="0"/>
          <w:color w:val="auto"/>
          <w:highlight w:val="none"/>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rPr>
      </w:pPr>
      <w:r>
        <w:rPr>
          <w:rStyle w:val="23"/>
          <w:rFonts w:hint="eastAsia" w:ascii="方正仿宋_GBK" w:hAnsi="方正仿宋_GBK" w:eastAsia="方正仿宋_GBK" w:cs="方正仿宋_GBK"/>
          <w:b w:val="0"/>
          <w:color w:val="auto"/>
          <w:sz w:val="32"/>
          <w:szCs w:val="32"/>
          <w:highlight w:val="none"/>
        </w:rPr>
        <w:t>部门预算项目支出绩效自评表（2025年度）</w:t>
      </w:r>
    </w:p>
    <w:p>
      <w:pPr>
        <w:keepNext w:val="0"/>
        <w:keepLines w:val="0"/>
        <w:pageBreakBefore w:val="0"/>
        <w:numPr>
          <w:ilvl w:val="0"/>
          <w:numId w:val="0"/>
        </w:numPr>
        <w:kinsoku/>
        <w:bidi w:val="0"/>
        <w:spacing w:line="500" w:lineRule="exact"/>
        <w:ind w:leftChars="150" w:firstLine="1280" w:firstLineChars="400"/>
        <w:jc w:val="both"/>
        <w:outlineLvl w:val="0"/>
        <w:rPr>
          <w:rStyle w:val="23"/>
          <w:rFonts w:hint="eastAsia" w:ascii="方正仿宋_GBK" w:hAnsi="方正仿宋_GBK" w:eastAsia="方正仿宋_GBK" w:cs="方正仿宋_GBK"/>
          <w:b w:val="0"/>
          <w:color w:val="auto"/>
          <w:sz w:val="32"/>
          <w:szCs w:val="32"/>
          <w:highlight w:val="none"/>
          <w:lang w:eastAsia="zh-CN"/>
        </w:rPr>
      </w:pPr>
      <w:r>
        <w:rPr>
          <w:rStyle w:val="23"/>
          <w:rFonts w:hint="eastAsia" w:ascii="方正仿宋_GBK" w:hAnsi="方正仿宋_GBK" w:eastAsia="方正仿宋_GBK" w:cs="方正仿宋_GBK"/>
          <w:b w:val="0"/>
          <w:color w:val="auto"/>
          <w:sz w:val="32"/>
          <w:szCs w:val="32"/>
          <w:highlight w:val="none"/>
          <w:lang w:eastAsia="zh-CN"/>
        </w:rPr>
        <w:t>（单独附后）</w:t>
      </w: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keepNext w:val="0"/>
        <w:keepLines w:val="0"/>
        <w:pageBreakBefore w:val="0"/>
        <w:numPr>
          <w:ilvl w:val="0"/>
          <w:numId w:val="0"/>
        </w:numPr>
        <w:kinsoku/>
        <w:bidi w:val="0"/>
        <w:spacing w:line="500" w:lineRule="exact"/>
        <w:ind w:leftChars="150"/>
        <w:jc w:val="both"/>
        <w:outlineLvl w:val="0"/>
        <w:rPr>
          <w:rStyle w:val="23"/>
          <w:rFonts w:hint="eastAsia" w:ascii="方正仿宋_GBK" w:hAnsi="方正仿宋_GBK" w:eastAsia="方正仿宋_GBK" w:cs="方正仿宋_GBK"/>
          <w:b w:val="0"/>
          <w:color w:val="auto"/>
          <w:sz w:val="32"/>
          <w:szCs w:val="32"/>
          <w:highlight w:val="none"/>
          <w:lang w:eastAsia="zh-CN"/>
        </w:rPr>
      </w:pPr>
    </w:p>
    <w:p>
      <w:pPr>
        <w:spacing w:line="600" w:lineRule="exact"/>
        <w:jc w:val="center"/>
        <w:outlineLvl w:val="0"/>
        <w:rPr>
          <w:rFonts w:hint="eastAsia" w:ascii="仿宋" w:hAnsi="仿宋" w:eastAsia="仿宋"/>
          <w:b w:val="0"/>
          <w:color w:val="auto"/>
          <w:highlight w:val="none"/>
        </w:rPr>
      </w:pPr>
      <w:bookmarkStart w:id="86" w:name="_Toc15396618"/>
      <w:bookmarkStart w:id="87" w:name="_Toc5925"/>
      <w:r>
        <w:rPr>
          <w:rFonts w:hint="eastAsia" w:ascii="黑体" w:hAnsi="黑体" w:eastAsia="黑体"/>
          <w:color w:val="auto"/>
          <w:sz w:val="44"/>
          <w:szCs w:val="44"/>
          <w:highlight w:val="none"/>
        </w:rPr>
        <w:t>第</w:t>
      </w:r>
      <w:r>
        <w:rPr>
          <w:rStyle w:val="23"/>
          <w:rFonts w:hint="eastAsia" w:ascii="黑体" w:hAnsi="黑体" w:eastAsia="黑体"/>
          <w:b w:val="0"/>
          <w:color w:val="auto"/>
          <w:highlight w:val="none"/>
        </w:rPr>
        <w:t>五部分 附表</w:t>
      </w:r>
      <w:bookmarkEnd w:id="85"/>
      <w:bookmarkEnd w:id="86"/>
      <w:bookmarkEnd w:id="87"/>
      <w:bookmarkStart w:id="88" w:name="_Toc15396619"/>
    </w:p>
    <w:p>
      <w:pPr>
        <w:pStyle w:val="3"/>
        <w:rPr>
          <w:rFonts w:ascii="仿宋" w:hAnsi="仿宋" w:eastAsia="仿宋"/>
          <w:color w:val="auto"/>
          <w:highlight w:val="none"/>
        </w:rPr>
      </w:pPr>
      <w:bookmarkStart w:id="89" w:name="_Toc31231"/>
      <w:r>
        <w:rPr>
          <w:rFonts w:hint="eastAsia" w:ascii="仿宋" w:hAnsi="仿宋" w:eastAsia="仿宋"/>
          <w:b w:val="0"/>
          <w:color w:val="auto"/>
          <w:highlight w:val="none"/>
        </w:rPr>
        <w:t>一、收</w:t>
      </w:r>
      <w:r>
        <w:rPr>
          <w:rStyle w:val="24"/>
          <w:rFonts w:hint="eastAsia" w:ascii="仿宋" w:hAnsi="仿宋" w:eastAsia="仿宋"/>
          <w:b w:val="0"/>
          <w:bCs w:val="0"/>
          <w:color w:val="auto"/>
          <w:highlight w:val="none"/>
        </w:rPr>
        <w:t>入支出决算总表</w:t>
      </w:r>
      <w:bookmarkEnd w:id="88"/>
      <w:bookmarkEnd w:id="89"/>
    </w:p>
    <w:p>
      <w:pPr>
        <w:pStyle w:val="3"/>
        <w:rPr>
          <w:rFonts w:ascii="仿宋" w:hAnsi="仿宋" w:eastAsia="仿宋"/>
          <w:color w:val="auto"/>
          <w:highlight w:val="none"/>
        </w:rPr>
      </w:pPr>
      <w:bookmarkStart w:id="90" w:name="_Toc17510"/>
      <w:bookmarkStart w:id="91" w:name="_Toc15396620"/>
      <w:r>
        <w:rPr>
          <w:rFonts w:hint="eastAsia" w:ascii="仿宋" w:hAnsi="仿宋" w:eastAsia="仿宋"/>
          <w:b w:val="0"/>
          <w:color w:val="auto"/>
          <w:highlight w:val="none"/>
        </w:rPr>
        <w:t>二、收</w:t>
      </w:r>
      <w:r>
        <w:rPr>
          <w:rStyle w:val="24"/>
          <w:rFonts w:hint="eastAsia" w:ascii="仿宋" w:hAnsi="仿宋" w:eastAsia="仿宋"/>
          <w:b w:val="0"/>
          <w:bCs w:val="0"/>
          <w:color w:val="auto"/>
          <w:highlight w:val="none"/>
        </w:rPr>
        <w:t>入决算表</w:t>
      </w:r>
      <w:bookmarkEnd w:id="90"/>
      <w:bookmarkEnd w:id="91"/>
    </w:p>
    <w:p>
      <w:pPr>
        <w:pStyle w:val="3"/>
        <w:rPr>
          <w:rFonts w:ascii="仿宋" w:hAnsi="仿宋" w:eastAsia="仿宋"/>
          <w:color w:val="auto"/>
          <w:highlight w:val="none"/>
        </w:rPr>
      </w:pPr>
      <w:bookmarkStart w:id="92" w:name="_Toc15396621"/>
      <w:bookmarkStart w:id="93" w:name="_Toc12289"/>
      <w:r>
        <w:rPr>
          <w:rStyle w:val="24"/>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4"/>
          <w:rFonts w:hint="eastAsia" w:ascii="仿宋" w:hAnsi="仿宋" w:eastAsia="仿宋"/>
          <w:b w:val="0"/>
          <w:bCs w:val="0"/>
          <w:color w:val="auto"/>
          <w:highlight w:val="none"/>
        </w:rPr>
        <w:t>出决算表</w:t>
      </w:r>
      <w:bookmarkEnd w:id="92"/>
      <w:bookmarkEnd w:id="93"/>
    </w:p>
    <w:p>
      <w:pPr>
        <w:pStyle w:val="3"/>
        <w:rPr>
          <w:rFonts w:ascii="仿宋" w:hAnsi="仿宋" w:eastAsia="仿宋"/>
          <w:b w:val="0"/>
          <w:color w:val="auto"/>
          <w:highlight w:val="none"/>
        </w:rPr>
      </w:pPr>
      <w:bookmarkStart w:id="94" w:name="_Toc25006"/>
      <w:bookmarkStart w:id="95" w:name="_Toc15396622"/>
      <w:r>
        <w:rPr>
          <w:rStyle w:val="24"/>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4"/>
          <w:rFonts w:hint="eastAsia" w:ascii="仿宋" w:hAnsi="仿宋" w:eastAsia="仿宋"/>
          <w:b w:val="0"/>
          <w:bCs w:val="0"/>
          <w:color w:val="auto"/>
          <w:highlight w:val="none"/>
        </w:rPr>
        <w:t>政拨款收入支出决算总表</w:t>
      </w:r>
      <w:bookmarkEnd w:id="94"/>
      <w:bookmarkEnd w:id="95"/>
    </w:p>
    <w:p>
      <w:pPr>
        <w:pStyle w:val="3"/>
        <w:rPr>
          <w:rStyle w:val="24"/>
          <w:rFonts w:ascii="仿宋" w:hAnsi="仿宋" w:eastAsia="仿宋"/>
          <w:b w:val="0"/>
          <w:bCs w:val="0"/>
          <w:color w:val="auto"/>
          <w:highlight w:val="none"/>
        </w:rPr>
      </w:pPr>
      <w:bookmarkStart w:id="96" w:name="_Toc12379"/>
      <w:bookmarkStart w:id="97" w:name="_Toc15396623"/>
      <w:r>
        <w:rPr>
          <w:rStyle w:val="24"/>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4"/>
          <w:rFonts w:hint="eastAsia" w:ascii="仿宋" w:hAnsi="仿宋" w:eastAsia="仿宋"/>
          <w:b w:val="0"/>
          <w:bCs w:val="0"/>
          <w:color w:val="auto"/>
          <w:highlight w:val="none"/>
        </w:rPr>
        <w:t>政拨款支出决算明细表</w:t>
      </w:r>
      <w:bookmarkEnd w:id="96"/>
      <w:bookmarkEnd w:id="97"/>
      <w:bookmarkStart w:id="98" w:name="_Toc15396624"/>
    </w:p>
    <w:p>
      <w:pPr>
        <w:pStyle w:val="3"/>
        <w:rPr>
          <w:rFonts w:ascii="仿宋" w:hAnsi="仿宋" w:eastAsia="仿宋"/>
          <w:color w:val="auto"/>
          <w:highlight w:val="none"/>
        </w:rPr>
      </w:pPr>
      <w:bookmarkStart w:id="99" w:name="_Toc5544"/>
      <w:r>
        <w:rPr>
          <w:rStyle w:val="24"/>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般公共预算财政拨款支出决算表</w:t>
      </w:r>
      <w:bookmarkEnd w:id="98"/>
      <w:bookmarkEnd w:id="99"/>
    </w:p>
    <w:p>
      <w:pPr>
        <w:pStyle w:val="3"/>
        <w:rPr>
          <w:rFonts w:ascii="仿宋" w:hAnsi="仿宋" w:eastAsia="仿宋"/>
          <w:color w:val="auto"/>
          <w:highlight w:val="none"/>
        </w:rPr>
      </w:pPr>
      <w:bookmarkStart w:id="100" w:name="_Toc15396625"/>
      <w:bookmarkStart w:id="101" w:name="_Toc15479"/>
      <w:r>
        <w:rPr>
          <w:rStyle w:val="24"/>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般公共预算财政拨款支出决算明细表</w:t>
      </w:r>
      <w:bookmarkEnd w:id="100"/>
      <w:bookmarkEnd w:id="101"/>
    </w:p>
    <w:p>
      <w:pPr>
        <w:pStyle w:val="3"/>
        <w:rPr>
          <w:rFonts w:ascii="仿宋" w:hAnsi="仿宋" w:eastAsia="仿宋"/>
          <w:color w:val="auto"/>
          <w:highlight w:val="none"/>
        </w:rPr>
      </w:pPr>
      <w:bookmarkStart w:id="102" w:name="_Toc9172"/>
      <w:bookmarkStart w:id="103" w:name="_Toc15396626"/>
      <w:r>
        <w:rPr>
          <w:rStyle w:val="24"/>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般公共预算财政拨款基本支出决算表</w:t>
      </w:r>
      <w:bookmarkEnd w:id="102"/>
      <w:bookmarkEnd w:id="103"/>
    </w:p>
    <w:p>
      <w:pPr>
        <w:pStyle w:val="3"/>
        <w:rPr>
          <w:rFonts w:ascii="仿宋" w:hAnsi="仿宋" w:eastAsia="仿宋"/>
          <w:color w:val="auto"/>
          <w:highlight w:val="none"/>
        </w:rPr>
      </w:pPr>
      <w:bookmarkStart w:id="104" w:name="_Toc31373"/>
      <w:bookmarkStart w:id="105" w:name="_Toc15396627"/>
      <w:r>
        <w:rPr>
          <w:rStyle w:val="24"/>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般公共预算财政拨款项目支出决算表</w:t>
      </w:r>
      <w:bookmarkEnd w:id="104"/>
      <w:bookmarkEnd w:id="105"/>
    </w:p>
    <w:p>
      <w:pPr>
        <w:pStyle w:val="3"/>
        <w:rPr>
          <w:rFonts w:ascii="仿宋" w:hAnsi="仿宋" w:eastAsia="仿宋"/>
          <w:color w:val="auto"/>
          <w:highlight w:val="none"/>
        </w:rPr>
      </w:pPr>
      <w:bookmarkStart w:id="106" w:name="_Toc15396628"/>
      <w:bookmarkStart w:id="107" w:name="_Toc12127"/>
      <w:r>
        <w:rPr>
          <w:rStyle w:val="24"/>
          <w:rFonts w:hint="eastAsia" w:ascii="仿宋" w:hAnsi="仿宋" w:eastAsia="仿宋"/>
          <w:b w:val="0"/>
          <w:bCs w:val="0"/>
          <w:color w:val="auto"/>
          <w:highlight w:val="none"/>
        </w:rPr>
        <w:t>十、</w:t>
      </w:r>
      <w:bookmarkEnd w:id="106"/>
      <w:r>
        <w:rPr>
          <w:rFonts w:hint="eastAsia" w:ascii="仿宋" w:hAnsi="仿宋" w:eastAsia="仿宋"/>
          <w:b w:val="0"/>
          <w:color w:val="auto"/>
          <w:highlight w:val="none"/>
        </w:rPr>
        <w:t>政</w:t>
      </w:r>
      <w:r>
        <w:rPr>
          <w:rStyle w:val="24"/>
          <w:rFonts w:hint="eastAsia" w:ascii="仿宋" w:hAnsi="仿宋" w:eastAsia="仿宋"/>
          <w:b w:val="0"/>
          <w:bCs w:val="0"/>
          <w:color w:val="auto"/>
          <w:highlight w:val="none"/>
        </w:rPr>
        <w:t>府性基金预算财政拨款收入支出决算表</w:t>
      </w:r>
      <w:bookmarkEnd w:id="107"/>
    </w:p>
    <w:p>
      <w:pPr>
        <w:pStyle w:val="3"/>
        <w:rPr>
          <w:rFonts w:ascii="仿宋" w:hAnsi="仿宋" w:eastAsia="仿宋"/>
          <w:color w:val="auto"/>
          <w:highlight w:val="none"/>
        </w:rPr>
      </w:pPr>
      <w:bookmarkStart w:id="108" w:name="_Toc15396629"/>
      <w:bookmarkStart w:id="109" w:name="_Toc1955"/>
      <w:r>
        <w:rPr>
          <w:rStyle w:val="24"/>
          <w:rFonts w:hint="eastAsia" w:ascii="仿宋" w:hAnsi="仿宋" w:eastAsia="仿宋"/>
          <w:b w:val="0"/>
          <w:bCs w:val="0"/>
          <w:color w:val="auto"/>
          <w:highlight w:val="none"/>
        </w:rPr>
        <w:t>十一、</w:t>
      </w:r>
      <w:bookmarkEnd w:id="108"/>
      <w:r>
        <w:rPr>
          <w:rFonts w:hint="eastAsia" w:ascii="仿宋" w:hAnsi="仿宋" w:eastAsia="仿宋"/>
          <w:b w:val="0"/>
          <w:color w:val="auto"/>
          <w:highlight w:val="none"/>
        </w:rPr>
        <w:t>国</w:t>
      </w:r>
      <w:r>
        <w:rPr>
          <w:rStyle w:val="24"/>
          <w:rFonts w:hint="eastAsia" w:ascii="仿宋" w:hAnsi="仿宋" w:eastAsia="仿宋"/>
          <w:b w:val="0"/>
          <w:bCs w:val="0"/>
          <w:color w:val="auto"/>
          <w:highlight w:val="none"/>
        </w:rPr>
        <w:t>有资本经营预算</w:t>
      </w:r>
      <w:r>
        <w:rPr>
          <w:rStyle w:val="24"/>
          <w:rFonts w:hint="eastAsia" w:ascii="仿宋" w:hAnsi="仿宋" w:eastAsia="仿宋"/>
          <w:b w:val="0"/>
          <w:bCs w:val="0"/>
          <w:color w:val="auto"/>
          <w:highlight w:val="none"/>
          <w:lang w:eastAsia="zh-CN"/>
        </w:rPr>
        <w:t>财政拨款收入</w:t>
      </w:r>
      <w:r>
        <w:rPr>
          <w:rStyle w:val="24"/>
          <w:rFonts w:hint="eastAsia" w:ascii="仿宋" w:hAnsi="仿宋" w:eastAsia="仿宋"/>
          <w:b w:val="0"/>
          <w:bCs w:val="0"/>
          <w:color w:val="auto"/>
          <w:highlight w:val="none"/>
        </w:rPr>
        <w:t>支出决算表</w:t>
      </w:r>
      <w:bookmarkEnd w:id="109"/>
    </w:p>
    <w:p>
      <w:pPr>
        <w:pStyle w:val="3"/>
        <w:rPr>
          <w:rFonts w:ascii="仿宋" w:hAnsi="仿宋" w:eastAsia="仿宋"/>
          <w:color w:val="auto"/>
          <w:highlight w:val="none"/>
        </w:rPr>
      </w:pPr>
      <w:bookmarkStart w:id="110" w:name="_Toc15396630"/>
      <w:bookmarkStart w:id="111" w:name="_Toc30106"/>
      <w:r>
        <w:rPr>
          <w:rStyle w:val="24"/>
          <w:rFonts w:hint="eastAsia" w:ascii="仿宋" w:hAnsi="仿宋" w:eastAsia="仿宋"/>
          <w:b w:val="0"/>
          <w:bCs w:val="0"/>
          <w:color w:val="auto"/>
          <w:highlight w:val="none"/>
        </w:rPr>
        <w:t>十二、</w:t>
      </w:r>
      <w:bookmarkEnd w:id="110"/>
      <w:r>
        <w:rPr>
          <w:rStyle w:val="24"/>
          <w:rFonts w:hint="eastAsia" w:ascii="仿宋" w:hAnsi="仿宋" w:eastAsia="仿宋"/>
          <w:b w:val="0"/>
          <w:bCs w:val="0"/>
          <w:color w:val="auto"/>
          <w:highlight w:val="none"/>
          <w:lang w:eastAsia="zh-CN"/>
        </w:rPr>
        <w:t>国有资本经营预算财政拨款支出决算表</w:t>
      </w:r>
      <w:bookmarkEnd w:id="111"/>
    </w:p>
    <w:p>
      <w:pPr>
        <w:pStyle w:val="3"/>
        <w:rPr>
          <w:rFonts w:hint="eastAsia" w:eastAsia="仿宋"/>
          <w:color w:val="auto"/>
          <w:highlight w:val="none"/>
          <w:lang w:eastAsia="zh-CN"/>
        </w:rPr>
      </w:pPr>
      <w:bookmarkStart w:id="112" w:name="_Toc15396631"/>
      <w:bookmarkStart w:id="113" w:name="_Toc30368"/>
      <w:r>
        <w:rPr>
          <w:rStyle w:val="24"/>
          <w:rFonts w:hint="eastAsia" w:ascii="仿宋" w:hAnsi="仿宋" w:eastAsia="仿宋"/>
          <w:b w:val="0"/>
          <w:bCs w:val="0"/>
          <w:color w:val="auto"/>
          <w:highlight w:val="none"/>
        </w:rPr>
        <w:t>十三、</w:t>
      </w:r>
      <w:bookmarkEnd w:id="112"/>
      <w:r>
        <w:rPr>
          <w:rStyle w:val="24"/>
          <w:rFonts w:hint="eastAsia" w:ascii="仿宋" w:hAnsi="仿宋" w:eastAsia="仿宋"/>
          <w:b w:val="0"/>
          <w:bCs w:val="0"/>
          <w:color w:val="auto"/>
          <w:highlight w:val="none"/>
          <w:lang w:eastAsia="zh-CN"/>
        </w:rPr>
        <w:t>财政拨款“三公”经费支出决算表</w:t>
      </w:r>
      <w:bookmarkEnd w:id="113"/>
    </w:p>
    <w:sectPr>
      <w:headerReference r:id="rId5" w:type="default"/>
      <w:footerReference r:id="rId6"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AB85A1-57ED-4174-8E5D-47E0E3FCE76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embedRegular r:id="rId2" w:fontKey="{D93C1C2A-72C2-42F7-B5D9-1F77F1DB2347}"/>
  </w:font>
  <w:font w:name="仿宋_GB2312">
    <w:panose1 w:val="02010609030101010101"/>
    <w:charset w:val="86"/>
    <w:family w:val="modern"/>
    <w:pitch w:val="default"/>
    <w:sig w:usb0="00000001" w:usb1="080E0000" w:usb2="00000000" w:usb3="00000000" w:csb0="00040000" w:csb1="00000000"/>
    <w:embedRegular r:id="rId3" w:fontKey="{78E3C4D5-D5AD-474D-BF81-C6069F8F264C}"/>
  </w:font>
  <w:font w:name="仿宋">
    <w:panose1 w:val="02010609060101010101"/>
    <w:charset w:val="86"/>
    <w:family w:val="modern"/>
    <w:pitch w:val="default"/>
    <w:sig w:usb0="800002BF" w:usb1="38CF7CFA" w:usb2="00000016" w:usb3="00000000" w:csb0="00040001" w:csb1="00000000"/>
    <w:embedRegular r:id="rId4" w:fontKey="{DDB601ED-5D83-46DC-A9B8-F87C2395AA88}"/>
  </w:font>
  <w:font w:name="??">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embedRegular r:id="rId5" w:fontKey="{874012A0-F631-47E2-B18A-2BD38A847068}"/>
  </w:font>
  <w:font w:name="楷体_GB2312">
    <w:panose1 w:val="02010609030101010101"/>
    <w:charset w:val="86"/>
    <w:family w:val="auto"/>
    <w:pitch w:val="default"/>
    <w:sig w:usb0="00000001" w:usb1="080E0000" w:usb2="00000000" w:usb3="00000000" w:csb0="00040000" w:csb1="00000000"/>
    <w:embedRegular r:id="rId6" w:fontKey="{56D8CE5C-6EC9-44BC-8E67-FE5DD3450060}"/>
  </w:font>
  <w:font w:name="方正仿宋_GBK">
    <w:panose1 w:val="03000509000000000000"/>
    <w:charset w:val="86"/>
    <w:family w:val="auto"/>
    <w:pitch w:val="default"/>
    <w:sig w:usb0="00000001" w:usb1="080E0000" w:usb2="00000000" w:usb3="00000000" w:csb0="00040000" w:csb1="00000000"/>
    <w:embedRegular r:id="rId7" w:fontKey="{5CF2F950-B760-48F8-94E1-AC43BC1865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7xr8bwwEAAHADAAAOAAAAAAAAAAEAIAAAAB4BAABkcnMvZTJvRG9jLnhtbFBL&#10;BQYAAAAABgAGAFkBAABTBQ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jc w:val="center"/>
                          </w:pPr>
                          <w:r>
                            <w:fldChar w:fldCharType="begin"/>
                          </w:r>
                          <w:r>
                            <w:instrText xml:space="preserve">PAGE   \* MERGEFORMAT</w:instrText>
                          </w:r>
                          <w:r>
                            <w:fldChar w:fldCharType="separate"/>
                          </w:r>
                          <w:r>
                            <w:rPr>
                              <w:lang w:val="zh-CN"/>
                            </w:rPr>
                            <w:t>8</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E4a/PrCAQAAcAMAAA4AAAAAAAAAAQAgAAAAHgEAAGRycy9lMm9Eb2MueG1sUEsF&#10;BgAAAAAGAAYAWQEAAFIFAAAAAA==&#10;">
              <v:fill on="f" focussize="0,0"/>
              <v:stroke on="f"/>
              <v:imagedata o:title=""/>
              <o:lock v:ext="edit" aspectratio="f"/>
              <v:textbox inset="0mm,0mm,0mm,0mm" style="mso-fit-shape-to-text:t;">
                <w:txbxContent>
                  <w:p>
                    <w:pPr>
                      <w:pStyle w:val="11"/>
                      <w:jc w:val="center"/>
                    </w:pPr>
                    <w:r>
                      <w:fldChar w:fldCharType="begin"/>
                    </w:r>
                    <w:r>
                      <w:instrText xml:space="preserve">PAGE   \* MERGEFORMAT</w:instrText>
                    </w:r>
                    <w:r>
                      <w:fldChar w:fldCharType="separate"/>
                    </w:r>
                    <w:r>
                      <w:rPr>
                        <w:lang w:val="zh-CN"/>
                      </w:rPr>
                      <w:t>8</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hyphenationZone w:val="36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wOTlmOGYxOTNjOTZhMTkxYzQ4NzI4MjgxOWE2Y2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611BDD"/>
    <w:rsid w:val="02143E91"/>
    <w:rsid w:val="03127217"/>
    <w:rsid w:val="042E2F19"/>
    <w:rsid w:val="05D36322"/>
    <w:rsid w:val="064249C6"/>
    <w:rsid w:val="066E0107"/>
    <w:rsid w:val="06D66EBD"/>
    <w:rsid w:val="06D72C6D"/>
    <w:rsid w:val="077D6217"/>
    <w:rsid w:val="07996F6E"/>
    <w:rsid w:val="07A57570"/>
    <w:rsid w:val="07B62F76"/>
    <w:rsid w:val="0A2032A3"/>
    <w:rsid w:val="0AFF66B3"/>
    <w:rsid w:val="0BB22812"/>
    <w:rsid w:val="0CC170B3"/>
    <w:rsid w:val="0D30650C"/>
    <w:rsid w:val="0DA57A21"/>
    <w:rsid w:val="0E686877"/>
    <w:rsid w:val="0ED70B71"/>
    <w:rsid w:val="0F013E96"/>
    <w:rsid w:val="0F98263C"/>
    <w:rsid w:val="101860EC"/>
    <w:rsid w:val="10394744"/>
    <w:rsid w:val="10C055FF"/>
    <w:rsid w:val="118107EC"/>
    <w:rsid w:val="12C01C92"/>
    <w:rsid w:val="13D50BC4"/>
    <w:rsid w:val="15393438"/>
    <w:rsid w:val="16294695"/>
    <w:rsid w:val="163A6938"/>
    <w:rsid w:val="16BB723D"/>
    <w:rsid w:val="18736C61"/>
    <w:rsid w:val="189F1A11"/>
    <w:rsid w:val="1B697EA8"/>
    <w:rsid w:val="1BA302B8"/>
    <w:rsid w:val="1BCE12EF"/>
    <w:rsid w:val="1BE8440E"/>
    <w:rsid w:val="1D0E51AB"/>
    <w:rsid w:val="1D155CEE"/>
    <w:rsid w:val="1D4024D2"/>
    <w:rsid w:val="1D494869"/>
    <w:rsid w:val="1D607E9A"/>
    <w:rsid w:val="1E3B5514"/>
    <w:rsid w:val="1EA025CB"/>
    <w:rsid w:val="1EC71AB5"/>
    <w:rsid w:val="1EEE40CF"/>
    <w:rsid w:val="1EF95283"/>
    <w:rsid w:val="1F0B21AD"/>
    <w:rsid w:val="1F49264E"/>
    <w:rsid w:val="1F7F04D6"/>
    <w:rsid w:val="1FF35744"/>
    <w:rsid w:val="212C5BFF"/>
    <w:rsid w:val="21C66E0F"/>
    <w:rsid w:val="231A15C5"/>
    <w:rsid w:val="23860B96"/>
    <w:rsid w:val="240371BF"/>
    <w:rsid w:val="248F3BE1"/>
    <w:rsid w:val="24C04FDC"/>
    <w:rsid w:val="27A14E79"/>
    <w:rsid w:val="27B65781"/>
    <w:rsid w:val="28235F68"/>
    <w:rsid w:val="282870EB"/>
    <w:rsid w:val="28317DED"/>
    <w:rsid w:val="288B05AF"/>
    <w:rsid w:val="28F60FCD"/>
    <w:rsid w:val="29FD04D3"/>
    <w:rsid w:val="2B1419FF"/>
    <w:rsid w:val="2C337B1F"/>
    <w:rsid w:val="2C4E70D8"/>
    <w:rsid w:val="2C8A61B5"/>
    <w:rsid w:val="2CC633AC"/>
    <w:rsid w:val="2D013765"/>
    <w:rsid w:val="2D481496"/>
    <w:rsid w:val="2DF04E50"/>
    <w:rsid w:val="2E5D305A"/>
    <w:rsid w:val="2F040D46"/>
    <w:rsid w:val="2F13322E"/>
    <w:rsid w:val="2F7075FF"/>
    <w:rsid w:val="2F8037F4"/>
    <w:rsid w:val="3092644E"/>
    <w:rsid w:val="319F7F4E"/>
    <w:rsid w:val="31B163D9"/>
    <w:rsid w:val="31BB1CA7"/>
    <w:rsid w:val="328B3675"/>
    <w:rsid w:val="3304709D"/>
    <w:rsid w:val="337F23EA"/>
    <w:rsid w:val="346C65E7"/>
    <w:rsid w:val="36AA5135"/>
    <w:rsid w:val="376D39B2"/>
    <w:rsid w:val="37E16F03"/>
    <w:rsid w:val="387D4999"/>
    <w:rsid w:val="38C352E3"/>
    <w:rsid w:val="38D469F0"/>
    <w:rsid w:val="39FC3104"/>
    <w:rsid w:val="3ACF785E"/>
    <w:rsid w:val="3B2167A0"/>
    <w:rsid w:val="3B801EE5"/>
    <w:rsid w:val="3C8B637F"/>
    <w:rsid w:val="3D257C7B"/>
    <w:rsid w:val="3D98207C"/>
    <w:rsid w:val="3E1E3910"/>
    <w:rsid w:val="3E78745D"/>
    <w:rsid w:val="3FBB4B3A"/>
    <w:rsid w:val="408D39DC"/>
    <w:rsid w:val="40955117"/>
    <w:rsid w:val="40EB7975"/>
    <w:rsid w:val="426A3DC1"/>
    <w:rsid w:val="43A713E9"/>
    <w:rsid w:val="444906F3"/>
    <w:rsid w:val="44E268DA"/>
    <w:rsid w:val="45207AAF"/>
    <w:rsid w:val="45BE2A1A"/>
    <w:rsid w:val="46164604"/>
    <w:rsid w:val="46413C97"/>
    <w:rsid w:val="4732546E"/>
    <w:rsid w:val="474E2F36"/>
    <w:rsid w:val="478F359F"/>
    <w:rsid w:val="48B277A8"/>
    <w:rsid w:val="490B241B"/>
    <w:rsid w:val="492B486B"/>
    <w:rsid w:val="494A7309"/>
    <w:rsid w:val="49593FE0"/>
    <w:rsid w:val="4A484FA8"/>
    <w:rsid w:val="4A547DF1"/>
    <w:rsid w:val="4A627F82"/>
    <w:rsid w:val="4B0E749A"/>
    <w:rsid w:val="4B1B26BD"/>
    <w:rsid w:val="4B4F25DA"/>
    <w:rsid w:val="4B990CBA"/>
    <w:rsid w:val="4BE068DB"/>
    <w:rsid w:val="4D132915"/>
    <w:rsid w:val="4D577224"/>
    <w:rsid w:val="4D654561"/>
    <w:rsid w:val="4DF72106"/>
    <w:rsid w:val="4E0202DE"/>
    <w:rsid w:val="4E171EB5"/>
    <w:rsid w:val="4EAB630A"/>
    <w:rsid w:val="4EC36F3F"/>
    <w:rsid w:val="4ECE2238"/>
    <w:rsid w:val="51EC5EDA"/>
    <w:rsid w:val="52287B99"/>
    <w:rsid w:val="52513181"/>
    <w:rsid w:val="52C27E66"/>
    <w:rsid w:val="537E6D0A"/>
    <w:rsid w:val="53AA19C9"/>
    <w:rsid w:val="546C5DD5"/>
    <w:rsid w:val="54B5148C"/>
    <w:rsid w:val="54FC32BE"/>
    <w:rsid w:val="558F2CFB"/>
    <w:rsid w:val="56C272C9"/>
    <w:rsid w:val="56FB1D20"/>
    <w:rsid w:val="576C0528"/>
    <w:rsid w:val="587873A1"/>
    <w:rsid w:val="5A0A5DD6"/>
    <w:rsid w:val="5ABF12B7"/>
    <w:rsid w:val="5AF92295"/>
    <w:rsid w:val="5B182775"/>
    <w:rsid w:val="5BDC5EE7"/>
    <w:rsid w:val="5C3B583F"/>
    <w:rsid w:val="5CD71FC4"/>
    <w:rsid w:val="5E0D1F37"/>
    <w:rsid w:val="5E930A90"/>
    <w:rsid w:val="5FB24F46"/>
    <w:rsid w:val="608C39E9"/>
    <w:rsid w:val="62DE4C05"/>
    <w:rsid w:val="62FF0CEC"/>
    <w:rsid w:val="631F1D7E"/>
    <w:rsid w:val="634D3145"/>
    <w:rsid w:val="641B7951"/>
    <w:rsid w:val="64D30272"/>
    <w:rsid w:val="655606BE"/>
    <w:rsid w:val="65E9368C"/>
    <w:rsid w:val="665A00E6"/>
    <w:rsid w:val="66C86AB4"/>
    <w:rsid w:val="676D411D"/>
    <w:rsid w:val="698A2A90"/>
    <w:rsid w:val="6A484851"/>
    <w:rsid w:val="6B144A6A"/>
    <w:rsid w:val="6B1940CB"/>
    <w:rsid w:val="6B694227"/>
    <w:rsid w:val="6BAC4F3F"/>
    <w:rsid w:val="6C206E7F"/>
    <w:rsid w:val="6C4A05C8"/>
    <w:rsid w:val="6CD42A88"/>
    <w:rsid w:val="6DB23AF5"/>
    <w:rsid w:val="6E7E3605"/>
    <w:rsid w:val="6FE14EB8"/>
    <w:rsid w:val="6FF5CC65"/>
    <w:rsid w:val="70282573"/>
    <w:rsid w:val="715C0E4B"/>
    <w:rsid w:val="71D317C4"/>
    <w:rsid w:val="72734D90"/>
    <w:rsid w:val="73627629"/>
    <w:rsid w:val="73A900DD"/>
    <w:rsid w:val="73AD73D5"/>
    <w:rsid w:val="73B452D9"/>
    <w:rsid w:val="73B6EB34"/>
    <w:rsid w:val="744731E5"/>
    <w:rsid w:val="74D472B5"/>
    <w:rsid w:val="75587EE6"/>
    <w:rsid w:val="76171B4F"/>
    <w:rsid w:val="76E3355F"/>
    <w:rsid w:val="778769C8"/>
    <w:rsid w:val="78ED77E9"/>
    <w:rsid w:val="79191DC9"/>
    <w:rsid w:val="79801671"/>
    <w:rsid w:val="79EE5BA4"/>
    <w:rsid w:val="7A894339"/>
    <w:rsid w:val="7AE53FCA"/>
    <w:rsid w:val="7B49229B"/>
    <w:rsid w:val="7BBD211E"/>
    <w:rsid w:val="7E7A6159"/>
    <w:rsid w:val="7EEF11D3"/>
    <w:rsid w:val="7F016EF9"/>
    <w:rsid w:val="7FA30C79"/>
    <w:rsid w:val="7FB7269E"/>
    <w:rsid w:val="7FC96657"/>
    <w:rsid w:val="7FE548E6"/>
    <w:rsid w:val="D8D6DB89"/>
    <w:rsid w:val="DB6F4CAB"/>
    <w:rsid w:val="DF6F97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21">
    <w:name w:val="Normal Table"/>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Calibri" w:hAnsi="Calibri"/>
      <w:szCs w:val="21"/>
    </w:rPr>
  </w:style>
  <w:style w:type="paragraph" w:styleId="6">
    <w:name w:val="Salutation"/>
    <w:basedOn w:val="1"/>
    <w:next w:val="1"/>
    <w:qFormat/>
    <w:uiPriority w:val="0"/>
  </w:style>
  <w:style w:type="paragraph" w:styleId="7">
    <w:name w:val="Body Text"/>
    <w:basedOn w:val="1"/>
    <w:next w:val="1"/>
    <w:link w:val="22"/>
    <w:qFormat/>
    <w:uiPriority w:val="99"/>
    <w:pPr>
      <w:spacing w:beforeLines="30"/>
    </w:pPr>
    <w:rPr>
      <w:rFonts w:ascii="仿宋_GB2312" w:eastAsia="仿宋_GB2312"/>
      <w:kern w:val="0"/>
      <w:sz w:val="30"/>
    </w:rPr>
  </w:style>
  <w:style w:type="paragraph" w:styleId="8">
    <w:name w:val="Body Text Indent"/>
    <w:basedOn w:val="1"/>
    <w:qFormat/>
    <w:uiPriority w:val="0"/>
    <w:pPr>
      <w:spacing w:after="120"/>
      <w:ind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26"/>
    <w:unhideWhenUsed/>
    <w:qFormat/>
    <w:uiPriority w:val="99"/>
    <w:rPr>
      <w:sz w:val="18"/>
      <w:szCs w:val="18"/>
    </w:rPr>
  </w:style>
  <w:style w:type="paragraph" w:styleId="11">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2">
    <w:name w:val="Body Text First Indent 2"/>
    <w:basedOn w:val="8"/>
    <w:unhideWhenUsed/>
    <w:qFormat/>
    <w:uiPriority w:val="99"/>
    <w:pPr>
      <w:ind w:firstLine="420" w:firstLineChars="200"/>
    </w:pPr>
  </w:style>
  <w:style w:type="paragraph" w:styleId="13">
    <w:name w:val="header"/>
    <w:basedOn w:val="1"/>
    <w:link w:val="2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able of figures"/>
    <w:basedOn w:val="1"/>
    <w:next w:val="1"/>
    <w:qFormat/>
    <w:uiPriority w:val="0"/>
    <w:pPr>
      <w:ind w:left="4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Autospacing="1" w:afterAutospacing="1"/>
      <w:jc w:val="left"/>
    </w:pPr>
    <w:rPr>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u w:val="single"/>
    </w:rPr>
  </w:style>
  <w:style w:type="character" w:customStyle="1" w:styleId="22">
    <w:name w:val="正文文本 Char"/>
    <w:link w:val="7"/>
    <w:qFormat/>
    <w:locked/>
    <w:uiPriority w:val="99"/>
    <w:rPr>
      <w:rFonts w:ascii="仿宋_GB2312" w:hAnsi="Times New Roman" w:eastAsia="仿宋_GB2312"/>
      <w:sz w:val="24"/>
    </w:rPr>
  </w:style>
  <w:style w:type="character" w:customStyle="1" w:styleId="23">
    <w:name w:val="标题 1 Char"/>
    <w:basedOn w:val="18"/>
    <w:link w:val="2"/>
    <w:qFormat/>
    <w:uiPriority w:val="9"/>
    <w:rPr>
      <w:rFonts w:ascii="Times New Roman" w:hAnsi="Times New Roman"/>
      <w:b/>
      <w:bCs/>
      <w:kern w:val="44"/>
      <w:sz w:val="44"/>
      <w:szCs w:val="44"/>
    </w:rPr>
  </w:style>
  <w:style w:type="character" w:customStyle="1" w:styleId="24">
    <w:name w:val="标题 2 Char"/>
    <w:basedOn w:val="18"/>
    <w:link w:val="3"/>
    <w:qFormat/>
    <w:uiPriority w:val="9"/>
    <w:rPr>
      <w:rFonts w:ascii="Cambria" w:hAnsi="Cambria" w:eastAsia="宋体" w:cs="Times New Roman"/>
      <w:b/>
      <w:bCs/>
      <w:kern w:val="2"/>
      <w:sz w:val="32"/>
      <w:szCs w:val="32"/>
    </w:rPr>
  </w:style>
  <w:style w:type="character" w:customStyle="1" w:styleId="25">
    <w:name w:val="标题 3 Char"/>
    <w:basedOn w:val="18"/>
    <w:link w:val="4"/>
    <w:qFormat/>
    <w:uiPriority w:val="9"/>
    <w:rPr>
      <w:rFonts w:ascii="Times New Roman" w:hAnsi="Times New Roman"/>
      <w:b/>
      <w:bCs/>
      <w:kern w:val="2"/>
      <w:sz w:val="32"/>
      <w:szCs w:val="32"/>
    </w:rPr>
  </w:style>
  <w:style w:type="character" w:customStyle="1" w:styleId="26">
    <w:name w:val="批注框文本 Char"/>
    <w:basedOn w:val="18"/>
    <w:link w:val="10"/>
    <w:semiHidden/>
    <w:qFormat/>
    <w:uiPriority w:val="99"/>
    <w:rPr>
      <w:rFonts w:ascii="Times New Roman" w:hAnsi="Times New Roman"/>
      <w:kern w:val="2"/>
      <w:sz w:val="18"/>
      <w:szCs w:val="18"/>
    </w:rPr>
  </w:style>
  <w:style w:type="character" w:customStyle="1" w:styleId="27">
    <w:name w:val="页脚 Char"/>
    <w:link w:val="11"/>
    <w:qFormat/>
    <w:locked/>
    <w:uiPriority w:val="99"/>
    <w:rPr>
      <w:sz w:val="18"/>
    </w:rPr>
  </w:style>
  <w:style w:type="character" w:customStyle="1" w:styleId="28">
    <w:name w:val="页眉 Char"/>
    <w:link w:val="13"/>
    <w:semiHidden/>
    <w:qFormat/>
    <w:locked/>
    <w:uiPriority w:val="99"/>
    <w:rPr>
      <w:sz w:val="18"/>
    </w:rPr>
  </w:style>
  <w:style w:type="paragraph" w:customStyle="1" w:styleId="2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30">
    <w:name w:val="Header Char"/>
    <w:basedOn w:val="18"/>
    <w:semiHidden/>
    <w:qFormat/>
    <w:uiPriority w:val="99"/>
    <w:rPr>
      <w:rFonts w:ascii="Times New Roman" w:hAnsi="Times New Roman"/>
      <w:sz w:val="18"/>
      <w:szCs w:val="18"/>
    </w:rPr>
  </w:style>
  <w:style w:type="character" w:customStyle="1" w:styleId="31">
    <w:name w:val="Footer Char"/>
    <w:basedOn w:val="18"/>
    <w:semiHidden/>
    <w:qFormat/>
    <w:uiPriority w:val="99"/>
    <w:rPr>
      <w:rFonts w:ascii="Times New Roman" w:hAnsi="Times New Roman"/>
      <w:sz w:val="18"/>
      <w:szCs w:val="18"/>
    </w:rPr>
  </w:style>
  <w:style w:type="character" w:customStyle="1" w:styleId="32">
    <w:name w:val="Body Text Char"/>
    <w:basedOn w:val="18"/>
    <w:semiHidden/>
    <w:qFormat/>
    <w:uiPriority w:val="99"/>
    <w:rPr>
      <w:rFonts w:ascii="Times New Roman" w:hAnsi="Times New Roman"/>
      <w:szCs w:val="24"/>
    </w:rPr>
  </w:style>
  <w:style w:type="paragraph" w:customStyle="1" w:styleId="3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4">
    <w:name w:val="List Paragraph"/>
    <w:basedOn w:val="1"/>
    <w:qFormat/>
    <w:uiPriority w:val="34"/>
    <w:pPr>
      <w:ind w:firstLine="420" w:firstLineChars="200"/>
    </w:pPr>
  </w:style>
  <w:style w:type="paragraph" w:customStyle="1" w:styleId="35">
    <w:name w:val="TOC 标题1"/>
    <w:basedOn w:val="2"/>
    <w:next w:val="1"/>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36">
    <w:name w:val="TOC Heading"/>
    <w:basedOn w:val="2"/>
    <w:next w:val="1"/>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font81"/>
    <w:basedOn w:val="18"/>
    <w:qFormat/>
    <w:uiPriority w:val="0"/>
    <w:rPr>
      <w:rFonts w:hint="eastAsia" w:ascii="宋体" w:hAnsi="宋体" w:eastAsia="宋体" w:cs="宋体"/>
      <w:b/>
      <w:bCs/>
      <w:color w:val="000000"/>
      <w:sz w:val="20"/>
      <w:szCs w:val="20"/>
      <w:u w:val="none"/>
    </w:rPr>
  </w:style>
  <w:style w:type="character" w:customStyle="1" w:styleId="39">
    <w:name w:val="font112"/>
    <w:basedOn w:val="18"/>
    <w:qFormat/>
    <w:uiPriority w:val="0"/>
    <w:rPr>
      <w:rFonts w:hint="eastAsia" w:ascii="宋体" w:hAnsi="宋体" w:eastAsia="宋体" w:cs="宋体"/>
      <w:color w:val="000000"/>
      <w:sz w:val="20"/>
      <w:szCs w:val="20"/>
      <w:u w:val="none"/>
    </w:rPr>
  </w:style>
  <w:style w:type="paragraph" w:customStyle="1" w:styleId="40">
    <w:name w:val="WPSOffice手动目录 1"/>
    <w:qFormat/>
    <w:uiPriority w:val="0"/>
    <w:pPr>
      <w:ind w:leftChars="0"/>
    </w:pPr>
    <w:rPr>
      <w:rFonts w:ascii="Times New Roman" w:hAnsi="Times New Roman" w:eastAsia="宋体" w:cs="Times New Roman"/>
      <w:sz w:val="20"/>
      <w:szCs w:val="20"/>
    </w:rPr>
  </w:style>
  <w:style w:type="paragraph" w:customStyle="1" w:styleId="41">
    <w:name w:val="WPSOffice手动目录 2"/>
    <w:qFormat/>
    <w:uiPriority w:val="0"/>
    <w:pPr>
      <w:ind w:leftChars="200"/>
    </w:pPr>
    <w:rPr>
      <w:rFonts w:ascii="Times New Roman" w:hAnsi="Times New Roman" w:eastAsia="宋体" w:cs="Times New Roman"/>
      <w:sz w:val="20"/>
      <w:szCs w:val="20"/>
    </w:rPr>
  </w:style>
  <w:style w:type="paragraph" w:customStyle="1" w:styleId="42">
    <w:name w:val="17"/>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G:\2025&#24180;\2024&#24180;&#20915;&#31639;&#20844;&#24320;\&#20915;&#31639;&#20844;&#24320;&#30011;&#22270;202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G:\2025&#24180;\2024&#24180;&#20915;&#31639;&#20844;&#24320;\&#20915;&#31639;&#20844;&#24320;&#30011;&#22270;202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G:\2025&#24180;\2024&#24180;&#20915;&#31639;&#20844;&#24320;\&#20915;&#31639;&#20844;&#24320;&#30011;&#22270;202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G:\2025&#24180;\2024&#24180;&#20915;&#31639;&#20844;&#24320;\&#20915;&#31639;&#20844;&#24320;&#30011;&#22270;202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G:\2025&#24180;\2024&#24180;&#20915;&#31639;&#20844;&#24320;\&#20915;&#31639;&#20844;&#24320;&#30011;&#22270;202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G:\2025&#24180;\2024&#24180;&#20915;&#31639;&#20844;&#24320;\&#20915;&#31639;&#20844;&#24320;&#30011;&#22270;2024.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1.xml"/><Relationship Id="rId1" Type="http://schemas.openxmlformats.org/officeDocument/2006/relationships/oleObject" Target="file:///G:\2025&#24180;\2024&#24180;&#20915;&#31639;&#20844;&#24320;\&#20915;&#31639;&#20844;&#24320;&#30011;&#2227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58888888888889"/>
          <c:y val="0.0435762584522915"/>
        </c:manualLayout>
      </c:layout>
      <c:overlay val="0"/>
      <c:spPr>
        <a:noFill/>
        <a:ln>
          <a:noFill/>
        </a:ln>
        <a:effectLst/>
      </c:spPr>
    </c:title>
    <c:autoTitleDeleted val="0"/>
    <c:plotArea>
      <c:layout/>
      <c:barChart>
        <c:barDir val="col"/>
        <c:grouping val="clustered"/>
        <c:varyColors val="0"/>
        <c:ser>
          <c:idx val="0"/>
          <c:order val="0"/>
          <c:tx>
            <c:strRef>
              <c:f>[决算公开画图2024.xlsx]Sheet1!$A$4</c:f>
              <c:strCache>
                <c:ptCount val="1"/>
                <c:pt idx="0">
                  <c:v>2024年</c:v>
                </c:pt>
              </c:strCache>
            </c:strRef>
          </c:tx>
          <c:spPr>
            <a:solidFill>
              <a:schemeClr val="accent1"/>
            </a:solidFill>
            <a:ln>
              <a:noFill/>
            </a:ln>
            <a:effectLst/>
          </c:spPr>
          <c:invertIfNegative val="0"/>
          <c:dLbls>
            <c:delete val="1"/>
          </c:dLbls>
          <c:cat>
            <c:strRef>
              <c:f>[决算公开画图2024.xlsx]Sheet1!$B$3:$D$3</c:f>
              <c:strCache>
                <c:ptCount val="3"/>
                <c:pt idx="0">
                  <c:v>财政拨款总收入（万元）</c:v>
                </c:pt>
                <c:pt idx="2">
                  <c:v>财政拨款总支出（万元）</c:v>
                </c:pt>
              </c:strCache>
            </c:strRef>
          </c:cat>
          <c:val>
            <c:numRef>
              <c:f>[决算公开画图2024.xlsx]Sheet1!$B$4:$D$4</c:f>
              <c:numCache>
                <c:formatCode>General</c:formatCode>
                <c:ptCount val="3"/>
                <c:pt idx="0">
                  <c:v>5939.4</c:v>
                </c:pt>
                <c:pt idx="2">
                  <c:v>5939.4</c:v>
                </c:pt>
              </c:numCache>
            </c:numRef>
          </c:val>
        </c:ser>
        <c:ser>
          <c:idx val="1"/>
          <c:order val="1"/>
          <c:tx>
            <c:strRef>
              <c:f>[决算公开画图2024.xlsx]Sheet1!$A$5</c:f>
              <c:strCache>
                <c:ptCount val="1"/>
                <c:pt idx="0">
                  <c:v>2025年</c:v>
                </c:pt>
              </c:strCache>
            </c:strRef>
          </c:tx>
          <c:spPr>
            <a:solidFill>
              <a:schemeClr val="accent2"/>
            </a:solidFill>
            <a:ln>
              <a:noFill/>
            </a:ln>
            <a:effectLst/>
          </c:spPr>
          <c:invertIfNegative val="0"/>
          <c:dLbls>
            <c:delete val="1"/>
          </c:dLbls>
          <c:cat>
            <c:strRef>
              <c:f>[决算公开画图2024.xlsx]Sheet1!$B$3:$D$3</c:f>
              <c:strCache>
                <c:ptCount val="3"/>
                <c:pt idx="0">
                  <c:v>财政拨款总收入（万元）</c:v>
                </c:pt>
                <c:pt idx="2">
                  <c:v>财政拨款总支出（万元）</c:v>
                </c:pt>
              </c:strCache>
            </c:strRef>
          </c:cat>
          <c:val>
            <c:numRef>
              <c:f>[决算公开画图2024.xlsx]Sheet1!$B$5:$D$5</c:f>
              <c:numCache>
                <c:formatCode>General</c:formatCode>
                <c:ptCount val="3"/>
                <c:pt idx="0">
                  <c:v>2888.49</c:v>
                </c:pt>
                <c:pt idx="2">
                  <c:v>2888.49</c:v>
                </c:pt>
              </c:numCache>
            </c:numRef>
          </c:val>
        </c:ser>
        <c:dLbls>
          <c:showLegendKey val="0"/>
          <c:showVal val="0"/>
          <c:showCatName val="0"/>
          <c:showSerName val="0"/>
          <c:showPercent val="0"/>
          <c:showBubbleSize val="0"/>
        </c:dLbls>
        <c:gapWidth val="219"/>
        <c:overlap val="-27"/>
        <c:axId val="644101296"/>
        <c:axId val="300918575"/>
      </c:barChart>
      <c:catAx>
        <c:axId val="64410129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0918575"/>
        <c:crosses val="autoZero"/>
        <c:auto val="1"/>
        <c:lblAlgn val="ctr"/>
        <c:lblOffset val="100"/>
        <c:noMultiLvlLbl val="0"/>
      </c:catAx>
      <c:valAx>
        <c:axId val="300918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1012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年收入决算结构图</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elete val="1"/>
          </c:dLbls>
          <c:cat>
            <c:strRef>
              <c:f>[决算公开画图2024.xlsx]Sheet1!$F$3:$F$9</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[决算公开画图2024.xlsx]Sheet1!$G$3:$G$9</c:f>
              <c:numCache>
                <c:formatCode>General</c:formatCode>
                <c:ptCount val="7"/>
                <c:pt idx="0">
                  <c:v>2888.49</c:v>
                </c:pt>
                <c:pt idx="1">
                  <c:v>0</c:v>
                </c:pt>
                <c:pt idx="2">
                  <c:v>0</c:v>
                </c:pt>
                <c:pt idx="3">
                  <c:v>0</c:v>
                </c:pt>
                <c:pt idx="4">
                  <c:v>0</c:v>
                </c:pt>
                <c:pt idx="5">
                  <c:v>0</c:v>
                </c:pt>
                <c:pt idx="6">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[决算公开画图2024.xlsx]Sheet1!$A$99:$A$100</c:f>
              <c:strCache>
                <c:ptCount val="2"/>
                <c:pt idx="0">
                  <c:v>基本支出</c:v>
                </c:pt>
                <c:pt idx="1">
                  <c:v>项目支出</c:v>
                </c:pt>
              </c:strCache>
            </c:strRef>
          </c:cat>
          <c:val>
            <c:numRef>
              <c:f>[决算公开画图2024.xlsx]Sheet1!$B$99:$B$100</c:f>
              <c:numCache>
                <c:formatCode>General</c:formatCode>
                <c:ptCount val="2"/>
                <c:pt idx="0">
                  <c:v>370.64</c:v>
                </c:pt>
                <c:pt idx="1">
                  <c:v>2517.85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[决算公开画图2024.xlsx]Sheet1!$B$42</c:f>
              <c:strCache>
                <c:ptCount val="1"/>
                <c:pt idx="0">
                  <c:v>财政拨款收入（万元）</c:v>
                </c:pt>
              </c:strCache>
            </c:strRef>
          </c:tx>
          <c:spPr>
            <a:solidFill>
              <a:schemeClr val="accent1"/>
            </a:solidFill>
            <a:ln>
              <a:noFill/>
            </a:ln>
            <a:effectLst/>
          </c:spPr>
          <c:invertIfNegative val="0"/>
          <c:dLbls>
            <c:delete val="1"/>
          </c:dLbls>
          <c:cat>
            <c:strRef>
              <c:f>[决算公开画图2024.xlsx]Sheet1!$A$43:$A$46</c:f>
              <c:strCache>
                <c:ptCount val="4"/>
                <c:pt idx="0">
                  <c:v>2024年</c:v>
                </c:pt>
                <c:pt idx="2">
                  <c:v>2025年</c:v>
                </c:pt>
              </c:strCache>
            </c:strRef>
          </c:cat>
          <c:val>
            <c:numRef>
              <c:f>[决算公开画图2024.xlsx]Sheet1!$B$43:$B$46</c:f>
              <c:numCache>
                <c:formatCode>General</c:formatCode>
                <c:ptCount val="4"/>
                <c:pt idx="0">
                  <c:v>5939.4</c:v>
                </c:pt>
                <c:pt idx="2">
                  <c:v>2888.49</c:v>
                </c:pt>
              </c:numCache>
            </c:numRef>
          </c:val>
        </c:ser>
        <c:ser>
          <c:idx val="1"/>
          <c:order val="1"/>
          <c:tx>
            <c:strRef>
              <c:f>[决算公开画图2024.xlsx]Sheet1!$C$42</c:f>
              <c:strCache>
                <c:ptCount val="1"/>
                <c:pt idx="0">
                  <c:v>财政拨款支出（万元）</c:v>
                </c:pt>
              </c:strCache>
            </c:strRef>
          </c:tx>
          <c:spPr>
            <a:solidFill>
              <a:schemeClr val="accent2"/>
            </a:solidFill>
            <a:ln>
              <a:noFill/>
            </a:ln>
            <a:effectLst/>
          </c:spPr>
          <c:invertIfNegative val="0"/>
          <c:dLbls>
            <c:delete val="1"/>
          </c:dLbls>
          <c:cat>
            <c:strRef>
              <c:f>[决算公开画图2024.xlsx]Sheet1!$A$43:$A$46</c:f>
              <c:strCache>
                <c:ptCount val="4"/>
                <c:pt idx="0">
                  <c:v>2024年</c:v>
                </c:pt>
                <c:pt idx="2">
                  <c:v>2025年</c:v>
                </c:pt>
              </c:strCache>
            </c:strRef>
          </c:cat>
          <c:val>
            <c:numRef>
              <c:f>[决算公开画图2024.xlsx]Sheet1!$C$43:$C$46</c:f>
              <c:numCache>
                <c:formatCode>General</c:formatCode>
                <c:ptCount val="4"/>
                <c:pt idx="0">
                  <c:v>5939.4</c:v>
                </c:pt>
                <c:pt idx="2">
                  <c:v>2888.49</c:v>
                </c:pt>
              </c:numCache>
            </c:numRef>
          </c:val>
        </c:ser>
        <c:dLbls>
          <c:showLegendKey val="0"/>
          <c:showVal val="0"/>
          <c:showCatName val="0"/>
          <c:showSerName val="0"/>
          <c:showPercent val="0"/>
          <c:showBubbleSize val="0"/>
        </c:dLbls>
        <c:gapWidth val="219"/>
        <c:overlap val="-27"/>
        <c:axId val="748804617"/>
        <c:axId val="457257790"/>
      </c:barChart>
      <c:catAx>
        <c:axId val="7488046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257790"/>
        <c:crosses val="autoZero"/>
        <c:auto val="1"/>
        <c:lblAlgn val="ctr"/>
        <c:lblOffset val="100"/>
        <c:noMultiLvlLbl val="0"/>
      </c:catAx>
      <c:valAx>
        <c:axId val="45725779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88046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cap="none" spc="20" baseline="0">
                <a:solidFill>
                  <a:schemeClr val="tx1">
                    <a:lumMod val="50000"/>
                    <a:lumOff val="50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delete val="1"/>
          </c:dLbls>
          <c:cat>
            <c:strRef>
              <c:f>[决算公开画图2024.xlsx]Sheet1!$E$43:$E$45</c:f>
              <c:strCache>
                <c:ptCount val="3"/>
                <c:pt idx="0">
                  <c:v>2024年</c:v>
                </c:pt>
                <c:pt idx="2">
                  <c:v>2025年</c:v>
                </c:pt>
              </c:strCache>
            </c:strRef>
          </c:cat>
          <c:val>
            <c:numRef>
              <c:f>[决算公开画图2024.xlsx]Sheet1!$F$43:$F$45</c:f>
              <c:numCache>
                <c:formatCode>General</c:formatCode>
                <c:ptCount val="3"/>
                <c:pt idx="0">
                  <c:v>5928.1</c:v>
                </c:pt>
                <c:pt idx="2">
                  <c:v>2888.49</c:v>
                </c:pt>
              </c:numCache>
            </c:numRef>
          </c:val>
        </c:ser>
        <c:ser>
          <c:idx val="1"/>
          <c:order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delete val="1"/>
          </c:dLbls>
          <c:cat>
            <c:strRef>
              <c:f>[决算公开画图2024.xlsx]Sheet1!$E$43:$E$45</c:f>
              <c:strCache>
                <c:ptCount val="3"/>
                <c:pt idx="0">
                  <c:v>2024年</c:v>
                </c:pt>
                <c:pt idx="2">
                  <c:v>2025年</c:v>
                </c:pt>
              </c:strCache>
            </c:strRef>
          </c:cat>
          <c:val>
            <c:numRef>
              <c:f>[决算公开画图2024.xlsx]Sheet1!$G$43:$G$45</c:f>
              <c:numCache>
                <c:formatCode>General</c:formatCode>
                <c:ptCount val="3"/>
              </c:numCache>
            </c:numRef>
          </c:val>
        </c:ser>
        <c:dLbls>
          <c:showLegendKey val="0"/>
          <c:showVal val="0"/>
          <c:showCatName val="0"/>
          <c:showSerName val="0"/>
          <c:showPercent val="0"/>
          <c:showBubbleSize val="0"/>
        </c:dLbls>
        <c:gapWidth val="100"/>
        <c:overlap val="-24"/>
        <c:axId val="576527494"/>
        <c:axId val="286149385"/>
      </c:barChart>
      <c:catAx>
        <c:axId val="57652749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crossAx val="286149385"/>
        <c:crosses val="autoZero"/>
        <c:auto val="1"/>
        <c:lblAlgn val="ctr"/>
        <c:lblOffset val="100"/>
        <c:noMultiLvlLbl val="0"/>
      </c:catAx>
      <c:valAx>
        <c:axId val="28614938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crossAx val="57652749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[决算公开画图2024.xlsx]Sheet1!$A$72:$A$75</c:f>
              <c:strCache>
                <c:ptCount val="4"/>
                <c:pt idx="0">
                  <c:v>文化旅游体育与传媒支出</c:v>
                </c:pt>
                <c:pt idx="1">
                  <c:v>社会保障和就业支出</c:v>
                </c:pt>
                <c:pt idx="2">
                  <c:v>卫生健康支出</c:v>
                </c:pt>
                <c:pt idx="3">
                  <c:v>住房保障支出</c:v>
                </c:pt>
              </c:strCache>
            </c:strRef>
          </c:cat>
          <c:val>
            <c:numRef>
              <c:f>[决算公开画图2024.xlsx]Sheet1!$B$72:$B$75</c:f>
              <c:numCache>
                <c:formatCode>General</c:formatCode>
                <c:ptCount val="4"/>
                <c:pt idx="0">
                  <c:v>2785.54</c:v>
                </c:pt>
                <c:pt idx="1">
                  <c:v>51.51</c:v>
                </c:pt>
                <c:pt idx="2">
                  <c:v>23.7</c:v>
                </c:pt>
                <c:pt idx="3">
                  <c:v>27.75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a:t>
            </a:r>
            <a:r>
              <a:rPr altLang="en-US"/>
              <a:t>三公</a:t>
            </a:r>
            <a:r>
              <a:rPr lang="en-US" altLang="zh-CN"/>
              <a:t>”</a:t>
            </a:r>
            <a:r>
              <a:rPr altLang="en-US"/>
              <a:t>经费财政拨款支出结构</a:t>
            </a:r>
            <a:endParaRPr altLang="en-US"/>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[决算公开画图2024.xlsx]Sheet1!$D$72:$D$74</c:f>
              <c:strCache>
                <c:ptCount val="3"/>
                <c:pt idx="0">
                  <c:v>因公出国（境）费支出</c:v>
                </c:pt>
                <c:pt idx="1">
                  <c:v>公务用车购置及运行维护费支出</c:v>
                </c:pt>
                <c:pt idx="2">
                  <c:v>公务接待费支出</c:v>
                </c:pt>
              </c:strCache>
            </c:strRef>
          </c:cat>
          <c:val>
            <c:numRef>
              <c:f>[决算公开画图2024.xlsx]Sheet1!$E$72:$E$74</c:f>
              <c:numCache>
                <c:formatCode>General</c:formatCode>
                <c:ptCount val="3"/>
                <c:pt idx="0">
                  <c:v>0</c:v>
                </c:pt>
                <c:pt idx="1">
                  <c:v>2.4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53</Pages>
  <Words>10512</Words>
  <Characters>11352</Characters>
  <Lines>61</Lines>
  <Paragraphs>17</Paragraphs>
  <TotalTime>2</TotalTime>
  <ScaleCrop>false</ScaleCrop>
  <LinksUpToDate>false</LinksUpToDate>
  <CharactersWithSpaces>11569</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sunshine •</cp:lastModifiedBy>
  <cp:lastPrinted>2024-10-28T02:19:00Z</cp:lastPrinted>
  <dcterms:modified xsi:type="dcterms:W3CDTF">2026-10-12T07:22:29Z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DF561D53E970488A865EA2D9D17EEE25_13</vt:lpwstr>
  </property>
  <property fmtid="{D5CDD505-2E9C-101B-9397-08002B2CF9AE}" pid="4" name="KSOTemplateDocerSaveRecord">
    <vt:lpwstr>eyJoZGlkIjoiNmYwOTlmOGYxOTNjOTZhMTkxYzQ4NzI4MjgxOWE2Y2QiLCJ1c2VySWQiOiI3NDI4NzQ5NzYifQ==</vt:lpwstr>
  </property>
</Properties>
</file>