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00" w:lineRule="auto"/>
        <w:jc w:val="center"/>
        <w:rPr>
          <w:rFonts w:ascii="华文新魏" w:eastAsia="华文新魏"/>
          <w:b/>
          <w:sz w:val="52"/>
          <w:szCs w:val="52"/>
        </w:rPr>
      </w:pPr>
    </w:p>
    <w:p>
      <w:pPr>
        <w:jc w:val="center"/>
        <w:rPr>
          <w:rFonts w:ascii="华文新魏" w:hAnsi="华文楷体" w:eastAsia="华文新魏"/>
          <w:sz w:val="48"/>
          <w:szCs w:val="48"/>
        </w:rPr>
      </w:pPr>
      <w:r>
        <w:rPr>
          <w:rFonts w:hint="eastAsia" w:ascii="华文新魏" w:hAnsi="华文楷体" w:eastAsia="华文新魏"/>
          <w:sz w:val="72"/>
          <w:szCs w:val="72"/>
        </w:rPr>
        <w:t>小金县矿产资源总体规划</w:t>
      </w:r>
      <w:r>
        <w:rPr>
          <w:rFonts w:hint="eastAsia" w:ascii="华文新魏" w:hAnsi="华文楷体" w:eastAsia="华文新魏"/>
          <w:sz w:val="48"/>
          <w:szCs w:val="48"/>
        </w:rPr>
        <w:t>（</w:t>
      </w:r>
      <w:r>
        <w:rPr>
          <w:rFonts w:eastAsia="华文新魏"/>
          <w:sz w:val="48"/>
          <w:szCs w:val="48"/>
        </w:rPr>
        <w:t>2021-2025年</w:t>
      </w:r>
      <w:r>
        <w:rPr>
          <w:rFonts w:hint="eastAsia" w:ascii="华文新魏" w:hAnsi="华文楷体" w:eastAsia="华文新魏"/>
          <w:sz w:val="48"/>
          <w:szCs w:val="48"/>
        </w:rPr>
        <w:t>）</w:t>
      </w:r>
    </w:p>
    <w:p>
      <w:pPr>
        <w:spacing w:before="120" w:beforeLines="50" w:after="120" w:afterLines="50" w:line="360" w:lineRule="exact"/>
        <w:jc w:val="center"/>
        <w:rPr>
          <w:rFonts w:ascii="仿宋_GB2312" w:eastAsia="仿宋_GB2312"/>
          <w:b/>
          <w:sz w:val="36"/>
          <w:szCs w:val="36"/>
        </w:rPr>
      </w:pPr>
    </w:p>
    <w:p>
      <w:pPr>
        <w:spacing w:before="120" w:beforeLines="50" w:after="120" w:afterLines="50" w:line="360" w:lineRule="exact"/>
        <w:jc w:val="center"/>
        <w:rPr>
          <w:rFonts w:ascii="仿宋_GB2312" w:eastAsia="仿宋_GB2312"/>
          <w:b/>
          <w:sz w:val="36"/>
          <w:szCs w:val="36"/>
        </w:rPr>
      </w:pPr>
    </w:p>
    <w:p>
      <w:pPr>
        <w:spacing w:before="120" w:beforeLines="50" w:after="120" w:afterLines="50" w:line="360" w:lineRule="exact"/>
        <w:jc w:val="center"/>
        <w:rPr>
          <w:rFonts w:ascii="仿宋_GB2312" w:eastAsia="仿宋_GB2312"/>
          <w:b/>
          <w:sz w:val="36"/>
          <w:szCs w:val="36"/>
        </w:rPr>
      </w:pPr>
    </w:p>
    <w:p>
      <w:pPr>
        <w:spacing w:before="120" w:beforeLines="50" w:after="120" w:afterLines="50" w:line="360" w:lineRule="exact"/>
        <w:jc w:val="center"/>
        <w:rPr>
          <w:rFonts w:ascii="仿宋_GB2312" w:eastAsia="仿宋_GB2312"/>
          <w:b/>
          <w:sz w:val="36"/>
          <w:szCs w:val="36"/>
        </w:rPr>
      </w:pPr>
    </w:p>
    <w:p>
      <w:pPr>
        <w:spacing w:before="120" w:beforeLines="50" w:after="120" w:afterLines="50" w:line="360" w:lineRule="exact"/>
        <w:jc w:val="center"/>
        <w:rPr>
          <w:rFonts w:ascii="仿宋_GB2312" w:eastAsia="仿宋_GB2312"/>
          <w:b/>
          <w:sz w:val="36"/>
          <w:szCs w:val="36"/>
        </w:rPr>
      </w:pPr>
    </w:p>
    <w:p>
      <w:pPr>
        <w:spacing w:before="120" w:beforeLines="50" w:after="120" w:afterLines="50" w:line="360" w:lineRule="exact"/>
        <w:jc w:val="center"/>
        <w:rPr>
          <w:rFonts w:ascii="仿宋_GB2312" w:eastAsia="仿宋_GB2312"/>
          <w:b/>
          <w:sz w:val="36"/>
          <w:szCs w:val="36"/>
        </w:rPr>
      </w:pPr>
    </w:p>
    <w:p>
      <w:pPr>
        <w:spacing w:before="120" w:beforeLines="50" w:after="120" w:afterLines="50" w:line="360" w:lineRule="exact"/>
        <w:jc w:val="center"/>
        <w:rPr>
          <w:rFonts w:ascii="仿宋_GB2312" w:eastAsia="仿宋_GB2312"/>
          <w:b/>
          <w:sz w:val="36"/>
          <w:szCs w:val="36"/>
        </w:rPr>
      </w:pPr>
    </w:p>
    <w:p>
      <w:pPr>
        <w:spacing w:before="120" w:beforeLines="50" w:after="120" w:afterLines="50" w:line="360" w:lineRule="exact"/>
        <w:jc w:val="center"/>
        <w:rPr>
          <w:rFonts w:ascii="仿宋_GB2312" w:eastAsia="仿宋_GB2312"/>
          <w:b/>
          <w:sz w:val="36"/>
          <w:szCs w:val="36"/>
        </w:rPr>
      </w:pPr>
    </w:p>
    <w:p>
      <w:pPr>
        <w:jc w:val="center"/>
        <w:rPr>
          <w:b/>
          <w:sz w:val="44"/>
          <w:szCs w:val="44"/>
        </w:rPr>
      </w:pPr>
      <w:r>
        <w:rPr>
          <w:b/>
          <w:sz w:val="44"/>
          <w:szCs w:val="44"/>
        </w:rPr>
        <w:t>（</w:t>
      </w:r>
      <w:r>
        <w:rPr>
          <w:rFonts w:hint="eastAsia"/>
          <w:b/>
          <w:sz w:val="44"/>
          <w:szCs w:val="44"/>
          <w:lang w:val="en-US" w:eastAsia="zh-CN"/>
        </w:rPr>
        <w:t>公开版</w:t>
      </w:r>
      <w:r>
        <w:rPr>
          <w:b/>
          <w:sz w:val="44"/>
          <w:szCs w:val="44"/>
        </w:rPr>
        <w:t>）</w:t>
      </w:r>
    </w:p>
    <w:p>
      <w:pPr>
        <w:spacing w:before="120" w:beforeLines="50" w:after="120" w:afterLines="50" w:line="360" w:lineRule="exact"/>
        <w:jc w:val="center"/>
        <w:rPr>
          <w:rFonts w:ascii="仿宋_GB2312" w:eastAsia="仿宋_GB2312"/>
          <w:b/>
          <w:sz w:val="36"/>
          <w:szCs w:val="36"/>
        </w:rPr>
      </w:pPr>
    </w:p>
    <w:p>
      <w:pPr>
        <w:spacing w:before="120" w:beforeLines="50" w:after="120" w:afterLines="50" w:line="360" w:lineRule="exact"/>
        <w:jc w:val="center"/>
        <w:rPr>
          <w:rFonts w:ascii="仿宋_GB2312" w:eastAsia="仿宋_GB2312"/>
          <w:b/>
          <w:sz w:val="36"/>
          <w:szCs w:val="36"/>
        </w:rPr>
      </w:pPr>
    </w:p>
    <w:p>
      <w:pPr>
        <w:spacing w:before="120" w:beforeLines="50" w:after="120" w:afterLines="50" w:line="360" w:lineRule="exact"/>
        <w:jc w:val="center"/>
        <w:rPr>
          <w:rFonts w:ascii="仿宋_GB2312" w:eastAsia="仿宋_GB2312"/>
          <w:b/>
          <w:sz w:val="36"/>
          <w:szCs w:val="36"/>
        </w:rPr>
      </w:pPr>
    </w:p>
    <w:p>
      <w:pPr>
        <w:spacing w:before="120" w:beforeLines="50" w:after="120" w:afterLines="50" w:line="360" w:lineRule="exact"/>
        <w:jc w:val="center"/>
        <w:rPr>
          <w:rFonts w:ascii="仿宋_GB2312" w:eastAsia="仿宋_GB2312"/>
          <w:b/>
          <w:sz w:val="36"/>
          <w:szCs w:val="36"/>
        </w:rPr>
      </w:pPr>
    </w:p>
    <w:p>
      <w:pPr>
        <w:spacing w:before="120" w:beforeLines="50" w:after="120" w:afterLines="50" w:line="360" w:lineRule="exact"/>
        <w:jc w:val="center"/>
        <w:rPr>
          <w:rFonts w:ascii="仿宋_GB2312" w:eastAsia="仿宋_GB2312"/>
          <w:b/>
          <w:sz w:val="36"/>
          <w:szCs w:val="36"/>
        </w:rPr>
      </w:pPr>
    </w:p>
    <w:p>
      <w:pPr>
        <w:spacing w:before="120" w:beforeLines="50" w:after="120" w:afterLines="50" w:line="360" w:lineRule="exact"/>
        <w:jc w:val="center"/>
        <w:rPr>
          <w:rFonts w:ascii="仿宋_GB2312" w:eastAsia="仿宋_GB2312"/>
          <w:b/>
          <w:sz w:val="36"/>
          <w:szCs w:val="36"/>
        </w:rPr>
      </w:pPr>
    </w:p>
    <w:p>
      <w:pPr>
        <w:spacing w:before="120" w:beforeLines="50" w:after="120" w:afterLines="50" w:line="360" w:lineRule="exact"/>
        <w:jc w:val="center"/>
        <w:rPr>
          <w:rFonts w:ascii="仿宋_GB2312" w:eastAsia="仿宋_GB2312"/>
          <w:b/>
          <w:sz w:val="36"/>
          <w:szCs w:val="36"/>
        </w:rPr>
      </w:pPr>
    </w:p>
    <w:p>
      <w:pPr>
        <w:spacing w:before="120" w:beforeLines="50" w:after="120" w:afterLines="50" w:line="360" w:lineRule="exact"/>
        <w:jc w:val="center"/>
        <w:rPr>
          <w:rFonts w:ascii="仿宋_GB2312" w:eastAsia="仿宋_GB2312"/>
          <w:b/>
          <w:sz w:val="36"/>
          <w:szCs w:val="36"/>
        </w:rPr>
      </w:pPr>
    </w:p>
    <w:p>
      <w:pPr>
        <w:spacing w:before="120" w:beforeLines="50" w:after="120" w:afterLines="50" w:line="360" w:lineRule="exact"/>
        <w:jc w:val="center"/>
        <w:rPr>
          <w:rFonts w:ascii="仿宋_GB2312" w:eastAsia="仿宋_GB2312"/>
          <w:b/>
          <w:sz w:val="36"/>
          <w:szCs w:val="36"/>
        </w:rPr>
      </w:pPr>
    </w:p>
    <w:p>
      <w:pPr>
        <w:spacing w:before="120" w:beforeLines="50" w:after="120" w:afterLines="50"/>
        <w:jc w:val="center"/>
        <w:rPr>
          <w:rFonts w:ascii="黑体" w:hAnsi="黑体" w:eastAsia="黑体"/>
          <w:b/>
          <w:sz w:val="36"/>
          <w:szCs w:val="36"/>
        </w:rPr>
      </w:pPr>
      <w:r>
        <w:rPr>
          <w:rFonts w:hint="eastAsia" w:ascii="黑体" w:hAnsi="黑体" w:eastAsia="黑体"/>
          <w:b/>
          <w:sz w:val="36"/>
          <w:szCs w:val="36"/>
        </w:rPr>
        <w:t>小金县人民政府</w:t>
      </w:r>
    </w:p>
    <w:p>
      <w:pPr>
        <w:spacing w:before="120" w:beforeLines="50" w:after="120" w:afterLines="50"/>
        <w:jc w:val="center"/>
        <w:rPr>
          <w:rFonts w:ascii="楷体" w:hAnsi="楷体" w:eastAsia="楷体"/>
          <w:b/>
          <w:sz w:val="32"/>
          <w:szCs w:val="32"/>
        </w:rPr>
        <w:sectPr>
          <w:headerReference r:id="rId5" w:type="first"/>
          <w:footerReference r:id="rId8" w:type="first"/>
          <w:headerReference r:id="rId3" w:type="default"/>
          <w:footerReference r:id="rId6" w:type="default"/>
          <w:headerReference r:id="rId4" w:type="even"/>
          <w:footerReference r:id="rId7" w:type="even"/>
          <w:pgSz w:w="11906" w:h="16838"/>
          <w:pgMar w:top="1531" w:right="1588" w:bottom="1531" w:left="1588" w:header="851" w:footer="992" w:gutter="0"/>
          <w:pgNumType w:start="1"/>
          <w:cols w:space="720" w:num="1"/>
          <w:docGrid w:linePitch="312" w:charSpace="0"/>
        </w:sectPr>
      </w:pPr>
      <w:r>
        <w:rPr>
          <w:rFonts w:hint="eastAsia" w:ascii="黑体" w:hAnsi="黑体" w:eastAsia="黑体"/>
          <w:b/>
          <w:sz w:val="36"/>
          <w:szCs w:val="36"/>
        </w:rPr>
        <w:t>二〇二三年</w:t>
      </w:r>
      <w:r>
        <w:rPr>
          <w:rFonts w:hint="eastAsia" w:ascii="黑体" w:hAnsi="黑体" w:eastAsia="黑体"/>
          <w:b/>
          <w:sz w:val="36"/>
          <w:szCs w:val="36"/>
          <w:lang w:val="en-US" w:eastAsia="zh-CN"/>
        </w:rPr>
        <w:t>五</w:t>
      </w:r>
      <w:r>
        <w:rPr>
          <w:rFonts w:hint="eastAsia" w:ascii="黑体" w:hAnsi="黑体" w:eastAsia="黑体"/>
          <w:b/>
          <w:sz w:val="36"/>
          <w:szCs w:val="36"/>
        </w:rPr>
        <w:t>月</w:t>
      </w:r>
    </w:p>
    <w:p>
      <w:pPr>
        <w:pStyle w:val="14"/>
        <w:tabs>
          <w:tab w:val="right" w:leader="dot" w:pos="8296"/>
        </w:tabs>
        <w:jc w:val="center"/>
        <w:rPr>
          <w:rFonts w:ascii="仿宋_GB2312" w:hAnsi="Times New Roman" w:eastAsia="仿宋_GB2312" w:cs="Times New Roman"/>
          <w:bCs w:val="0"/>
          <w:caps w:val="0"/>
          <w:sz w:val="36"/>
          <w:szCs w:val="36"/>
        </w:rPr>
      </w:pPr>
      <w:bookmarkStart w:id="120" w:name="_GoBack"/>
      <w:bookmarkEnd w:id="120"/>
      <w:r>
        <w:rPr>
          <w:rFonts w:hint="eastAsia" w:ascii="仿宋_GB2312" w:hAnsi="Times New Roman" w:eastAsia="仿宋_GB2312" w:cs="Times New Roman"/>
          <w:bCs w:val="0"/>
          <w:caps w:val="0"/>
          <w:sz w:val="36"/>
          <w:szCs w:val="36"/>
        </w:rPr>
        <w:t xml:space="preserve">目 </w:t>
      </w:r>
      <w:r>
        <w:rPr>
          <w:rFonts w:ascii="仿宋_GB2312" w:hAnsi="Times New Roman" w:eastAsia="仿宋_GB2312" w:cs="Times New Roman"/>
          <w:bCs w:val="0"/>
          <w:caps w:val="0"/>
          <w:sz w:val="36"/>
          <w:szCs w:val="36"/>
        </w:rPr>
        <w:t xml:space="preserve">  </w:t>
      </w:r>
      <w:r>
        <w:rPr>
          <w:rFonts w:hint="eastAsia" w:ascii="仿宋_GB2312" w:hAnsi="Times New Roman" w:eastAsia="仿宋_GB2312" w:cs="Times New Roman"/>
          <w:bCs w:val="0"/>
          <w:caps w:val="0"/>
          <w:sz w:val="36"/>
          <w:szCs w:val="36"/>
        </w:rPr>
        <w:t>录</w:t>
      </w:r>
    </w:p>
    <w:p>
      <w:pPr>
        <w:pStyle w:val="14"/>
        <w:tabs>
          <w:tab w:val="right" w:leader="dot" w:pos="8296"/>
        </w:tabs>
        <w:spacing w:before="0" w:after="0" w:line="360" w:lineRule="auto"/>
        <w:rPr>
          <w:rFonts w:ascii="仿宋_GB2312" w:eastAsia="仿宋_GB2312" w:cstheme="minorBidi"/>
          <w:b w:val="0"/>
          <w:bCs w:val="0"/>
          <w:caps w:val="0"/>
          <w:sz w:val="28"/>
          <w:szCs w:val="28"/>
        </w:rPr>
      </w:pPr>
      <w:r>
        <w:rPr>
          <w:rFonts w:ascii="仿宋_GB2312" w:eastAsia="仿宋_GB2312"/>
          <w:sz w:val="30"/>
          <w:szCs w:val="30"/>
        </w:rPr>
        <w:fldChar w:fldCharType="begin"/>
      </w:r>
      <w:r>
        <w:rPr>
          <w:rFonts w:ascii="仿宋_GB2312" w:eastAsia="仿宋_GB2312"/>
          <w:sz w:val="30"/>
          <w:szCs w:val="30"/>
        </w:rPr>
        <w:instrText xml:space="preserve"> TOC \o "1-2" \h \z \u </w:instrText>
      </w:r>
      <w:r>
        <w:rPr>
          <w:rFonts w:ascii="仿宋_GB2312" w:eastAsia="仿宋_GB2312"/>
          <w:sz w:val="30"/>
          <w:szCs w:val="30"/>
        </w:rPr>
        <w:fldChar w:fldCharType="separate"/>
      </w:r>
      <w:r>
        <w:fldChar w:fldCharType="begin"/>
      </w:r>
      <w:r>
        <w:instrText xml:space="preserve"> HYPERLINK \l "_Toc119246980" </w:instrText>
      </w:r>
      <w:r>
        <w:fldChar w:fldCharType="separate"/>
      </w:r>
      <w:r>
        <w:rPr>
          <w:rStyle w:val="24"/>
          <w:rFonts w:hint="eastAsia" w:ascii="仿宋_GB2312" w:hAnsi="黑体" w:eastAsia="仿宋_GB2312"/>
          <w:b w:val="0"/>
          <w:bCs w:val="0"/>
          <w:sz w:val="28"/>
          <w:szCs w:val="28"/>
        </w:rPr>
        <w:t>导   语</w:t>
      </w:r>
      <w:r>
        <w:rPr>
          <w:rFonts w:hint="eastAsia" w:ascii="仿宋_GB2312" w:eastAsia="仿宋_GB2312"/>
          <w:b w:val="0"/>
          <w:bCs w:val="0"/>
          <w:sz w:val="28"/>
          <w:szCs w:val="28"/>
        </w:rPr>
        <w:tab/>
      </w:r>
      <w:r>
        <w:rPr>
          <w:rFonts w:hint="eastAsia" w:ascii="仿宋_GB2312" w:eastAsia="仿宋_GB2312"/>
          <w:b w:val="0"/>
          <w:bCs w:val="0"/>
          <w:sz w:val="28"/>
          <w:szCs w:val="28"/>
        </w:rPr>
        <w:fldChar w:fldCharType="begin"/>
      </w:r>
      <w:r>
        <w:rPr>
          <w:rFonts w:hint="eastAsia" w:ascii="仿宋_GB2312" w:eastAsia="仿宋_GB2312"/>
          <w:b w:val="0"/>
          <w:bCs w:val="0"/>
          <w:sz w:val="28"/>
          <w:szCs w:val="28"/>
        </w:rPr>
        <w:instrText xml:space="preserve"> PAGEREF _Toc119246980 \h </w:instrText>
      </w:r>
      <w:r>
        <w:rPr>
          <w:rFonts w:hint="eastAsia" w:ascii="仿宋_GB2312" w:eastAsia="仿宋_GB2312"/>
          <w:b w:val="0"/>
          <w:bCs w:val="0"/>
          <w:sz w:val="28"/>
          <w:szCs w:val="28"/>
        </w:rPr>
        <w:fldChar w:fldCharType="separate"/>
      </w:r>
      <w:r>
        <w:rPr>
          <w:rFonts w:ascii="仿宋_GB2312" w:eastAsia="仿宋_GB2312"/>
          <w:b w:val="0"/>
          <w:bCs w:val="0"/>
          <w:sz w:val="28"/>
          <w:szCs w:val="28"/>
        </w:rPr>
        <w:t>1</w:t>
      </w:r>
      <w:r>
        <w:rPr>
          <w:rFonts w:hint="eastAsia" w:ascii="仿宋_GB2312" w:eastAsia="仿宋_GB2312"/>
          <w:b w:val="0"/>
          <w:bCs w:val="0"/>
          <w:sz w:val="28"/>
          <w:szCs w:val="28"/>
        </w:rPr>
        <w:fldChar w:fldCharType="end"/>
      </w:r>
      <w:r>
        <w:rPr>
          <w:rFonts w:hint="eastAsia" w:ascii="仿宋_GB2312" w:eastAsia="仿宋_GB2312"/>
          <w:b w:val="0"/>
          <w:bCs w:val="0"/>
          <w:sz w:val="28"/>
          <w:szCs w:val="28"/>
        </w:rPr>
        <w:fldChar w:fldCharType="end"/>
      </w:r>
    </w:p>
    <w:p>
      <w:pPr>
        <w:pStyle w:val="14"/>
        <w:tabs>
          <w:tab w:val="right" w:leader="dot" w:pos="8296"/>
        </w:tabs>
        <w:spacing w:before="0" w:after="0" w:line="360" w:lineRule="auto"/>
        <w:rPr>
          <w:rFonts w:ascii="仿宋_GB2312" w:eastAsia="仿宋_GB2312" w:cstheme="minorBidi"/>
          <w:b w:val="0"/>
          <w:bCs w:val="0"/>
          <w:caps w:val="0"/>
          <w:sz w:val="28"/>
          <w:szCs w:val="28"/>
        </w:rPr>
      </w:pPr>
      <w:r>
        <w:fldChar w:fldCharType="begin"/>
      </w:r>
      <w:r>
        <w:instrText xml:space="preserve"> HYPERLINK \l "_Toc119246981" </w:instrText>
      </w:r>
      <w:r>
        <w:fldChar w:fldCharType="separate"/>
      </w:r>
      <w:r>
        <w:rPr>
          <w:rStyle w:val="24"/>
          <w:rFonts w:hint="eastAsia" w:ascii="仿宋_GB2312" w:hAnsi="黑体" w:eastAsia="仿宋_GB2312" w:cs="黑体"/>
          <w:b w:val="0"/>
          <w:bCs w:val="0"/>
          <w:sz w:val="28"/>
          <w:szCs w:val="28"/>
        </w:rPr>
        <w:t>第一章 现状与形势</w:t>
      </w:r>
      <w:r>
        <w:rPr>
          <w:rFonts w:hint="eastAsia" w:ascii="仿宋_GB2312" w:eastAsia="仿宋_GB2312"/>
          <w:b w:val="0"/>
          <w:bCs w:val="0"/>
          <w:sz w:val="28"/>
          <w:szCs w:val="28"/>
        </w:rPr>
        <w:tab/>
      </w:r>
      <w:r>
        <w:rPr>
          <w:rFonts w:hint="eastAsia" w:ascii="仿宋_GB2312" w:eastAsia="仿宋_GB2312"/>
          <w:b w:val="0"/>
          <w:bCs w:val="0"/>
          <w:sz w:val="28"/>
          <w:szCs w:val="28"/>
        </w:rPr>
        <w:fldChar w:fldCharType="begin"/>
      </w:r>
      <w:r>
        <w:rPr>
          <w:rFonts w:hint="eastAsia" w:ascii="仿宋_GB2312" w:eastAsia="仿宋_GB2312"/>
          <w:b w:val="0"/>
          <w:bCs w:val="0"/>
          <w:sz w:val="28"/>
          <w:szCs w:val="28"/>
        </w:rPr>
        <w:instrText xml:space="preserve"> PAGEREF _Toc119246981 \h </w:instrText>
      </w:r>
      <w:r>
        <w:rPr>
          <w:rFonts w:hint="eastAsia" w:ascii="仿宋_GB2312" w:eastAsia="仿宋_GB2312"/>
          <w:b w:val="0"/>
          <w:bCs w:val="0"/>
          <w:sz w:val="28"/>
          <w:szCs w:val="28"/>
        </w:rPr>
        <w:fldChar w:fldCharType="separate"/>
      </w:r>
      <w:r>
        <w:rPr>
          <w:rFonts w:ascii="仿宋_GB2312" w:eastAsia="仿宋_GB2312"/>
          <w:b w:val="0"/>
          <w:bCs w:val="0"/>
          <w:sz w:val="28"/>
          <w:szCs w:val="28"/>
        </w:rPr>
        <w:t>2</w:t>
      </w:r>
      <w:r>
        <w:rPr>
          <w:rFonts w:hint="eastAsia" w:ascii="仿宋_GB2312" w:eastAsia="仿宋_GB2312"/>
          <w:b w:val="0"/>
          <w:bCs w:val="0"/>
          <w:sz w:val="28"/>
          <w:szCs w:val="28"/>
        </w:rPr>
        <w:fldChar w:fldCharType="end"/>
      </w:r>
      <w:r>
        <w:rPr>
          <w:rFonts w:hint="eastAsia" w:ascii="仿宋_GB2312" w:eastAsia="仿宋_GB2312"/>
          <w:b w:val="0"/>
          <w:bCs w:val="0"/>
          <w:sz w:val="28"/>
          <w:szCs w:val="28"/>
        </w:rPr>
        <w:fldChar w:fldCharType="end"/>
      </w:r>
    </w:p>
    <w:p>
      <w:pPr>
        <w:pStyle w:val="17"/>
        <w:tabs>
          <w:tab w:val="right" w:leader="dot" w:pos="8296"/>
        </w:tabs>
        <w:spacing w:line="360" w:lineRule="auto"/>
        <w:ind w:left="315" w:leftChars="150"/>
        <w:rPr>
          <w:rFonts w:ascii="仿宋_GB2312" w:eastAsia="仿宋_GB2312" w:cstheme="minorBidi"/>
          <w:smallCaps w:val="0"/>
          <w:sz w:val="28"/>
          <w:szCs w:val="28"/>
        </w:rPr>
      </w:pPr>
      <w:r>
        <w:fldChar w:fldCharType="begin"/>
      </w:r>
      <w:r>
        <w:instrText xml:space="preserve"> HYPERLINK \l "_Toc119246982" </w:instrText>
      </w:r>
      <w:r>
        <w:fldChar w:fldCharType="separate"/>
      </w:r>
      <w:r>
        <w:rPr>
          <w:rStyle w:val="24"/>
          <w:rFonts w:hint="eastAsia" w:ascii="仿宋_GB2312" w:hAnsi="黑体" w:eastAsia="仿宋_GB2312"/>
          <w:sz w:val="28"/>
          <w:szCs w:val="28"/>
        </w:rPr>
        <w:t>第一节</w:t>
      </w:r>
      <w:r>
        <w:rPr>
          <w:rStyle w:val="24"/>
          <w:rFonts w:hint="eastAsia" w:ascii="仿宋_GB2312" w:hAnsi="Calibri" w:eastAsia="仿宋_GB2312" w:cs="Calibri"/>
          <w:sz w:val="28"/>
          <w:szCs w:val="28"/>
        </w:rPr>
        <w:t xml:space="preserve"> </w:t>
      </w:r>
      <w:r>
        <w:rPr>
          <w:rStyle w:val="24"/>
          <w:rFonts w:hint="eastAsia" w:ascii="仿宋_GB2312" w:hAnsi="黑体" w:eastAsia="仿宋_GB2312"/>
          <w:sz w:val="28"/>
          <w:szCs w:val="28"/>
        </w:rPr>
        <w:t>矿产资源概况</w:t>
      </w:r>
      <w:r>
        <w:rPr>
          <w:rFonts w:hint="eastAsia" w:ascii="仿宋_GB2312" w:eastAsia="仿宋_GB2312"/>
          <w:sz w:val="28"/>
          <w:szCs w:val="28"/>
        </w:rPr>
        <w:tab/>
      </w:r>
      <w:r>
        <w:rPr>
          <w:rFonts w:hint="eastAsia" w:ascii="仿宋_GB2312" w:eastAsia="仿宋_GB2312"/>
          <w:sz w:val="28"/>
          <w:szCs w:val="28"/>
        </w:rPr>
        <w:fldChar w:fldCharType="begin"/>
      </w:r>
      <w:r>
        <w:rPr>
          <w:rFonts w:hint="eastAsia" w:ascii="仿宋_GB2312" w:eastAsia="仿宋_GB2312"/>
          <w:sz w:val="28"/>
          <w:szCs w:val="28"/>
        </w:rPr>
        <w:instrText xml:space="preserve"> PAGEREF _Toc119246982 \h </w:instrText>
      </w:r>
      <w:r>
        <w:rPr>
          <w:rFonts w:hint="eastAsia" w:ascii="仿宋_GB2312" w:eastAsia="仿宋_GB2312"/>
          <w:sz w:val="28"/>
          <w:szCs w:val="28"/>
        </w:rPr>
        <w:fldChar w:fldCharType="separate"/>
      </w:r>
      <w:r>
        <w:rPr>
          <w:rFonts w:ascii="仿宋_GB2312" w:eastAsia="仿宋_GB2312"/>
          <w:sz w:val="28"/>
          <w:szCs w:val="28"/>
        </w:rPr>
        <w:t>2</w:t>
      </w:r>
      <w:r>
        <w:rPr>
          <w:rFonts w:hint="eastAsia" w:ascii="仿宋_GB2312" w:eastAsia="仿宋_GB2312"/>
          <w:sz w:val="28"/>
          <w:szCs w:val="28"/>
        </w:rPr>
        <w:fldChar w:fldCharType="end"/>
      </w:r>
      <w:r>
        <w:rPr>
          <w:rFonts w:hint="eastAsia" w:ascii="仿宋_GB2312" w:eastAsia="仿宋_GB2312"/>
          <w:sz w:val="28"/>
          <w:szCs w:val="28"/>
        </w:rPr>
        <w:fldChar w:fldCharType="end"/>
      </w:r>
    </w:p>
    <w:p>
      <w:pPr>
        <w:pStyle w:val="17"/>
        <w:tabs>
          <w:tab w:val="right" w:leader="dot" w:pos="8296"/>
        </w:tabs>
        <w:spacing w:line="360" w:lineRule="auto"/>
        <w:ind w:left="315" w:leftChars="150"/>
        <w:rPr>
          <w:rFonts w:ascii="仿宋_GB2312" w:eastAsia="仿宋_GB2312" w:cstheme="minorBidi"/>
          <w:smallCaps w:val="0"/>
          <w:sz w:val="28"/>
          <w:szCs w:val="28"/>
        </w:rPr>
      </w:pPr>
      <w:r>
        <w:fldChar w:fldCharType="begin"/>
      </w:r>
      <w:r>
        <w:instrText xml:space="preserve"> HYPERLINK \l "_Toc119246983" </w:instrText>
      </w:r>
      <w:r>
        <w:fldChar w:fldCharType="separate"/>
      </w:r>
      <w:r>
        <w:rPr>
          <w:rStyle w:val="24"/>
          <w:rFonts w:hint="eastAsia" w:ascii="仿宋_GB2312" w:hAnsi="黑体" w:eastAsia="仿宋_GB2312"/>
          <w:sz w:val="28"/>
          <w:szCs w:val="28"/>
        </w:rPr>
        <w:t>第二节 矿产资源勘查开发现状</w:t>
      </w:r>
      <w:r>
        <w:rPr>
          <w:rFonts w:hint="eastAsia" w:ascii="仿宋_GB2312" w:eastAsia="仿宋_GB2312"/>
          <w:sz w:val="28"/>
          <w:szCs w:val="28"/>
        </w:rPr>
        <w:tab/>
      </w:r>
      <w:r>
        <w:rPr>
          <w:rFonts w:hint="eastAsia" w:ascii="仿宋_GB2312" w:eastAsia="仿宋_GB2312"/>
          <w:sz w:val="28"/>
          <w:szCs w:val="28"/>
        </w:rPr>
        <w:fldChar w:fldCharType="begin"/>
      </w:r>
      <w:r>
        <w:rPr>
          <w:rFonts w:hint="eastAsia" w:ascii="仿宋_GB2312" w:eastAsia="仿宋_GB2312"/>
          <w:sz w:val="28"/>
          <w:szCs w:val="28"/>
        </w:rPr>
        <w:instrText xml:space="preserve"> PAGEREF _Toc119246983 \h </w:instrText>
      </w:r>
      <w:r>
        <w:rPr>
          <w:rFonts w:hint="eastAsia" w:ascii="仿宋_GB2312" w:eastAsia="仿宋_GB2312"/>
          <w:sz w:val="28"/>
          <w:szCs w:val="28"/>
        </w:rPr>
        <w:fldChar w:fldCharType="separate"/>
      </w:r>
      <w:r>
        <w:rPr>
          <w:rFonts w:ascii="仿宋_GB2312" w:eastAsia="仿宋_GB2312"/>
          <w:sz w:val="28"/>
          <w:szCs w:val="28"/>
        </w:rPr>
        <w:t>3</w:t>
      </w:r>
      <w:r>
        <w:rPr>
          <w:rFonts w:hint="eastAsia" w:ascii="仿宋_GB2312" w:eastAsia="仿宋_GB2312"/>
          <w:sz w:val="28"/>
          <w:szCs w:val="28"/>
        </w:rPr>
        <w:fldChar w:fldCharType="end"/>
      </w:r>
      <w:r>
        <w:rPr>
          <w:rFonts w:hint="eastAsia" w:ascii="仿宋_GB2312" w:eastAsia="仿宋_GB2312"/>
          <w:sz w:val="28"/>
          <w:szCs w:val="28"/>
        </w:rPr>
        <w:fldChar w:fldCharType="end"/>
      </w:r>
    </w:p>
    <w:p>
      <w:pPr>
        <w:pStyle w:val="17"/>
        <w:tabs>
          <w:tab w:val="right" w:leader="dot" w:pos="8296"/>
        </w:tabs>
        <w:spacing w:line="360" w:lineRule="auto"/>
        <w:ind w:left="315" w:leftChars="150"/>
        <w:rPr>
          <w:rFonts w:ascii="仿宋_GB2312" w:eastAsia="仿宋_GB2312" w:cstheme="minorBidi"/>
          <w:smallCaps w:val="0"/>
          <w:sz w:val="28"/>
          <w:szCs w:val="28"/>
        </w:rPr>
      </w:pPr>
      <w:r>
        <w:fldChar w:fldCharType="begin"/>
      </w:r>
      <w:r>
        <w:instrText xml:space="preserve"> HYPERLINK \l "_Toc119246984" </w:instrText>
      </w:r>
      <w:r>
        <w:fldChar w:fldCharType="separate"/>
      </w:r>
      <w:r>
        <w:rPr>
          <w:rStyle w:val="24"/>
          <w:rFonts w:hint="eastAsia" w:ascii="仿宋_GB2312" w:hAnsi="黑体" w:eastAsia="仿宋_GB2312"/>
          <w:sz w:val="28"/>
          <w:szCs w:val="28"/>
        </w:rPr>
        <w:t>第三节 上一轮规划实施成效</w:t>
      </w:r>
      <w:r>
        <w:rPr>
          <w:rFonts w:hint="eastAsia" w:ascii="仿宋_GB2312" w:eastAsia="仿宋_GB2312"/>
          <w:sz w:val="28"/>
          <w:szCs w:val="28"/>
        </w:rPr>
        <w:tab/>
      </w:r>
      <w:r>
        <w:rPr>
          <w:rFonts w:hint="eastAsia" w:ascii="仿宋_GB2312" w:eastAsia="仿宋_GB2312"/>
          <w:sz w:val="28"/>
          <w:szCs w:val="28"/>
        </w:rPr>
        <w:fldChar w:fldCharType="begin"/>
      </w:r>
      <w:r>
        <w:rPr>
          <w:rFonts w:hint="eastAsia" w:ascii="仿宋_GB2312" w:eastAsia="仿宋_GB2312"/>
          <w:sz w:val="28"/>
          <w:szCs w:val="28"/>
        </w:rPr>
        <w:instrText xml:space="preserve"> PAGEREF _Toc119246984 \h </w:instrText>
      </w:r>
      <w:r>
        <w:rPr>
          <w:rFonts w:hint="eastAsia" w:ascii="仿宋_GB2312" w:eastAsia="仿宋_GB2312"/>
          <w:sz w:val="28"/>
          <w:szCs w:val="28"/>
        </w:rPr>
        <w:fldChar w:fldCharType="separate"/>
      </w:r>
      <w:r>
        <w:rPr>
          <w:rFonts w:ascii="仿宋_GB2312" w:eastAsia="仿宋_GB2312"/>
          <w:sz w:val="28"/>
          <w:szCs w:val="28"/>
        </w:rPr>
        <w:t>4</w:t>
      </w:r>
      <w:r>
        <w:rPr>
          <w:rFonts w:hint="eastAsia" w:ascii="仿宋_GB2312" w:eastAsia="仿宋_GB2312"/>
          <w:sz w:val="28"/>
          <w:szCs w:val="28"/>
        </w:rPr>
        <w:fldChar w:fldCharType="end"/>
      </w:r>
      <w:r>
        <w:rPr>
          <w:rFonts w:hint="eastAsia" w:ascii="仿宋_GB2312" w:eastAsia="仿宋_GB2312"/>
          <w:sz w:val="28"/>
          <w:szCs w:val="28"/>
        </w:rPr>
        <w:fldChar w:fldCharType="end"/>
      </w:r>
    </w:p>
    <w:p>
      <w:pPr>
        <w:pStyle w:val="17"/>
        <w:tabs>
          <w:tab w:val="left" w:pos="1050"/>
          <w:tab w:val="right" w:leader="dot" w:pos="8296"/>
        </w:tabs>
        <w:spacing w:line="360" w:lineRule="auto"/>
        <w:ind w:left="315" w:leftChars="150"/>
        <w:rPr>
          <w:rFonts w:ascii="仿宋_GB2312" w:eastAsia="仿宋_GB2312" w:cstheme="minorBidi"/>
          <w:smallCaps w:val="0"/>
          <w:sz w:val="28"/>
          <w:szCs w:val="28"/>
        </w:rPr>
      </w:pPr>
      <w:r>
        <w:fldChar w:fldCharType="begin"/>
      </w:r>
      <w:r>
        <w:instrText xml:space="preserve"> HYPERLINK \l "_Toc119246985" </w:instrText>
      </w:r>
      <w:r>
        <w:fldChar w:fldCharType="separate"/>
      </w:r>
      <w:r>
        <w:rPr>
          <w:rStyle w:val="24"/>
          <w:rFonts w:hint="eastAsia" w:ascii="仿宋_GB2312" w:hAnsi="黑体" w:eastAsia="仿宋_GB2312"/>
          <w:sz w:val="28"/>
          <w:szCs w:val="28"/>
        </w:rPr>
        <w:t>第四节 面临问题及形势</w:t>
      </w:r>
      <w:r>
        <w:rPr>
          <w:rFonts w:hint="eastAsia" w:ascii="仿宋_GB2312" w:eastAsia="仿宋_GB2312"/>
          <w:sz w:val="28"/>
          <w:szCs w:val="28"/>
        </w:rPr>
        <w:tab/>
      </w:r>
      <w:r>
        <w:rPr>
          <w:rFonts w:hint="eastAsia" w:ascii="仿宋_GB2312" w:eastAsia="仿宋_GB2312"/>
          <w:sz w:val="28"/>
          <w:szCs w:val="28"/>
        </w:rPr>
        <w:fldChar w:fldCharType="begin"/>
      </w:r>
      <w:r>
        <w:rPr>
          <w:rFonts w:hint="eastAsia" w:ascii="仿宋_GB2312" w:eastAsia="仿宋_GB2312"/>
          <w:sz w:val="28"/>
          <w:szCs w:val="28"/>
        </w:rPr>
        <w:instrText xml:space="preserve"> PAGEREF _Toc119246985 \h </w:instrText>
      </w:r>
      <w:r>
        <w:rPr>
          <w:rFonts w:hint="eastAsia" w:ascii="仿宋_GB2312" w:eastAsia="仿宋_GB2312"/>
          <w:sz w:val="28"/>
          <w:szCs w:val="28"/>
        </w:rPr>
        <w:fldChar w:fldCharType="separate"/>
      </w:r>
      <w:r>
        <w:rPr>
          <w:rFonts w:ascii="仿宋_GB2312" w:eastAsia="仿宋_GB2312"/>
          <w:sz w:val="28"/>
          <w:szCs w:val="28"/>
        </w:rPr>
        <w:t>6</w:t>
      </w:r>
      <w:r>
        <w:rPr>
          <w:rFonts w:hint="eastAsia" w:ascii="仿宋_GB2312" w:eastAsia="仿宋_GB2312"/>
          <w:sz w:val="28"/>
          <w:szCs w:val="28"/>
        </w:rPr>
        <w:fldChar w:fldCharType="end"/>
      </w:r>
      <w:r>
        <w:rPr>
          <w:rFonts w:hint="eastAsia" w:ascii="仿宋_GB2312" w:eastAsia="仿宋_GB2312"/>
          <w:sz w:val="28"/>
          <w:szCs w:val="28"/>
        </w:rPr>
        <w:fldChar w:fldCharType="end"/>
      </w:r>
    </w:p>
    <w:p>
      <w:pPr>
        <w:pStyle w:val="14"/>
        <w:tabs>
          <w:tab w:val="right" w:leader="dot" w:pos="8296"/>
        </w:tabs>
        <w:spacing w:before="0" w:after="0" w:line="360" w:lineRule="auto"/>
        <w:rPr>
          <w:rFonts w:ascii="仿宋_GB2312" w:eastAsia="仿宋_GB2312" w:cstheme="minorBidi"/>
          <w:b w:val="0"/>
          <w:bCs w:val="0"/>
          <w:caps w:val="0"/>
          <w:sz w:val="28"/>
          <w:szCs w:val="28"/>
        </w:rPr>
      </w:pPr>
      <w:r>
        <w:fldChar w:fldCharType="begin"/>
      </w:r>
      <w:r>
        <w:instrText xml:space="preserve"> HYPERLINK \l "_Toc119246986" </w:instrText>
      </w:r>
      <w:r>
        <w:fldChar w:fldCharType="separate"/>
      </w:r>
      <w:r>
        <w:rPr>
          <w:rStyle w:val="24"/>
          <w:rFonts w:hint="eastAsia" w:ascii="仿宋_GB2312" w:hAnsi="黑体" w:eastAsia="仿宋_GB2312"/>
          <w:b w:val="0"/>
          <w:bCs w:val="0"/>
          <w:sz w:val="28"/>
          <w:szCs w:val="28"/>
        </w:rPr>
        <w:t>第二章 指导思想、基本原则及规划目标</w:t>
      </w:r>
      <w:r>
        <w:rPr>
          <w:rFonts w:hint="eastAsia" w:ascii="仿宋_GB2312" w:eastAsia="仿宋_GB2312"/>
          <w:b w:val="0"/>
          <w:bCs w:val="0"/>
          <w:sz w:val="28"/>
          <w:szCs w:val="28"/>
        </w:rPr>
        <w:tab/>
      </w:r>
      <w:r>
        <w:rPr>
          <w:rFonts w:hint="eastAsia" w:ascii="仿宋_GB2312" w:eastAsia="仿宋_GB2312"/>
          <w:b w:val="0"/>
          <w:bCs w:val="0"/>
          <w:sz w:val="28"/>
          <w:szCs w:val="28"/>
        </w:rPr>
        <w:fldChar w:fldCharType="begin"/>
      </w:r>
      <w:r>
        <w:rPr>
          <w:rFonts w:hint="eastAsia" w:ascii="仿宋_GB2312" w:eastAsia="仿宋_GB2312"/>
          <w:b w:val="0"/>
          <w:bCs w:val="0"/>
          <w:sz w:val="28"/>
          <w:szCs w:val="28"/>
        </w:rPr>
        <w:instrText xml:space="preserve"> PAGEREF _Toc119246986 \h </w:instrText>
      </w:r>
      <w:r>
        <w:rPr>
          <w:rFonts w:hint="eastAsia" w:ascii="仿宋_GB2312" w:eastAsia="仿宋_GB2312"/>
          <w:b w:val="0"/>
          <w:bCs w:val="0"/>
          <w:sz w:val="28"/>
          <w:szCs w:val="28"/>
        </w:rPr>
        <w:fldChar w:fldCharType="separate"/>
      </w:r>
      <w:r>
        <w:rPr>
          <w:rFonts w:ascii="仿宋_GB2312" w:eastAsia="仿宋_GB2312"/>
          <w:b w:val="0"/>
          <w:bCs w:val="0"/>
          <w:sz w:val="28"/>
          <w:szCs w:val="28"/>
        </w:rPr>
        <w:t>9</w:t>
      </w:r>
      <w:r>
        <w:rPr>
          <w:rFonts w:hint="eastAsia" w:ascii="仿宋_GB2312" w:eastAsia="仿宋_GB2312"/>
          <w:b w:val="0"/>
          <w:bCs w:val="0"/>
          <w:sz w:val="28"/>
          <w:szCs w:val="28"/>
        </w:rPr>
        <w:fldChar w:fldCharType="end"/>
      </w:r>
      <w:r>
        <w:rPr>
          <w:rFonts w:hint="eastAsia" w:ascii="仿宋_GB2312" w:eastAsia="仿宋_GB2312"/>
          <w:b w:val="0"/>
          <w:bCs w:val="0"/>
          <w:sz w:val="28"/>
          <w:szCs w:val="28"/>
        </w:rPr>
        <w:fldChar w:fldCharType="end"/>
      </w:r>
    </w:p>
    <w:p>
      <w:pPr>
        <w:pStyle w:val="17"/>
        <w:tabs>
          <w:tab w:val="right" w:leader="dot" w:pos="8296"/>
        </w:tabs>
        <w:spacing w:line="360" w:lineRule="auto"/>
        <w:ind w:left="315" w:leftChars="150"/>
        <w:rPr>
          <w:rFonts w:ascii="仿宋_GB2312" w:eastAsia="仿宋_GB2312" w:cstheme="minorBidi"/>
          <w:smallCaps w:val="0"/>
          <w:sz w:val="28"/>
          <w:szCs w:val="28"/>
        </w:rPr>
      </w:pPr>
      <w:r>
        <w:fldChar w:fldCharType="begin"/>
      </w:r>
      <w:r>
        <w:instrText xml:space="preserve"> HYPERLINK \l "_Toc119246987" </w:instrText>
      </w:r>
      <w:r>
        <w:fldChar w:fldCharType="separate"/>
      </w:r>
      <w:r>
        <w:rPr>
          <w:rStyle w:val="24"/>
          <w:rFonts w:hint="eastAsia" w:ascii="仿宋_GB2312" w:hAnsi="黑体" w:eastAsia="仿宋_GB2312"/>
          <w:sz w:val="28"/>
          <w:szCs w:val="28"/>
        </w:rPr>
        <w:t>第一节 指导思想</w:t>
      </w:r>
      <w:r>
        <w:rPr>
          <w:rFonts w:hint="eastAsia" w:ascii="仿宋_GB2312" w:eastAsia="仿宋_GB2312"/>
          <w:sz w:val="28"/>
          <w:szCs w:val="28"/>
        </w:rPr>
        <w:tab/>
      </w:r>
      <w:r>
        <w:rPr>
          <w:rFonts w:hint="eastAsia" w:ascii="仿宋_GB2312" w:eastAsia="仿宋_GB2312"/>
          <w:sz w:val="28"/>
          <w:szCs w:val="28"/>
        </w:rPr>
        <w:fldChar w:fldCharType="begin"/>
      </w:r>
      <w:r>
        <w:rPr>
          <w:rFonts w:hint="eastAsia" w:ascii="仿宋_GB2312" w:eastAsia="仿宋_GB2312"/>
          <w:sz w:val="28"/>
          <w:szCs w:val="28"/>
        </w:rPr>
        <w:instrText xml:space="preserve"> PAGEREF _Toc119246987 \h </w:instrText>
      </w:r>
      <w:r>
        <w:rPr>
          <w:rFonts w:hint="eastAsia" w:ascii="仿宋_GB2312" w:eastAsia="仿宋_GB2312"/>
          <w:sz w:val="28"/>
          <w:szCs w:val="28"/>
        </w:rPr>
        <w:fldChar w:fldCharType="separate"/>
      </w:r>
      <w:r>
        <w:rPr>
          <w:rFonts w:ascii="仿宋_GB2312" w:eastAsia="仿宋_GB2312"/>
          <w:sz w:val="28"/>
          <w:szCs w:val="28"/>
        </w:rPr>
        <w:t>9</w:t>
      </w:r>
      <w:r>
        <w:rPr>
          <w:rFonts w:hint="eastAsia" w:ascii="仿宋_GB2312" w:eastAsia="仿宋_GB2312"/>
          <w:sz w:val="28"/>
          <w:szCs w:val="28"/>
        </w:rPr>
        <w:fldChar w:fldCharType="end"/>
      </w:r>
      <w:r>
        <w:rPr>
          <w:rFonts w:hint="eastAsia" w:ascii="仿宋_GB2312" w:eastAsia="仿宋_GB2312"/>
          <w:sz w:val="28"/>
          <w:szCs w:val="28"/>
        </w:rPr>
        <w:fldChar w:fldCharType="end"/>
      </w:r>
    </w:p>
    <w:p>
      <w:pPr>
        <w:pStyle w:val="17"/>
        <w:tabs>
          <w:tab w:val="right" w:leader="dot" w:pos="8296"/>
        </w:tabs>
        <w:spacing w:line="360" w:lineRule="auto"/>
        <w:ind w:left="315" w:leftChars="150"/>
        <w:rPr>
          <w:rFonts w:ascii="仿宋_GB2312" w:eastAsia="仿宋_GB2312" w:cstheme="minorBidi"/>
          <w:smallCaps w:val="0"/>
          <w:sz w:val="28"/>
          <w:szCs w:val="28"/>
        </w:rPr>
      </w:pPr>
      <w:r>
        <w:fldChar w:fldCharType="begin"/>
      </w:r>
      <w:r>
        <w:instrText xml:space="preserve"> HYPERLINK \l "_Toc119246988" </w:instrText>
      </w:r>
      <w:r>
        <w:fldChar w:fldCharType="separate"/>
      </w:r>
      <w:r>
        <w:rPr>
          <w:rStyle w:val="24"/>
          <w:rFonts w:hint="eastAsia" w:ascii="仿宋_GB2312" w:hAnsi="黑体" w:eastAsia="仿宋_GB2312"/>
          <w:sz w:val="28"/>
          <w:szCs w:val="28"/>
        </w:rPr>
        <w:t>第二节 基本原则</w:t>
      </w:r>
      <w:r>
        <w:rPr>
          <w:rFonts w:hint="eastAsia" w:ascii="仿宋_GB2312" w:eastAsia="仿宋_GB2312"/>
          <w:sz w:val="28"/>
          <w:szCs w:val="28"/>
        </w:rPr>
        <w:tab/>
      </w:r>
      <w:r>
        <w:rPr>
          <w:rFonts w:hint="eastAsia" w:ascii="仿宋_GB2312" w:eastAsia="仿宋_GB2312"/>
          <w:sz w:val="28"/>
          <w:szCs w:val="28"/>
        </w:rPr>
        <w:fldChar w:fldCharType="begin"/>
      </w:r>
      <w:r>
        <w:rPr>
          <w:rFonts w:hint="eastAsia" w:ascii="仿宋_GB2312" w:eastAsia="仿宋_GB2312"/>
          <w:sz w:val="28"/>
          <w:szCs w:val="28"/>
        </w:rPr>
        <w:instrText xml:space="preserve"> PAGEREF _Toc119246988 \h </w:instrText>
      </w:r>
      <w:r>
        <w:rPr>
          <w:rFonts w:hint="eastAsia" w:ascii="仿宋_GB2312" w:eastAsia="仿宋_GB2312"/>
          <w:sz w:val="28"/>
          <w:szCs w:val="28"/>
        </w:rPr>
        <w:fldChar w:fldCharType="separate"/>
      </w:r>
      <w:r>
        <w:rPr>
          <w:rFonts w:ascii="仿宋_GB2312" w:eastAsia="仿宋_GB2312"/>
          <w:sz w:val="28"/>
          <w:szCs w:val="28"/>
        </w:rPr>
        <w:t>9</w:t>
      </w:r>
      <w:r>
        <w:rPr>
          <w:rFonts w:hint="eastAsia" w:ascii="仿宋_GB2312" w:eastAsia="仿宋_GB2312"/>
          <w:sz w:val="28"/>
          <w:szCs w:val="28"/>
        </w:rPr>
        <w:fldChar w:fldCharType="end"/>
      </w:r>
      <w:r>
        <w:rPr>
          <w:rFonts w:hint="eastAsia" w:ascii="仿宋_GB2312" w:eastAsia="仿宋_GB2312"/>
          <w:sz w:val="28"/>
          <w:szCs w:val="28"/>
        </w:rPr>
        <w:fldChar w:fldCharType="end"/>
      </w:r>
    </w:p>
    <w:p>
      <w:pPr>
        <w:pStyle w:val="17"/>
        <w:tabs>
          <w:tab w:val="right" w:leader="dot" w:pos="8296"/>
        </w:tabs>
        <w:spacing w:line="360" w:lineRule="auto"/>
        <w:ind w:left="315" w:leftChars="150"/>
        <w:rPr>
          <w:rFonts w:ascii="仿宋_GB2312" w:eastAsia="仿宋_GB2312" w:cstheme="minorBidi"/>
          <w:smallCaps w:val="0"/>
          <w:sz w:val="28"/>
          <w:szCs w:val="28"/>
        </w:rPr>
      </w:pPr>
      <w:r>
        <w:fldChar w:fldCharType="begin"/>
      </w:r>
      <w:r>
        <w:instrText xml:space="preserve"> HYPERLINK \l "_Toc119246989" </w:instrText>
      </w:r>
      <w:r>
        <w:fldChar w:fldCharType="separate"/>
      </w:r>
      <w:r>
        <w:rPr>
          <w:rStyle w:val="24"/>
          <w:rFonts w:hint="eastAsia" w:ascii="仿宋_GB2312" w:hAnsi="黑体" w:eastAsia="仿宋_GB2312"/>
          <w:sz w:val="28"/>
          <w:szCs w:val="28"/>
        </w:rPr>
        <w:t>第三节 规划目标</w:t>
      </w:r>
      <w:r>
        <w:rPr>
          <w:rFonts w:hint="eastAsia" w:ascii="仿宋_GB2312" w:eastAsia="仿宋_GB2312"/>
          <w:sz w:val="28"/>
          <w:szCs w:val="28"/>
        </w:rPr>
        <w:tab/>
      </w:r>
      <w:r>
        <w:rPr>
          <w:rFonts w:hint="eastAsia" w:ascii="仿宋_GB2312" w:eastAsia="仿宋_GB2312"/>
          <w:sz w:val="28"/>
          <w:szCs w:val="28"/>
        </w:rPr>
        <w:fldChar w:fldCharType="begin"/>
      </w:r>
      <w:r>
        <w:rPr>
          <w:rFonts w:hint="eastAsia" w:ascii="仿宋_GB2312" w:eastAsia="仿宋_GB2312"/>
          <w:sz w:val="28"/>
          <w:szCs w:val="28"/>
        </w:rPr>
        <w:instrText xml:space="preserve"> PAGEREF _Toc119246989 \h </w:instrText>
      </w:r>
      <w:r>
        <w:rPr>
          <w:rFonts w:hint="eastAsia" w:ascii="仿宋_GB2312" w:eastAsia="仿宋_GB2312"/>
          <w:sz w:val="28"/>
          <w:szCs w:val="28"/>
        </w:rPr>
        <w:fldChar w:fldCharType="separate"/>
      </w:r>
      <w:r>
        <w:rPr>
          <w:rFonts w:ascii="仿宋_GB2312" w:eastAsia="仿宋_GB2312"/>
          <w:sz w:val="28"/>
          <w:szCs w:val="28"/>
        </w:rPr>
        <w:t>10</w:t>
      </w:r>
      <w:r>
        <w:rPr>
          <w:rFonts w:hint="eastAsia" w:ascii="仿宋_GB2312" w:eastAsia="仿宋_GB2312"/>
          <w:sz w:val="28"/>
          <w:szCs w:val="28"/>
        </w:rPr>
        <w:fldChar w:fldCharType="end"/>
      </w:r>
      <w:r>
        <w:rPr>
          <w:rFonts w:hint="eastAsia" w:ascii="仿宋_GB2312" w:eastAsia="仿宋_GB2312"/>
          <w:sz w:val="28"/>
          <w:szCs w:val="28"/>
        </w:rPr>
        <w:fldChar w:fldCharType="end"/>
      </w:r>
    </w:p>
    <w:p>
      <w:pPr>
        <w:pStyle w:val="14"/>
        <w:tabs>
          <w:tab w:val="right" w:leader="dot" w:pos="8296"/>
        </w:tabs>
        <w:spacing w:before="0" w:after="0" w:line="360" w:lineRule="auto"/>
        <w:rPr>
          <w:rFonts w:ascii="仿宋_GB2312" w:eastAsia="仿宋_GB2312" w:cstheme="minorBidi"/>
          <w:b w:val="0"/>
          <w:bCs w:val="0"/>
          <w:caps w:val="0"/>
          <w:sz w:val="28"/>
          <w:szCs w:val="28"/>
        </w:rPr>
      </w:pPr>
      <w:r>
        <w:fldChar w:fldCharType="begin"/>
      </w:r>
      <w:r>
        <w:instrText xml:space="preserve"> HYPERLINK \l "_Toc119246990" </w:instrText>
      </w:r>
      <w:r>
        <w:fldChar w:fldCharType="separate"/>
      </w:r>
      <w:r>
        <w:rPr>
          <w:rStyle w:val="24"/>
          <w:rFonts w:hint="eastAsia" w:ascii="仿宋_GB2312" w:hAnsi="黑体" w:eastAsia="仿宋_GB2312"/>
          <w:b w:val="0"/>
          <w:bCs w:val="0"/>
          <w:sz w:val="28"/>
          <w:szCs w:val="28"/>
        </w:rPr>
        <w:t>第三章 矿产资源勘查开发与保护布局</w:t>
      </w:r>
      <w:r>
        <w:rPr>
          <w:rFonts w:hint="eastAsia" w:ascii="仿宋_GB2312" w:eastAsia="仿宋_GB2312"/>
          <w:b w:val="0"/>
          <w:bCs w:val="0"/>
          <w:sz w:val="28"/>
          <w:szCs w:val="28"/>
        </w:rPr>
        <w:tab/>
      </w:r>
      <w:r>
        <w:rPr>
          <w:rFonts w:hint="eastAsia" w:ascii="仿宋_GB2312" w:eastAsia="仿宋_GB2312"/>
          <w:b w:val="0"/>
          <w:bCs w:val="0"/>
          <w:sz w:val="28"/>
          <w:szCs w:val="28"/>
        </w:rPr>
        <w:fldChar w:fldCharType="begin"/>
      </w:r>
      <w:r>
        <w:rPr>
          <w:rFonts w:hint="eastAsia" w:ascii="仿宋_GB2312" w:eastAsia="仿宋_GB2312"/>
          <w:b w:val="0"/>
          <w:bCs w:val="0"/>
          <w:sz w:val="28"/>
          <w:szCs w:val="28"/>
        </w:rPr>
        <w:instrText xml:space="preserve"> PAGEREF _Toc119246990 \h </w:instrText>
      </w:r>
      <w:r>
        <w:rPr>
          <w:rFonts w:hint="eastAsia" w:ascii="仿宋_GB2312" w:eastAsia="仿宋_GB2312"/>
          <w:b w:val="0"/>
          <w:bCs w:val="0"/>
          <w:sz w:val="28"/>
          <w:szCs w:val="28"/>
        </w:rPr>
        <w:fldChar w:fldCharType="separate"/>
      </w:r>
      <w:r>
        <w:rPr>
          <w:rFonts w:ascii="仿宋_GB2312" w:eastAsia="仿宋_GB2312"/>
          <w:b w:val="0"/>
          <w:bCs w:val="0"/>
          <w:sz w:val="28"/>
          <w:szCs w:val="28"/>
        </w:rPr>
        <w:t>13</w:t>
      </w:r>
      <w:r>
        <w:rPr>
          <w:rFonts w:hint="eastAsia" w:ascii="仿宋_GB2312" w:eastAsia="仿宋_GB2312"/>
          <w:b w:val="0"/>
          <w:bCs w:val="0"/>
          <w:sz w:val="28"/>
          <w:szCs w:val="28"/>
        </w:rPr>
        <w:fldChar w:fldCharType="end"/>
      </w:r>
      <w:r>
        <w:rPr>
          <w:rFonts w:hint="eastAsia" w:ascii="仿宋_GB2312" w:eastAsia="仿宋_GB2312"/>
          <w:b w:val="0"/>
          <w:bCs w:val="0"/>
          <w:sz w:val="28"/>
          <w:szCs w:val="28"/>
        </w:rPr>
        <w:fldChar w:fldCharType="end"/>
      </w:r>
    </w:p>
    <w:p>
      <w:pPr>
        <w:pStyle w:val="17"/>
        <w:tabs>
          <w:tab w:val="right" w:leader="dot" w:pos="8296"/>
        </w:tabs>
        <w:spacing w:line="360" w:lineRule="auto"/>
        <w:ind w:left="315" w:leftChars="150"/>
        <w:rPr>
          <w:rFonts w:ascii="仿宋_GB2312" w:eastAsia="仿宋_GB2312" w:cstheme="minorBidi"/>
          <w:smallCaps w:val="0"/>
          <w:sz w:val="28"/>
          <w:szCs w:val="28"/>
        </w:rPr>
      </w:pPr>
      <w:r>
        <w:fldChar w:fldCharType="begin"/>
      </w:r>
      <w:r>
        <w:instrText xml:space="preserve"> HYPERLINK \l "_Toc119246991" </w:instrText>
      </w:r>
      <w:r>
        <w:fldChar w:fldCharType="separate"/>
      </w:r>
      <w:r>
        <w:rPr>
          <w:rStyle w:val="24"/>
          <w:rFonts w:hint="eastAsia" w:ascii="仿宋_GB2312" w:hAnsi="黑体" w:eastAsia="仿宋_GB2312"/>
          <w:sz w:val="28"/>
          <w:szCs w:val="28"/>
        </w:rPr>
        <w:t>第一节 优化勘查开发保护格局</w:t>
      </w:r>
      <w:r>
        <w:rPr>
          <w:rFonts w:hint="eastAsia" w:ascii="仿宋_GB2312" w:eastAsia="仿宋_GB2312"/>
          <w:sz w:val="28"/>
          <w:szCs w:val="28"/>
        </w:rPr>
        <w:tab/>
      </w:r>
      <w:r>
        <w:rPr>
          <w:rFonts w:hint="eastAsia" w:ascii="仿宋_GB2312" w:eastAsia="仿宋_GB2312"/>
          <w:sz w:val="28"/>
          <w:szCs w:val="28"/>
        </w:rPr>
        <w:fldChar w:fldCharType="begin"/>
      </w:r>
      <w:r>
        <w:rPr>
          <w:rFonts w:hint="eastAsia" w:ascii="仿宋_GB2312" w:eastAsia="仿宋_GB2312"/>
          <w:sz w:val="28"/>
          <w:szCs w:val="28"/>
        </w:rPr>
        <w:instrText xml:space="preserve"> PAGEREF _Toc119246991 \h </w:instrText>
      </w:r>
      <w:r>
        <w:rPr>
          <w:rFonts w:hint="eastAsia" w:ascii="仿宋_GB2312" w:eastAsia="仿宋_GB2312"/>
          <w:sz w:val="28"/>
          <w:szCs w:val="28"/>
        </w:rPr>
        <w:fldChar w:fldCharType="separate"/>
      </w:r>
      <w:r>
        <w:rPr>
          <w:rFonts w:ascii="仿宋_GB2312" w:eastAsia="仿宋_GB2312"/>
          <w:sz w:val="28"/>
          <w:szCs w:val="28"/>
        </w:rPr>
        <w:t>13</w:t>
      </w:r>
      <w:r>
        <w:rPr>
          <w:rFonts w:hint="eastAsia" w:ascii="仿宋_GB2312" w:eastAsia="仿宋_GB2312"/>
          <w:sz w:val="28"/>
          <w:szCs w:val="28"/>
        </w:rPr>
        <w:fldChar w:fldCharType="end"/>
      </w:r>
      <w:r>
        <w:rPr>
          <w:rFonts w:hint="eastAsia" w:ascii="仿宋_GB2312" w:eastAsia="仿宋_GB2312"/>
          <w:sz w:val="28"/>
          <w:szCs w:val="28"/>
        </w:rPr>
        <w:fldChar w:fldCharType="end"/>
      </w:r>
    </w:p>
    <w:p>
      <w:pPr>
        <w:pStyle w:val="17"/>
        <w:tabs>
          <w:tab w:val="right" w:leader="dot" w:pos="8296"/>
        </w:tabs>
        <w:spacing w:line="360" w:lineRule="auto"/>
        <w:ind w:left="315" w:leftChars="150"/>
        <w:rPr>
          <w:rFonts w:ascii="仿宋_GB2312" w:eastAsia="仿宋_GB2312" w:cstheme="minorBidi"/>
          <w:smallCaps w:val="0"/>
          <w:sz w:val="28"/>
          <w:szCs w:val="28"/>
        </w:rPr>
      </w:pPr>
      <w:r>
        <w:fldChar w:fldCharType="begin"/>
      </w:r>
      <w:r>
        <w:instrText xml:space="preserve"> HYPERLINK \l "_Toc119246992" </w:instrText>
      </w:r>
      <w:r>
        <w:fldChar w:fldCharType="separate"/>
      </w:r>
      <w:r>
        <w:rPr>
          <w:rStyle w:val="24"/>
          <w:rFonts w:hint="eastAsia" w:ascii="仿宋_GB2312" w:hAnsi="黑体" w:eastAsia="仿宋_GB2312"/>
          <w:sz w:val="28"/>
          <w:szCs w:val="28"/>
        </w:rPr>
        <w:t>第二节 落实上级规划总体布局</w:t>
      </w:r>
      <w:r>
        <w:rPr>
          <w:rFonts w:hint="eastAsia" w:ascii="仿宋_GB2312" w:eastAsia="仿宋_GB2312"/>
          <w:sz w:val="28"/>
          <w:szCs w:val="28"/>
        </w:rPr>
        <w:tab/>
      </w:r>
      <w:r>
        <w:rPr>
          <w:rFonts w:hint="eastAsia" w:ascii="仿宋_GB2312" w:eastAsia="仿宋_GB2312"/>
          <w:sz w:val="28"/>
          <w:szCs w:val="28"/>
        </w:rPr>
        <w:fldChar w:fldCharType="begin"/>
      </w:r>
      <w:r>
        <w:rPr>
          <w:rFonts w:hint="eastAsia" w:ascii="仿宋_GB2312" w:eastAsia="仿宋_GB2312"/>
          <w:sz w:val="28"/>
          <w:szCs w:val="28"/>
        </w:rPr>
        <w:instrText xml:space="preserve"> PAGEREF _Toc119246992 \h </w:instrText>
      </w:r>
      <w:r>
        <w:rPr>
          <w:rFonts w:hint="eastAsia" w:ascii="仿宋_GB2312" w:eastAsia="仿宋_GB2312"/>
          <w:sz w:val="28"/>
          <w:szCs w:val="28"/>
        </w:rPr>
        <w:fldChar w:fldCharType="separate"/>
      </w:r>
      <w:r>
        <w:rPr>
          <w:rFonts w:ascii="仿宋_GB2312" w:eastAsia="仿宋_GB2312"/>
          <w:sz w:val="28"/>
          <w:szCs w:val="28"/>
        </w:rPr>
        <w:t>15</w:t>
      </w:r>
      <w:r>
        <w:rPr>
          <w:rFonts w:hint="eastAsia" w:ascii="仿宋_GB2312" w:eastAsia="仿宋_GB2312"/>
          <w:sz w:val="28"/>
          <w:szCs w:val="28"/>
        </w:rPr>
        <w:fldChar w:fldCharType="end"/>
      </w:r>
      <w:r>
        <w:rPr>
          <w:rFonts w:hint="eastAsia" w:ascii="仿宋_GB2312" w:eastAsia="仿宋_GB2312"/>
          <w:sz w:val="28"/>
          <w:szCs w:val="28"/>
        </w:rPr>
        <w:fldChar w:fldCharType="end"/>
      </w:r>
    </w:p>
    <w:p>
      <w:pPr>
        <w:pStyle w:val="17"/>
        <w:tabs>
          <w:tab w:val="right" w:leader="dot" w:pos="8296"/>
        </w:tabs>
        <w:spacing w:line="360" w:lineRule="auto"/>
        <w:ind w:left="315" w:leftChars="150"/>
        <w:rPr>
          <w:rFonts w:ascii="仿宋_GB2312" w:eastAsia="仿宋_GB2312" w:cstheme="minorBidi"/>
          <w:smallCaps w:val="0"/>
          <w:sz w:val="28"/>
          <w:szCs w:val="28"/>
        </w:rPr>
      </w:pPr>
      <w:r>
        <w:fldChar w:fldCharType="begin"/>
      </w:r>
      <w:r>
        <w:instrText xml:space="preserve"> HYPERLINK \l "_Toc119246993" </w:instrText>
      </w:r>
      <w:r>
        <w:fldChar w:fldCharType="separate"/>
      </w:r>
      <w:r>
        <w:rPr>
          <w:rStyle w:val="24"/>
          <w:rFonts w:hint="eastAsia" w:ascii="仿宋_GB2312" w:hAnsi="黑体" w:eastAsia="仿宋_GB2312"/>
          <w:sz w:val="28"/>
          <w:szCs w:val="28"/>
        </w:rPr>
        <w:t>第三节 矿产资源勘查开发调控方向</w:t>
      </w:r>
      <w:r>
        <w:rPr>
          <w:rFonts w:hint="eastAsia" w:ascii="仿宋_GB2312" w:eastAsia="仿宋_GB2312"/>
          <w:sz w:val="28"/>
          <w:szCs w:val="28"/>
        </w:rPr>
        <w:tab/>
      </w:r>
      <w:r>
        <w:rPr>
          <w:rFonts w:hint="eastAsia" w:ascii="仿宋_GB2312" w:eastAsia="仿宋_GB2312"/>
          <w:sz w:val="28"/>
          <w:szCs w:val="28"/>
        </w:rPr>
        <w:fldChar w:fldCharType="begin"/>
      </w:r>
      <w:r>
        <w:rPr>
          <w:rFonts w:hint="eastAsia" w:ascii="仿宋_GB2312" w:eastAsia="仿宋_GB2312"/>
          <w:sz w:val="28"/>
          <w:szCs w:val="28"/>
        </w:rPr>
        <w:instrText xml:space="preserve"> PAGEREF _Toc119246993 \h </w:instrText>
      </w:r>
      <w:r>
        <w:rPr>
          <w:rFonts w:hint="eastAsia" w:ascii="仿宋_GB2312" w:eastAsia="仿宋_GB2312"/>
          <w:sz w:val="28"/>
          <w:szCs w:val="28"/>
        </w:rPr>
        <w:fldChar w:fldCharType="separate"/>
      </w:r>
      <w:r>
        <w:rPr>
          <w:rFonts w:ascii="仿宋_GB2312" w:eastAsia="仿宋_GB2312"/>
          <w:sz w:val="28"/>
          <w:szCs w:val="28"/>
        </w:rPr>
        <w:t>15</w:t>
      </w:r>
      <w:r>
        <w:rPr>
          <w:rFonts w:hint="eastAsia" w:ascii="仿宋_GB2312" w:eastAsia="仿宋_GB2312"/>
          <w:sz w:val="28"/>
          <w:szCs w:val="28"/>
        </w:rPr>
        <w:fldChar w:fldCharType="end"/>
      </w:r>
      <w:r>
        <w:rPr>
          <w:rFonts w:hint="eastAsia" w:ascii="仿宋_GB2312" w:eastAsia="仿宋_GB2312"/>
          <w:sz w:val="28"/>
          <w:szCs w:val="28"/>
        </w:rPr>
        <w:fldChar w:fldCharType="end"/>
      </w:r>
    </w:p>
    <w:p>
      <w:pPr>
        <w:pStyle w:val="17"/>
        <w:tabs>
          <w:tab w:val="right" w:leader="dot" w:pos="8296"/>
        </w:tabs>
        <w:spacing w:line="360" w:lineRule="auto"/>
        <w:ind w:left="315" w:leftChars="150"/>
        <w:rPr>
          <w:rFonts w:ascii="仿宋_GB2312" w:eastAsia="仿宋_GB2312" w:cstheme="minorBidi"/>
          <w:smallCaps w:val="0"/>
          <w:sz w:val="28"/>
          <w:szCs w:val="28"/>
        </w:rPr>
      </w:pPr>
      <w:r>
        <w:fldChar w:fldCharType="begin"/>
      </w:r>
      <w:r>
        <w:instrText xml:space="preserve"> HYPERLINK \l "_Toc119246994" </w:instrText>
      </w:r>
      <w:r>
        <w:fldChar w:fldCharType="separate"/>
      </w:r>
      <w:r>
        <w:rPr>
          <w:rStyle w:val="24"/>
          <w:rFonts w:hint="eastAsia" w:ascii="仿宋_GB2312" w:hAnsi="黑体" w:eastAsia="仿宋_GB2312"/>
          <w:sz w:val="28"/>
          <w:szCs w:val="28"/>
        </w:rPr>
        <w:t>第四节 合理设置勘查开采区块</w:t>
      </w:r>
      <w:r>
        <w:rPr>
          <w:rFonts w:hint="eastAsia" w:ascii="仿宋_GB2312" w:eastAsia="仿宋_GB2312"/>
          <w:sz w:val="28"/>
          <w:szCs w:val="28"/>
        </w:rPr>
        <w:tab/>
      </w:r>
      <w:r>
        <w:rPr>
          <w:rFonts w:hint="eastAsia" w:ascii="仿宋_GB2312" w:eastAsia="仿宋_GB2312"/>
          <w:sz w:val="28"/>
          <w:szCs w:val="28"/>
        </w:rPr>
        <w:fldChar w:fldCharType="begin"/>
      </w:r>
      <w:r>
        <w:rPr>
          <w:rFonts w:hint="eastAsia" w:ascii="仿宋_GB2312" w:eastAsia="仿宋_GB2312"/>
          <w:sz w:val="28"/>
          <w:szCs w:val="28"/>
        </w:rPr>
        <w:instrText xml:space="preserve"> PAGEREF _Toc119246994 \h </w:instrText>
      </w:r>
      <w:r>
        <w:rPr>
          <w:rFonts w:hint="eastAsia" w:ascii="仿宋_GB2312" w:eastAsia="仿宋_GB2312"/>
          <w:sz w:val="28"/>
          <w:szCs w:val="28"/>
        </w:rPr>
        <w:fldChar w:fldCharType="separate"/>
      </w:r>
      <w:r>
        <w:rPr>
          <w:rFonts w:ascii="仿宋_GB2312" w:eastAsia="仿宋_GB2312"/>
          <w:sz w:val="28"/>
          <w:szCs w:val="28"/>
        </w:rPr>
        <w:t>16</w:t>
      </w:r>
      <w:r>
        <w:rPr>
          <w:rFonts w:hint="eastAsia" w:ascii="仿宋_GB2312" w:eastAsia="仿宋_GB2312"/>
          <w:sz w:val="28"/>
          <w:szCs w:val="28"/>
        </w:rPr>
        <w:fldChar w:fldCharType="end"/>
      </w:r>
      <w:r>
        <w:rPr>
          <w:rFonts w:hint="eastAsia" w:ascii="仿宋_GB2312" w:eastAsia="仿宋_GB2312"/>
          <w:sz w:val="28"/>
          <w:szCs w:val="28"/>
        </w:rPr>
        <w:fldChar w:fldCharType="end"/>
      </w:r>
    </w:p>
    <w:p>
      <w:pPr>
        <w:pStyle w:val="14"/>
        <w:tabs>
          <w:tab w:val="right" w:leader="dot" w:pos="8296"/>
        </w:tabs>
        <w:spacing w:before="0" w:after="0" w:line="360" w:lineRule="auto"/>
        <w:rPr>
          <w:rFonts w:ascii="仿宋_GB2312" w:eastAsia="仿宋_GB2312" w:cstheme="minorBidi"/>
          <w:b w:val="0"/>
          <w:bCs w:val="0"/>
          <w:caps w:val="0"/>
          <w:sz w:val="28"/>
          <w:szCs w:val="28"/>
        </w:rPr>
      </w:pPr>
      <w:r>
        <w:fldChar w:fldCharType="begin"/>
      </w:r>
      <w:r>
        <w:instrText xml:space="preserve"> HYPERLINK \l "_Toc119246995" </w:instrText>
      </w:r>
      <w:r>
        <w:fldChar w:fldCharType="separate"/>
      </w:r>
      <w:r>
        <w:rPr>
          <w:rStyle w:val="24"/>
          <w:rFonts w:hint="eastAsia" w:ascii="仿宋_GB2312" w:hAnsi="黑体" w:eastAsia="仿宋_GB2312"/>
          <w:b w:val="0"/>
          <w:bCs w:val="0"/>
          <w:sz w:val="28"/>
          <w:szCs w:val="28"/>
        </w:rPr>
        <w:t>第四章 加强矿产资源勘查开发利用与保护</w:t>
      </w:r>
      <w:r>
        <w:rPr>
          <w:rFonts w:hint="eastAsia" w:ascii="仿宋_GB2312" w:eastAsia="仿宋_GB2312"/>
          <w:b w:val="0"/>
          <w:bCs w:val="0"/>
          <w:sz w:val="28"/>
          <w:szCs w:val="28"/>
        </w:rPr>
        <w:tab/>
      </w:r>
      <w:r>
        <w:rPr>
          <w:rFonts w:hint="eastAsia" w:ascii="仿宋_GB2312" w:eastAsia="仿宋_GB2312"/>
          <w:b w:val="0"/>
          <w:bCs w:val="0"/>
          <w:sz w:val="28"/>
          <w:szCs w:val="28"/>
        </w:rPr>
        <w:fldChar w:fldCharType="begin"/>
      </w:r>
      <w:r>
        <w:rPr>
          <w:rFonts w:hint="eastAsia" w:ascii="仿宋_GB2312" w:eastAsia="仿宋_GB2312"/>
          <w:b w:val="0"/>
          <w:bCs w:val="0"/>
          <w:sz w:val="28"/>
          <w:szCs w:val="28"/>
        </w:rPr>
        <w:instrText xml:space="preserve"> PAGEREF _Toc119246995 \h </w:instrText>
      </w:r>
      <w:r>
        <w:rPr>
          <w:rFonts w:hint="eastAsia" w:ascii="仿宋_GB2312" w:eastAsia="仿宋_GB2312"/>
          <w:b w:val="0"/>
          <w:bCs w:val="0"/>
          <w:sz w:val="28"/>
          <w:szCs w:val="28"/>
        </w:rPr>
        <w:fldChar w:fldCharType="separate"/>
      </w:r>
      <w:r>
        <w:rPr>
          <w:rFonts w:ascii="仿宋_GB2312" w:eastAsia="仿宋_GB2312"/>
          <w:b w:val="0"/>
          <w:bCs w:val="0"/>
          <w:sz w:val="28"/>
          <w:szCs w:val="28"/>
        </w:rPr>
        <w:t>20</w:t>
      </w:r>
      <w:r>
        <w:rPr>
          <w:rFonts w:hint="eastAsia" w:ascii="仿宋_GB2312" w:eastAsia="仿宋_GB2312"/>
          <w:b w:val="0"/>
          <w:bCs w:val="0"/>
          <w:sz w:val="28"/>
          <w:szCs w:val="28"/>
        </w:rPr>
        <w:fldChar w:fldCharType="end"/>
      </w:r>
      <w:r>
        <w:rPr>
          <w:rFonts w:hint="eastAsia" w:ascii="仿宋_GB2312" w:eastAsia="仿宋_GB2312"/>
          <w:b w:val="0"/>
          <w:bCs w:val="0"/>
          <w:sz w:val="28"/>
          <w:szCs w:val="28"/>
        </w:rPr>
        <w:fldChar w:fldCharType="end"/>
      </w:r>
    </w:p>
    <w:p>
      <w:pPr>
        <w:pStyle w:val="17"/>
        <w:tabs>
          <w:tab w:val="right" w:leader="dot" w:pos="8296"/>
        </w:tabs>
        <w:spacing w:line="360" w:lineRule="auto"/>
        <w:ind w:left="315" w:leftChars="150"/>
        <w:rPr>
          <w:rFonts w:ascii="仿宋_GB2312" w:eastAsia="仿宋_GB2312" w:cstheme="minorBidi"/>
          <w:smallCaps w:val="0"/>
          <w:sz w:val="28"/>
          <w:szCs w:val="28"/>
        </w:rPr>
      </w:pPr>
      <w:r>
        <w:fldChar w:fldCharType="begin"/>
      </w:r>
      <w:r>
        <w:instrText xml:space="preserve"> HYPERLINK \l "_Toc119246996" </w:instrText>
      </w:r>
      <w:r>
        <w:fldChar w:fldCharType="separate"/>
      </w:r>
      <w:r>
        <w:rPr>
          <w:rStyle w:val="24"/>
          <w:rFonts w:hint="eastAsia" w:ascii="仿宋_GB2312" w:hAnsi="黑体" w:eastAsia="仿宋_GB2312"/>
          <w:sz w:val="28"/>
          <w:szCs w:val="28"/>
        </w:rPr>
        <w:t>第一节 合理调控资源开发强度</w:t>
      </w:r>
      <w:r>
        <w:rPr>
          <w:rFonts w:hint="eastAsia" w:ascii="仿宋_GB2312" w:eastAsia="仿宋_GB2312"/>
          <w:sz w:val="28"/>
          <w:szCs w:val="28"/>
        </w:rPr>
        <w:tab/>
      </w:r>
      <w:r>
        <w:rPr>
          <w:rFonts w:hint="eastAsia" w:ascii="仿宋_GB2312" w:eastAsia="仿宋_GB2312"/>
          <w:sz w:val="28"/>
          <w:szCs w:val="28"/>
        </w:rPr>
        <w:fldChar w:fldCharType="begin"/>
      </w:r>
      <w:r>
        <w:rPr>
          <w:rFonts w:hint="eastAsia" w:ascii="仿宋_GB2312" w:eastAsia="仿宋_GB2312"/>
          <w:sz w:val="28"/>
          <w:szCs w:val="28"/>
        </w:rPr>
        <w:instrText xml:space="preserve"> PAGEREF _Toc119246996 \h </w:instrText>
      </w:r>
      <w:r>
        <w:rPr>
          <w:rFonts w:hint="eastAsia" w:ascii="仿宋_GB2312" w:eastAsia="仿宋_GB2312"/>
          <w:sz w:val="28"/>
          <w:szCs w:val="28"/>
        </w:rPr>
        <w:fldChar w:fldCharType="separate"/>
      </w:r>
      <w:r>
        <w:rPr>
          <w:rFonts w:ascii="仿宋_GB2312" w:eastAsia="仿宋_GB2312"/>
          <w:sz w:val="28"/>
          <w:szCs w:val="28"/>
        </w:rPr>
        <w:t>20</w:t>
      </w:r>
      <w:r>
        <w:rPr>
          <w:rFonts w:hint="eastAsia" w:ascii="仿宋_GB2312" w:eastAsia="仿宋_GB2312"/>
          <w:sz w:val="28"/>
          <w:szCs w:val="28"/>
        </w:rPr>
        <w:fldChar w:fldCharType="end"/>
      </w:r>
      <w:r>
        <w:rPr>
          <w:rFonts w:hint="eastAsia" w:ascii="仿宋_GB2312" w:eastAsia="仿宋_GB2312"/>
          <w:sz w:val="28"/>
          <w:szCs w:val="28"/>
        </w:rPr>
        <w:fldChar w:fldCharType="end"/>
      </w:r>
    </w:p>
    <w:p>
      <w:pPr>
        <w:pStyle w:val="17"/>
        <w:tabs>
          <w:tab w:val="right" w:leader="dot" w:pos="8296"/>
        </w:tabs>
        <w:spacing w:line="360" w:lineRule="auto"/>
        <w:ind w:left="315" w:leftChars="150"/>
        <w:rPr>
          <w:rFonts w:ascii="仿宋_GB2312" w:eastAsia="仿宋_GB2312" w:cstheme="minorBidi"/>
          <w:smallCaps w:val="0"/>
          <w:sz w:val="28"/>
          <w:szCs w:val="28"/>
        </w:rPr>
      </w:pPr>
      <w:r>
        <w:fldChar w:fldCharType="begin"/>
      </w:r>
      <w:r>
        <w:instrText xml:space="preserve"> HYPERLINK \l "_Toc119246997" </w:instrText>
      </w:r>
      <w:r>
        <w:fldChar w:fldCharType="separate"/>
      </w:r>
      <w:r>
        <w:rPr>
          <w:rStyle w:val="24"/>
          <w:rFonts w:hint="eastAsia" w:ascii="仿宋_GB2312" w:hAnsi="黑体" w:eastAsia="仿宋_GB2312"/>
          <w:sz w:val="28"/>
          <w:szCs w:val="28"/>
        </w:rPr>
        <w:t>第二节 优化资源开发利用结构</w:t>
      </w:r>
      <w:r>
        <w:rPr>
          <w:rFonts w:hint="eastAsia" w:ascii="仿宋_GB2312" w:eastAsia="仿宋_GB2312"/>
          <w:sz w:val="28"/>
          <w:szCs w:val="28"/>
        </w:rPr>
        <w:tab/>
      </w:r>
      <w:r>
        <w:rPr>
          <w:rFonts w:hint="eastAsia" w:ascii="仿宋_GB2312" w:eastAsia="仿宋_GB2312"/>
          <w:sz w:val="28"/>
          <w:szCs w:val="28"/>
        </w:rPr>
        <w:fldChar w:fldCharType="begin"/>
      </w:r>
      <w:r>
        <w:rPr>
          <w:rFonts w:hint="eastAsia" w:ascii="仿宋_GB2312" w:eastAsia="仿宋_GB2312"/>
          <w:sz w:val="28"/>
          <w:szCs w:val="28"/>
        </w:rPr>
        <w:instrText xml:space="preserve"> PAGEREF _Toc119246997 \h </w:instrText>
      </w:r>
      <w:r>
        <w:rPr>
          <w:rFonts w:hint="eastAsia" w:ascii="仿宋_GB2312" w:eastAsia="仿宋_GB2312"/>
          <w:sz w:val="28"/>
          <w:szCs w:val="28"/>
        </w:rPr>
        <w:fldChar w:fldCharType="separate"/>
      </w:r>
      <w:r>
        <w:rPr>
          <w:rFonts w:ascii="仿宋_GB2312" w:eastAsia="仿宋_GB2312"/>
          <w:sz w:val="28"/>
          <w:szCs w:val="28"/>
        </w:rPr>
        <w:t>21</w:t>
      </w:r>
      <w:r>
        <w:rPr>
          <w:rFonts w:hint="eastAsia" w:ascii="仿宋_GB2312" w:eastAsia="仿宋_GB2312"/>
          <w:sz w:val="28"/>
          <w:szCs w:val="28"/>
        </w:rPr>
        <w:fldChar w:fldCharType="end"/>
      </w:r>
      <w:r>
        <w:rPr>
          <w:rFonts w:hint="eastAsia" w:ascii="仿宋_GB2312" w:eastAsia="仿宋_GB2312"/>
          <w:sz w:val="28"/>
          <w:szCs w:val="28"/>
        </w:rPr>
        <w:fldChar w:fldCharType="end"/>
      </w:r>
    </w:p>
    <w:p>
      <w:pPr>
        <w:pStyle w:val="17"/>
        <w:tabs>
          <w:tab w:val="right" w:leader="dot" w:pos="8296"/>
        </w:tabs>
        <w:spacing w:line="360" w:lineRule="auto"/>
        <w:ind w:left="315" w:leftChars="150"/>
        <w:rPr>
          <w:rFonts w:ascii="仿宋_GB2312" w:eastAsia="仿宋_GB2312" w:cstheme="minorBidi"/>
          <w:smallCaps w:val="0"/>
          <w:sz w:val="28"/>
          <w:szCs w:val="28"/>
        </w:rPr>
      </w:pPr>
      <w:r>
        <w:fldChar w:fldCharType="begin"/>
      </w:r>
      <w:r>
        <w:instrText xml:space="preserve"> HYPERLINK \l "_Toc119246998" </w:instrText>
      </w:r>
      <w:r>
        <w:fldChar w:fldCharType="separate"/>
      </w:r>
      <w:r>
        <w:rPr>
          <w:rStyle w:val="24"/>
          <w:rFonts w:hint="eastAsia" w:ascii="仿宋_GB2312" w:hAnsi="黑体" w:eastAsia="仿宋_GB2312"/>
          <w:sz w:val="28"/>
          <w:szCs w:val="28"/>
        </w:rPr>
        <w:t>第三节 严格规划准入管理</w:t>
      </w:r>
      <w:r>
        <w:rPr>
          <w:rFonts w:hint="eastAsia" w:ascii="仿宋_GB2312" w:eastAsia="仿宋_GB2312"/>
          <w:sz w:val="28"/>
          <w:szCs w:val="28"/>
        </w:rPr>
        <w:tab/>
      </w:r>
      <w:r>
        <w:rPr>
          <w:rFonts w:hint="eastAsia" w:ascii="仿宋_GB2312" w:eastAsia="仿宋_GB2312"/>
          <w:sz w:val="28"/>
          <w:szCs w:val="28"/>
        </w:rPr>
        <w:fldChar w:fldCharType="begin"/>
      </w:r>
      <w:r>
        <w:rPr>
          <w:rFonts w:hint="eastAsia" w:ascii="仿宋_GB2312" w:eastAsia="仿宋_GB2312"/>
          <w:sz w:val="28"/>
          <w:szCs w:val="28"/>
        </w:rPr>
        <w:instrText xml:space="preserve"> PAGEREF _Toc119246998 \h </w:instrText>
      </w:r>
      <w:r>
        <w:rPr>
          <w:rFonts w:hint="eastAsia" w:ascii="仿宋_GB2312" w:eastAsia="仿宋_GB2312"/>
          <w:sz w:val="28"/>
          <w:szCs w:val="28"/>
        </w:rPr>
        <w:fldChar w:fldCharType="separate"/>
      </w:r>
      <w:r>
        <w:rPr>
          <w:rFonts w:ascii="仿宋_GB2312" w:eastAsia="仿宋_GB2312"/>
          <w:sz w:val="28"/>
          <w:szCs w:val="28"/>
        </w:rPr>
        <w:t>22</w:t>
      </w:r>
      <w:r>
        <w:rPr>
          <w:rFonts w:hint="eastAsia" w:ascii="仿宋_GB2312" w:eastAsia="仿宋_GB2312"/>
          <w:sz w:val="28"/>
          <w:szCs w:val="28"/>
        </w:rPr>
        <w:fldChar w:fldCharType="end"/>
      </w:r>
      <w:r>
        <w:rPr>
          <w:rFonts w:hint="eastAsia" w:ascii="仿宋_GB2312" w:eastAsia="仿宋_GB2312"/>
          <w:sz w:val="28"/>
          <w:szCs w:val="28"/>
        </w:rPr>
        <w:fldChar w:fldCharType="end"/>
      </w:r>
    </w:p>
    <w:p>
      <w:pPr>
        <w:pStyle w:val="17"/>
        <w:tabs>
          <w:tab w:val="right" w:leader="dot" w:pos="8296"/>
        </w:tabs>
        <w:spacing w:line="360" w:lineRule="auto"/>
        <w:ind w:left="315" w:leftChars="150"/>
        <w:rPr>
          <w:rFonts w:ascii="仿宋_GB2312" w:eastAsia="仿宋_GB2312" w:cstheme="minorBidi"/>
          <w:smallCaps w:val="0"/>
          <w:sz w:val="28"/>
          <w:szCs w:val="28"/>
        </w:rPr>
      </w:pPr>
      <w:r>
        <w:fldChar w:fldCharType="begin"/>
      </w:r>
      <w:r>
        <w:instrText xml:space="preserve"> HYPERLINK \l "_Toc119246999" </w:instrText>
      </w:r>
      <w:r>
        <w:fldChar w:fldCharType="separate"/>
      </w:r>
      <w:r>
        <w:rPr>
          <w:rStyle w:val="24"/>
          <w:rFonts w:hint="eastAsia" w:ascii="仿宋_GB2312" w:hAnsi="黑体" w:eastAsia="仿宋_GB2312"/>
          <w:sz w:val="28"/>
          <w:szCs w:val="28"/>
        </w:rPr>
        <w:t>第四节 提升矿政管理能力</w:t>
      </w:r>
      <w:r>
        <w:rPr>
          <w:rFonts w:hint="eastAsia" w:ascii="仿宋_GB2312" w:eastAsia="仿宋_GB2312"/>
          <w:sz w:val="28"/>
          <w:szCs w:val="28"/>
        </w:rPr>
        <w:tab/>
      </w:r>
      <w:r>
        <w:rPr>
          <w:rFonts w:hint="eastAsia" w:ascii="仿宋_GB2312" w:eastAsia="仿宋_GB2312"/>
          <w:sz w:val="28"/>
          <w:szCs w:val="28"/>
        </w:rPr>
        <w:fldChar w:fldCharType="begin"/>
      </w:r>
      <w:r>
        <w:rPr>
          <w:rFonts w:hint="eastAsia" w:ascii="仿宋_GB2312" w:eastAsia="仿宋_GB2312"/>
          <w:sz w:val="28"/>
          <w:szCs w:val="28"/>
        </w:rPr>
        <w:instrText xml:space="preserve"> PAGEREF _Toc119246999 \h </w:instrText>
      </w:r>
      <w:r>
        <w:rPr>
          <w:rFonts w:hint="eastAsia" w:ascii="仿宋_GB2312" w:eastAsia="仿宋_GB2312"/>
          <w:sz w:val="28"/>
          <w:szCs w:val="28"/>
        </w:rPr>
        <w:fldChar w:fldCharType="separate"/>
      </w:r>
      <w:r>
        <w:rPr>
          <w:rFonts w:ascii="仿宋_GB2312" w:eastAsia="仿宋_GB2312"/>
          <w:sz w:val="28"/>
          <w:szCs w:val="28"/>
        </w:rPr>
        <w:t>25</w:t>
      </w:r>
      <w:r>
        <w:rPr>
          <w:rFonts w:hint="eastAsia" w:ascii="仿宋_GB2312" w:eastAsia="仿宋_GB2312"/>
          <w:sz w:val="28"/>
          <w:szCs w:val="28"/>
        </w:rPr>
        <w:fldChar w:fldCharType="end"/>
      </w:r>
      <w:r>
        <w:rPr>
          <w:rFonts w:hint="eastAsia" w:ascii="仿宋_GB2312" w:eastAsia="仿宋_GB2312"/>
          <w:sz w:val="28"/>
          <w:szCs w:val="28"/>
        </w:rPr>
        <w:fldChar w:fldCharType="end"/>
      </w:r>
    </w:p>
    <w:p>
      <w:pPr>
        <w:pStyle w:val="14"/>
        <w:tabs>
          <w:tab w:val="right" w:leader="dot" w:pos="8296"/>
        </w:tabs>
        <w:spacing w:before="0" w:after="0" w:line="360" w:lineRule="auto"/>
        <w:rPr>
          <w:rFonts w:ascii="仿宋_GB2312" w:eastAsia="仿宋_GB2312" w:cstheme="minorBidi"/>
          <w:b w:val="0"/>
          <w:bCs w:val="0"/>
          <w:caps w:val="0"/>
          <w:sz w:val="28"/>
          <w:szCs w:val="28"/>
        </w:rPr>
      </w:pPr>
      <w:r>
        <w:fldChar w:fldCharType="begin"/>
      </w:r>
      <w:r>
        <w:instrText xml:space="preserve"> HYPERLINK \l "_Toc119247000" </w:instrText>
      </w:r>
      <w:r>
        <w:fldChar w:fldCharType="separate"/>
      </w:r>
      <w:r>
        <w:rPr>
          <w:rStyle w:val="24"/>
          <w:rFonts w:hint="eastAsia" w:ascii="仿宋_GB2312" w:hAnsi="黑体" w:eastAsia="仿宋_GB2312"/>
          <w:b w:val="0"/>
          <w:bCs w:val="0"/>
          <w:sz w:val="28"/>
          <w:szCs w:val="28"/>
        </w:rPr>
        <w:t>第五章 绿色矿业发展与矿区生态保护</w:t>
      </w:r>
      <w:r>
        <w:rPr>
          <w:rFonts w:hint="eastAsia" w:ascii="仿宋_GB2312" w:eastAsia="仿宋_GB2312"/>
          <w:b w:val="0"/>
          <w:bCs w:val="0"/>
          <w:sz w:val="28"/>
          <w:szCs w:val="28"/>
        </w:rPr>
        <w:tab/>
      </w:r>
      <w:r>
        <w:rPr>
          <w:rFonts w:hint="eastAsia" w:ascii="仿宋_GB2312" w:eastAsia="仿宋_GB2312"/>
          <w:b w:val="0"/>
          <w:bCs w:val="0"/>
          <w:sz w:val="28"/>
          <w:szCs w:val="28"/>
        </w:rPr>
        <w:fldChar w:fldCharType="begin"/>
      </w:r>
      <w:r>
        <w:rPr>
          <w:rFonts w:hint="eastAsia" w:ascii="仿宋_GB2312" w:eastAsia="仿宋_GB2312"/>
          <w:b w:val="0"/>
          <w:bCs w:val="0"/>
          <w:sz w:val="28"/>
          <w:szCs w:val="28"/>
        </w:rPr>
        <w:instrText xml:space="preserve"> PAGEREF _Toc119247000 \h </w:instrText>
      </w:r>
      <w:r>
        <w:rPr>
          <w:rFonts w:hint="eastAsia" w:ascii="仿宋_GB2312" w:eastAsia="仿宋_GB2312"/>
          <w:b w:val="0"/>
          <w:bCs w:val="0"/>
          <w:sz w:val="28"/>
          <w:szCs w:val="28"/>
        </w:rPr>
        <w:fldChar w:fldCharType="separate"/>
      </w:r>
      <w:r>
        <w:rPr>
          <w:rFonts w:ascii="仿宋_GB2312" w:eastAsia="仿宋_GB2312"/>
          <w:b w:val="0"/>
          <w:bCs w:val="0"/>
          <w:sz w:val="28"/>
          <w:szCs w:val="28"/>
        </w:rPr>
        <w:t>28</w:t>
      </w:r>
      <w:r>
        <w:rPr>
          <w:rFonts w:hint="eastAsia" w:ascii="仿宋_GB2312" w:eastAsia="仿宋_GB2312"/>
          <w:b w:val="0"/>
          <w:bCs w:val="0"/>
          <w:sz w:val="28"/>
          <w:szCs w:val="28"/>
        </w:rPr>
        <w:fldChar w:fldCharType="end"/>
      </w:r>
      <w:r>
        <w:rPr>
          <w:rFonts w:hint="eastAsia" w:ascii="仿宋_GB2312" w:eastAsia="仿宋_GB2312"/>
          <w:b w:val="0"/>
          <w:bCs w:val="0"/>
          <w:sz w:val="28"/>
          <w:szCs w:val="28"/>
        </w:rPr>
        <w:fldChar w:fldCharType="end"/>
      </w:r>
    </w:p>
    <w:p>
      <w:pPr>
        <w:pStyle w:val="17"/>
        <w:tabs>
          <w:tab w:val="right" w:leader="dot" w:pos="8296"/>
        </w:tabs>
        <w:spacing w:line="360" w:lineRule="auto"/>
        <w:ind w:left="315" w:leftChars="150"/>
        <w:rPr>
          <w:rFonts w:ascii="仿宋_GB2312" w:eastAsia="仿宋_GB2312" w:cstheme="minorBidi"/>
          <w:smallCaps w:val="0"/>
          <w:sz w:val="28"/>
          <w:szCs w:val="28"/>
        </w:rPr>
      </w:pPr>
      <w:r>
        <w:fldChar w:fldCharType="begin"/>
      </w:r>
      <w:r>
        <w:instrText xml:space="preserve"> HYPERLINK \l "_Toc119247001" </w:instrText>
      </w:r>
      <w:r>
        <w:fldChar w:fldCharType="separate"/>
      </w:r>
      <w:r>
        <w:rPr>
          <w:rStyle w:val="24"/>
          <w:rFonts w:hint="eastAsia" w:ascii="仿宋_GB2312" w:hAnsi="黑体" w:eastAsia="仿宋_GB2312"/>
          <w:sz w:val="28"/>
          <w:szCs w:val="28"/>
        </w:rPr>
        <w:t>第一节 严格绿色勘查要求</w:t>
      </w:r>
      <w:r>
        <w:rPr>
          <w:rFonts w:hint="eastAsia" w:ascii="仿宋_GB2312" w:eastAsia="仿宋_GB2312"/>
          <w:sz w:val="28"/>
          <w:szCs w:val="28"/>
        </w:rPr>
        <w:tab/>
      </w:r>
      <w:r>
        <w:rPr>
          <w:rFonts w:hint="eastAsia" w:ascii="仿宋_GB2312" w:eastAsia="仿宋_GB2312"/>
          <w:sz w:val="28"/>
          <w:szCs w:val="28"/>
        </w:rPr>
        <w:fldChar w:fldCharType="begin"/>
      </w:r>
      <w:r>
        <w:rPr>
          <w:rFonts w:hint="eastAsia" w:ascii="仿宋_GB2312" w:eastAsia="仿宋_GB2312"/>
          <w:sz w:val="28"/>
          <w:szCs w:val="28"/>
        </w:rPr>
        <w:instrText xml:space="preserve"> PAGEREF _Toc119247001 \h </w:instrText>
      </w:r>
      <w:r>
        <w:rPr>
          <w:rFonts w:hint="eastAsia" w:ascii="仿宋_GB2312" w:eastAsia="仿宋_GB2312"/>
          <w:sz w:val="28"/>
          <w:szCs w:val="28"/>
        </w:rPr>
        <w:fldChar w:fldCharType="separate"/>
      </w:r>
      <w:r>
        <w:rPr>
          <w:rFonts w:ascii="仿宋_GB2312" w:eastAsia="仿宋_GB2312"/>
          <w:sz w:val="28"/>
          <w:szCs w:val="28"/>
        </w:rPr>
        <w:t>28</w:t>
      </w:r>
      <w:r>
        <w:rPr>
          <w:rFonts w:hint="eastAsia" w:ascii="仿宋_GB2312" w:eastAsia="仿宋_GB2312"/>
          <w:sz w:val="28"/>
          <w:szCs w:val="28"/>
        </w:rPr>
        <w:fldChar w:fldCharType="end"/>
      </w:r>
      <w:r>
        <w:rPr>
          <w:rFonts w:hint="eastAsia" w:ascii="仿宋_GB2312" w:eastAsia="仿宋_GB2312"/>
          <w:sz w:val="28"/>
          <w:szCs w:val="28"/>
        </w:rPr>
        <w:fldChar w:fldCharType="end"/>
      </w:r>
    </w:p>
    <w:p>
      <w:pPr>
        <w:pStyle w:val="17"/>
        <w:tabs>
          <w:tab w:val="right" w:leader="dot" w:pos="8296"/>
        </w:tabs>
        <w:spacing w:line="360" w:lineRule="auto"/>
        <w:ind w:left="315" w:leftChars="150"/>
        <w:rPr>
          <w:rFonts w:ascii="仿宋_GB2312" w:eastAsia="仿宋_GB2312" w:cstheme="minorBidi"/>
          <w:smallCaps w:val="0"/>
          <w:sz w:val="28"/>
          <w:szCs w:val="28"/>
        </w:rPr>
      </w:pPr>
      <w:r>
        <w:fldChar w:fldCharType="begin"/>
      </w:r>
      <w:r>
        <w:instrText xml:space="preserve"> HYPERLINK \l "_Toc119247002" </w:instrText>
      </w:r>
      <w:r>
        <w:fldChar w:fldCharType="separate"/>
      </w:r>
      <w:r>
        <w:rPr>
          <w:rStyle w:val="24"/>
          <w:rFonts w:hint="eastAsia" w:ascii="仿宋_GB2312" w:hAnsi="黑体" w:eastAsia="仿宋_GB2312"/>
          <w:sz w:val="28"/>
          <w:szCs w:val="28"/>
        </w:rPr>
        <w:t>第二节 加快推进绿色矿山建设</w:t>
      </w:r>
      <w:r>
        <w:rPr>
          <w:rFonts w:hint="eastAsia" w:ascii="仿宋_GB2312" w:eastAsia="仿宋_GB2312"/>
          <w:sz w:val="28"/>
          <w:szCs w:val="28"/>
        </w:rPr>
        <w:tab/>
      </w:r>
      <w:r>
        <w:rPr>
          <w:rFonts w:hint="eastAsia" w:ascii="仿宋_GB2312" w:eastAsia="仿宋_GB2312"/>
          <w:sz w:val="28"/>
          <w:szCs w:val="28"/>
        </w:rPr>
        <w:fldChar w:fldCharType="begin"/>
      </w:r>
      <w:r>
        <w:rPr>
          <w:rFonts w:hint="eastAsia" w:ascii="仿宋_GB2312" w:eastAsia="仿宋_GB2312"/>
          <w:sz w:val="28"/>
          <w:szCs w:val="28"/>
        </w:rPr>
        <w:instrText xml:space="preserve"> PAGEREF _Toc119247002 \h </w:instrText>
      </w:r>
      <w:r>
        <w:rPr>
          <w:rFonts w:hint="eastAsia" w:ascii="仿宋_GB2312" w:eastAsia="仿宋_GB2312"/>
          <w:sz w:val="28"/>
          <w:szCs w:val="28"/>
        </w:rPr>
        <w:fldChar w:fldCharType="separate"/>
      </w:r>
      <w:r>
        <w:rPr>
          <w:rFonts w:ascii="仿宋_GB2312" w:eastAsia="仿宋_GB2312"/>
          <w:sz w:val="28"/>
          <w:szCs w:val="28"/>
        </w:rPr>
        <w:t>29</w:t>
      </w:r>
      <w:r>
        <w:rPr>
          <w:rFonts w:hint="eastAsia" w:ascii="仿宋_GB2312" w:eastAsia="仿宋_GB2312"/>
          <w:sz w:val="28"/>
          <w:szCs w:val="28"/>
        </w:rPr>
        <w:fldChar w:fldCharType="end"/>
      </w:r>
      <w:r>
        <w:rPr>
          <w:rFonts w:hint="eastAsia" w:ascii="仿宋_GB2312" w:eastAsia="仿宋_GB2312"/>
          <w:sz w:val="28"/>
          <w:szCs w:val="28"/>
        </w:rPr>
        <w:fldChar w:fldCharType="end"/>
      </w:r>
    </w:p>
    <w:p>
      <w:pPr>
        <w:pStyle w:val="17"/>
        <w:tabs>
          <w:tab w:val="right" w:leader="dot" w:pos="8296"/>
        </w:tabs>
        <w:spacing w:line="360" w:lineRule="auto"/>
        <w:ind w:left="315" w:leftChars="150"/>
        <w:rPr>
          <w:rFonts w:ascii="仿宋_GB2312" w:eastAsia="仿宋_GB2312" w:cstheme="minorBidi"/>
          <w:smallCaps w:val="0"/>
          <w:sz w:val="28"/>
          <w:szCs w:val="28"/>
        </w:rPr>
      </w:pPr>
      <w:r>
        <w:fldChar w:fldCharType="begin"/>
      </w:r>
      <w:r>
        <w:instrText xml:space="preserve"> HYPERLINK \l "_Toc119247003" </w:instrText>
      </w:r>
      <w:r>
        <w:fldChar w:fldCharType="separate"/>
      </w:r>
      <w:r>
        <w:rPr>
          <w:rStyle w:val="24"/>
          <w:rFonts w:hint="eastAsia" w:ascii="仿宋_GB2312" w:hAnsi="黑体" w:eastAsia="仿宋_GB2312"/>
          <w:sz w:val="28"/>
          <w:szCs w:val="28"/>
        </w:rPr>
        <w:t>第三节 加强矿区生态保护</w:t>
      </w:r>
      <w:r>
        <w:rPr>
          <w:rFonts w:hint="eastAsia" w:ascii="仿宋_GB2312" w:eastAsia="仿宋_GB2312"/>
          <w:sz w:val="28"/>
          <w:szCs w:val="28"/>
        </w:rPr>
        <w:tab/>
      </w:r>
      <w:r>
        <w:rPr>
          <w:rFonts w:hint="eastAsia" w:ascii="仿宋_GB2312" w:eastAsia="仿宋_GB2312"/>
          <w:sz w:val="28"/>
          <w:szCs w:val="28"/>
        </w:rPr>
        <w:fldChar w:fldCharType="begin"/>
      </w:r>
      <w:r>
        <w:rPr>
          <w:rFonts w:hint="eastAsia" w:ascii="仿宋_GB2312" w:eastAsia="仿宋_GB2312"/>
          <w:sz w:val="28"/>
          <w:szCs w:val="28"/>
        </w:rPr>
        <w:instrText xml:space="preserve"> PAGEREF _Toc119247003 \h </w:instrText>
      </w:r>
      <w:r>
        <w:rPr>
          <w:rFonts w:hint="eastAsia" w:ascii="仿宋_GB2312" w:eastAsia="仿宋_GB2312"/>
          <w:sz w:val="28"/>
          <w:szCs w:val="28"/>
        </w:rPr>
        <w:fldChar w:fldCharType="separate"/>
      </w:r>
      <w:r>
        <w:rPr>
          <w:rFonts w:ascii="仿宋_GB2312" w:eastAsia="仿宋_GB2312"/>
          <w:sz w:val="28"/>
          <w:szCs w:val="28"/>
        </w:rPr>
        <w:t>30</w:t>
      </w:r>
      <w:r>
        <w:rPr>
          <w:rFonts w:hint="eastAsia" w:ascii="仿宋_GB2312" w:eastAsia="仿宋_GB2312"/>
          <w:sz w:val="28"/>
          <w:szCs w:val="28"/>
        </w:rPr>
        <w:fldChar w:fldCharType="end"/>
      </w:r>
      <w:r>
        <w:rPr>
          <w:rFonts w:hint="eastAsia" w:ascii="仿宋_GB2312" w:eastAsia="仿宋_GB2312"/>
          <w:sz w:val="28"/>
          <w:szCs w:val="28"/>
        </w:rPr>
        <w:fldChar w:fldCharType="end"/>
      </w:r>
    </w:p>
    <w:p>
      <w:pPr>
        <w:pStyle w:val="14"/>
        <w:tabs>
          <w:tab w:val="right" w:leader="dot" w:pos="8296"/>
        </w:tabs>
        <w:spacing w:before="0" w:after="0" w:line="360" w:lineRule="auto"/>
        <w:rPr>
          <w:rFonts w:ascii="仿宋_GB2312" w:eastAsia="仿宋_GB2312" w:cstheme="minorBidi"/>
          <w:b w:val="0"/>
          <w:bCs w:val="0"/>
          <w:caps w:val="0"/>
          <w:sz w:val="28"/>
          <w:szCs w:val="28"/>
        </w:rPr>
      </w:pPr>
      <w:r>
        <w:fldChar w:fldCharType="begin"/>
      </w:r>
      <w:r>
        <w:instrText xml:space="preserve"> HYPERLINK \l "_Toc119247004" </w:instrText>
      </w:r>
      <w:r>
        <w:fldChar w:fldCharType="separate"/>
      </w:r>
      <w:r>
        <w:rPr>
          <w:rStyle w:val="24"/>
          <w:rFonts w:hint="eastAsia" w:ascii="仿宋_GB2312" w:hAnsi="黑体" w:eastAsia="仿宋_GB2312"/>
          <w:b w:val="0"/>
          <w:bCs w:val="0"/>
          <w:sz w:val="28"/>
          <w:szCs w:val="28"/>
        </w:rPr>
        <w:t>第六章 加强规划实施保障措施</w:t>
      </w:r>
      <w:r>
        <w:rPr>
          <w:rFonts w:hint="eastAsia" w:ascii="仿宋_GB2312" w:eastAsia="仿宋_GB2312"/>
          <w:b w:val="0"/>
          <w:bCs w:val="0"/>
          <w:sz w:val="28"/>
          <w:szCs w:val="28"/>
        </w:rPr>
        <w:tab/>
      </w:r>
      <w:r>
        <w:rPr>
          <w:rFonts w:hint="eastAsia" w:ascii="仿宋_GB2312" w:eastAsia="仿宋_GB2312"/>
          <w:b w:val="0"/>
          <w:bCs w:val="0"/>
          <w:sz w:val="28"/>
          <w:szCs w:val="28"/>
        </w:rPr>
        <w:fldChar w:fldCharType="begin"/>
      </w:r>
      <w:r>
        <w:rPr>
          <w:rFonts w:hint="eastAsia" w:ascii="仿宋_GB2312" w:eastAsia="仿宋_GB2312"/>
          <w:b w:val="0"/>
          <w:bCs w:val="0"/>
          <w:sz w:val="28"/>
          <w:szCs w:val="28"/>
        </w:rPr>
        <w:instrText xml:space="preserve"> PAGEREF _Toc119247004 \h </w:instrText>
      </w:r>
      <w:r>
        <w:rPr>
          <w:rFonts w:hint="eastAsia" w:ascii="仿宋_GB2312" w:eastAsia="仿宋_GB2312"/>
          <w:b w:val="0"/>
          <w:bCs w:val="0"/>
          <w:sz w:val="28"/>
          <w:szCs w:val="28"/>
        </w:rPr>
        <w:fldChar w:fldCharType="separate"/>
      </w:r>
      <w:r>
        <w:rPr>
          <w:rFonts w:ascii="仿宋_GB2312" w:eastAsia="仿宋_GB2312"/>
          <w:b w:val="0"/>
          <w:bCs w:val="0"/>
          <w:sz w:val="28"/>
          <w:szCs w:val="28"/>
        </w:rPr>
        <w:t>33</w:t>
      </w:r>
      <w:r>
        <w:rPr>
          <w:rFonts w:hint="eastAsia" w:ascii="仿宋_GB2312" w:eastAsia="仿宋_GB2312"/>
          <w:b w:val="0"/>
          <w:bCs w:val="0"/>
          <w:sz w:val="28"/>
          <w:szCs w:val="28"/>
        </w:rPr>
        <w:fldChar w:fldCharType="end"/>
      </w:r>
      <w:r>
        <w:rPr>
          <w:rFonts w:hint="eastAsia" w:ascii="仿宋_GB2312" w:eastAsia="仿宋_GB2312"/>
          <w:b w:val="0"/>
          <w:bCs w:val="0"/>
          <w:sz w:val="28"/>
          <w:szCs w:val="28"/>
        </w:rPr>
        <w:fldChar w:fldCharType="end"/>
      </w:r>
    </w:p>
    <w:p>
      <w:pPr>
        <w:pStyle w:val="14"/>
        <w:tabs>
          <w:tab w:val="right" w:leader="dot" w:pos="8296"/>
        </w:tabs>
        <w:spacing w:before="0" w:after="0" w:line="360" w:lineRule="auto"/>
        <w:rPr>
          <w:rFonts w:ascii="仿宋_GB2312" w:eastAsia="仿宋_GB2312"/>
          <w:sz w:val="30"/>
          <w:szCs w:val="30"/>
        </w:rPr>
      </w:pPr>
      <w:r>
        <w:rPr>
          <w:rFonts w:ascii="仿宋_GB2312" w:eastAsia="仿宋_GB2312"/>
          <w:sz w:val="30"/>
          <w:szCs w:val="30"/>
        </w:rPr>
        <w:fldChar w:fldCharType="end"/>
      </w:r>
      <w:r>
        <w:rPr>
          <w:rFonts w:hint="eastAsia" w:ascii="仿宋_GB2312" w:eastAsia="仿宋_GB2312"/>
          <w:sz w:val="30"/>
          <w:szCs w:val="30"/>
        </w:rPr>
        <w:t>附图目录</w:t>
      </w:r>
    </w:p>
    <w:p>
      <w:pPr>
        <w:spacing w:line="360" w:lineRule="auto"/>
        <w:rPr>
          <w:rFonts w:ascii="仿宋_GB2312" w:eastAsia="仿宋_GB2312"/>
          <w:sz w:val="28"/>
          <w:szCs w:val="28"/>
        </w:rPr>
      </w:pPr>
      <w:r>
        <w:rPr>
          <w:rFonts w:hint="eastAsia" w:ascii="仿宋_GB2312" w:eastAsia="仿宋_GB2312"/>
          <w:sz w:val="28"/>
          <w:szCs w:val="28"/>
        </w:rPr>
        <w:t>附图1  小金县矿产资源分布图</w:t>
      </w:r>
    </w:p>
    <w:p>
      <w:pPr>
        <w:spacing w:line="360" w:lineRule="auto"/>
        <w:rPr>
          <w:rFonts w:ascii="仿宋_GB2312" w:eastAsia="仿宋_GB2312"/>
          <w:sz w:val="28"/>
          <w:szCs w:val="28"/>
        </w:rPr>
      </w:pPr>
      <w:r>
        <w:rPr>
          <w:rFonts w:hint="eastAsia" w:ascii="仿宋_GB2312" w:eastAsia="仿宋_GB2312"/>
          <w:sz w:val="28"/>
          <w:szCs w:val="28"/>
        </w:rPr>
        <w:t>附图2  小金县矿产资源勘查开发利用现状图</w:t>
      </w:r>
    </w:p>
    <w:p>
      <w:pPr>
        <w:spacing w:line="360" w:lineRule="auto"/>
        <w:rPr>
          <w:rFonts w:ascii="仿宋_GB2312" w:eastAsia="仿宋_GB2312"/>
          <w:sz w:val="28"/>
          <w:szCs w:val="28"/>
        </w:rPr>
      </w:pPr>
      <w:r>
        <w:rPr>
          <w:rFonts w:hint="eastAsia" w:ascii="仿宋_GB2312" w:eastAsia="仿宋_GB2312"/>
          <w:sz w:val="28"/>
          <w:szCs w:val="28"/>
        </w:rPr>
        <w:t>附图3  小金县矿产资源勘查开发保护总体布局图</w:t>
      </w:r>
    </w:p>
    <w:p>
      <w:pPr>
        <w:spacing w:line="360" w:lineRule="auto"/>
        <w:rPr>
          <w:rFonts w:ascii="仿宋_GB2312" w:eastAsia="仿宋_GB2312"/>
          <w:sz w:val="28"/>
          <w:szCs w:val="28"/>
        </w:rPr>
      </w:pPr>
      <w:r>
        <w:rPr>
          <w:rFonts w:hint="eastAsia" w:ascii="仿宋_GB2312" w:eastAsia="仿宋_GB2312"/>
          <w:sz w:val="28"/>
          <w:szCs w:val="28"/>
        </w:rPr>
        <w:t>附图4  小金县矿产资源勘查规划图</w:t>
      </w:r>
    </w:p>
    <w:p>
      <w:pPr>
        <w:spacing w:line="360" w:lineRule="auto"/>
        <w:rPr>
          <w:rFonts w:ascii="仿宋_GB2312" w:eastAsia="仿宋_GB2312"/>
          <w:sz w:val="28"/>
          <w:szCs w:val="28"/>
        </w:rPr>
      </w:pPr>
      <w:r>
        <w:rPr>
          <w:rFonts w:hint="eastAsia" w:ascii="仿宋_GB2312" w:eastAsia="仿宋_GB2312"/>
          <w:sz w:val="28"/>
          <w:szCs w:val="28"/>
        </w:rPr>
        <w:t xml:space="preserve">附图5  小金县矿产资源开采规划图 </w:t>
      </w:r>
    </w:p>
    <w:p>
      <w:pPr>
        <w:pStyle w:val="14"/>
        <w:tabs>
          <w:tab w:val="right" w:leader="dot" w:pos="8296"/>
        </w:tabs>
        <w:rPr>
          <w:rFonts w:ascii="仿宋_GB2312" w:eastAsia="仿宋_GB2312"/>
          <w:sz w:val="30"/>
          <w:szCs w:val="30"/>
        </w:rPr>
      </w:pPr>
      <w:r>
        <w:rPr>
          <w:rFonts w:hint="eastAsia" w:ascii="仿宋_GB2312" w:eastAsia="仿宋_GB2312"/>
          <w:sz w:val="30"/>
          <w:szCs w:val="30"/>
        </w:rPr>
        <w:t>附表目录</w:t>
      </w:r>
    </w:p>
    <w:p>
      <w:pPr>
        <w:spacing w:line="360" w:lineRule="auto"/>
        <w:rPr>
          <w:rFonts w:ascii="仿宋_GB2312" w:eastAsia="仿宋_GB2312"/>
          <w:sz w:val="28"/>
          <w:szCs w:val="28"/>
        </w:rPr>
      </w:pPr>
      <w:r>
        <w:rPr>
          <w:rFonts w:hint="eastAsia" w:ascii="仿宋_GB2312" w:eastAsia="仿宋_GB2312"/>
          <w:sz w:val="28"/>
          <w:szCs w:val="28"/>
        </w:rPr>
        <w:t>附表</w:t>
      </w:r>
      <w:r>
        <w:rPr>
          <w:rFonts w:ascii="仿宋_GB2312" w:eastAsia="仿宋_GB2312"/>
          <w:sz w:val="28"/>
          <w:szCs w:val="28"/>
        </w:rPr>
        <w:t>1</w:t>
      </w:r>
      <w:r>
        <w:rPr>
          <w:rFonts w:hint="eastAsia" w:ascii="仿宋_GB2312" w:eastAsia="仿宋_GB2312"/>
          <w:sz w:val="28"/>
          <w:szCs w:val="28"/>
        </w:rPr>
        <w:t xml:space="preserve"> </w:t>
      </w:r>
      <w:r>
        <w:rPr>
          <w:rFonts w:ascii="仿宋_GB2312" w:eastAsia="仿宋_GB2312"/>
          <w:sz w:val="28"/>
          <w:szCs w:val="28"/>
        </w:rPr>
        <w:t xml:space="preserve"> </w:t>
      </w:r>
      <w:r>
        <w:rPr>
          <w:rFonts w:hint="eastAsia" w:ascii="仿宋_GB2312" w:eastAsia="仿宋_GB2312"/>
          <w:sz w:val="28"/>
          <w:szCs w:val="28"/>
        </w:rPr>
        <w:t>小金县能源资源基地表</w:t>
      </w:r>
    </w:p>
    <w:p>
      <w:pPr>
        <w:spacing w:line="360" w:lineRule="auto"/>
        <w:rPr>
          <w:rFonts w:ascii="仿宋_GB2312" w:eastAsia="仿宋_GB2312"/>
          <w:sz w:val="28"/>
          <w:szCs w:val="28"/>
        </w:rPr>
      </w:pPr>
      <w:r>
        <w:rPr>
          <w:rFonts w:hint="eastAsia" w:ascii="仿宋_GB2312" w:eastAsia="仿宋_GB2312"/>
          <w:sz w:val="28"/>
          <w:szCs w:val="28"/>
        </w:rPr>
        <w:t>附表</w:t>
      </w:r>
      <w:r>
        <w:rPr>
          <w:rFonts w:ascii="仿宋_GB2312" w:eastAsia="仿宋_GB2312"/>
          <w:sz w:val="28"/>
          <w:szCs w:val="28"/>
        </w:rPr>
        <w:t xml:space="preserve">2  </w:t>
      </w:r>
      <w:r>
        <w:rPr>
          <w:rFonts w:hint="eastAsia" w:ascii="仿宋_GB2312" w:eastAsia="仿宋_GB2312"/>
          <w:sz w:val="28"/>
          <w:szCs w:val="28"/>
        </w:rPr>
        <w:t>小金县国家规划矿区表</w:t>
      </w:r>
    </w:p>
    <w:p>
      <w:pPr>
        <w:spacing w:line="360" w:lineRule="auto"/>
        <w:rPr>
          <w:rFonts w:ascii="仿宋_GB2312" w:eastAsia="仿宋_GB2312"/>
          <w:sz w:val="28"/>
          <w:szCs w:val="28"/>
        </w:rPr>
      </w:pPr>
      <w:r>
        <w:rPr>
          <w:rFonts w:hint="eastAsia" w:ascii="仿宋_GB2312" w:eastAsia="仿宋_GB2312"/>
          <w:sz w:val="28"/>
          <w:szCs w:val="28"/>
        </w:rPr>
        <w:t>附表</w:t>
      </w:r>
      <w:r>
        <w:rPr>
          <w:rFonts w:ascii="仿宋_GB2312" w:eastAsia="仿宋_GB2312"/>
          <w:sz w:val="28"/>
          <w:szCs w:val="28"/>
        </w:rPr>
        <w:t>3</w:t>
      </w:r>
      <w:r>
        <w:rPr>
          <w:rFonts w:hint="eastAsia" w:ascii="仿宋_GB2312" w:eastAsia="仿宋_GB2312"/>
          <w:sz w:val="28"/>
          <w:szCs w:val="28"/>
        </w:rPr>
        <w:t xml:space="preserve"> </w:t>
      </w:r>
      <w:r>
        <w:rPr>
          <w:rFonts w:ascii="仿宋_GB2312" w:eastAsia="仿宋_GB2312"/>
          <w:sz w:val="28"/>
          <w:szCs w:val="28"/>
        </w:rPr>
        <w:t xml:space="preserve"> </w:t>
      </w:r>
      <w:r>
        <w:rPr>
          <w:rFonts w:hint="eastAsia" w:ascii="仿宋_GB2312" w:eastAsia="仿宋_GB2312"/>
          <w:sz w:val="28"/>
          <w:szCs w:val="28"/>
        </w:rPr>
        <w:t>小金县战略性矿产资源保护区表</w:t>
      </w:r>
    </w:p>
    <w:p>
      <w:pPr>
        <w:spacing w:line="360" w:lineRule="auto"/>
        <w:rPr>
          <w:rFonts w:ascii="仿宋_GB2312" w:eastAsia="仿宋_GB2312"/>
          <w:sz w:val="28"/>
          <w:szCs w:val="28"/>
        </w:rPr>
      </w:pPr>
      <w:r>
        <w:rPr>
          <w:rFonts w:hint="eastAsia" w:ascii="仿宋_GB2312" w:eastAsia="仿宋_GB2312"/>
          <w:sz w:val="28"/>
          <w:szCs w:val="28"/>
        </w:rPr>
        <w:t>附表</w:t>
      </w:r>
      <w:r>
        <w:rPr>
          <w:rFonts w:ascii="仿宋_GB2312" w:eastAsia="仿宋_GB2312"/>
          <w:sz w:val="28"/>
          <w:szCs w:val="28"/>
        </w:rPr>
        <w:t>4</w:t>
      </w:r>
      <w:r>
        <w:rPr>
          <w:rFonts w:hint="eastAsia" w:ascii="仿宋_GB2312" w:eastAsia="仿宋_GB2312"/>
          <w:sz w:val="28"/>
          <w:szCs w:val="28"/>
        </w:rPr>
        <w:t xml:space="preserve"> </w:t>
      </w:r>
      <w:r>
        <w:rPr>
          <w:rFonts w:ascii="仿宋_GB2312" w:eastAsia="仿宋_GB2312"/>
          <w:sz w:val="28"/>
          <w:szCs w:val="28"/>
        </w:rPr>
        <w:t xml:space="preserve"> </w:t>
      </w:r>
      <w:r>
        <w:rPr>
          <w:rFonts w:hint="eastAsia" w:ascii="仿宋_GB2312" w:eastAsia="仿宋_GB2312"/>
          <w:sz w:val="28"/>
          <w:szCs w:val="28"/>
        </w:rPr>
        <w:t>小金县矿产资源重点勘查区表</w:t>
      </w:r>
    </w:p>
    <w:p>
      <w:pPr>
        <w:spacing w:line="360" w:lineRule="auto"/>
        <w:rPr>
          <w:rFonts w:ascii="仿宋_GB2312" w:eastAsia="仿宋_GB2312"/>
          <w:sz w:val="28"/>
          <w:szCs w:val="28"/>
        </w:rPr>
      </w:pPr>
      <w:r>
        <w:rPr>
          <w:rFonts w:hint="eastAsia" w:ascii="仿宋_GB2312" w:eastAsia="仿宋_GB2312"/>
          <w:sz w:val="28"/>
          <w:szCs w:val="28"/>
        </w:rPr>
        <w:t>附表</w:t>
      </w:r>
      <w:r>
        <w:rPr>
          <w:rFonts w:ascii="仿宋_GB2312" w:eastAsia="仿宋_GB2312"/>
          <w:sz w:val="28"/>
          <w:szCs w:val="28"/>
        </w:rPr>
        <w:t>5</w:t>
      </w:r>
      <w:r>
        <w:rPr>
          <w:rFonts w:hint="eastAsia" w:ascii="仿宋_GB2312" w:eastAsia="仿宋_GB2312"/>
          <w:sz w:val="28"/>
          <w:szCs w:val="28"/>
        </w:rPr>
        <w:t xml:space="preserve"> </w:t>
      </w:r>
      <w:r>
        <w:rPr>
          <w:rFonts w:ascii="仿宋_GB2312" w:eastAsia="仿宋_GB2312"/>
          <w:sz w:val="28"/>
          <w:szCs w:val="28"/>
        </w:rPr>
        <w:t xml:space="preserve"> </w:t>
      </w:r>
      <w:r>
        <w:rPr>
          <w:rFonts w:hint="eastAsia" w:ascii="仿宋_GB2312" w:eastAsia="仿宋_GB2312"/>
          <w:sz w:val="28"/>
          <w:szCs w:val="28"/>
        </w:rPr>
        <w:t>小金县勘查规划区块表</w:t>
      </w:r>
    </w:p>
    <w:p>
      <w:pPr>
        <w:spacing w:line="360" w:lineRule="auto"/>
        <w:rPr>
          <w:rFonts w:ascii="仿宋_GB2312" w:eastAsia="仿宋_GB2312"/>
          <w:sz w:val="28"/>
          <w:szCs w:val="28"/>
        </w:rPr>
      </w:pPr>
      <w:r>
        <w:rPr>
          <w:rFonts w:hint="eastAsia" w:ascii="仿宋_GB2312" w:eastAsia="仿宋_GB2312"/>
          <w:sz w:val="28"/>
          <w:szCs w:val="28"/>
        </w:rPr>
        <w:t>附表</w:t>
      </w:r>
      <w:r>
        <w:rPr>
          <w:rFonts w:ascii="仿宋_GB2312" w:eastAsia="仿宋_GB2312"/>
          <w:sz w:val="28"/>
          <w:szCs w:val="28"/>
        </w:rPr>
        <w:t>6</w:t>
      </w:r>
      <w:r>
        <w:rPr>
          <w:rFonts w:hint="eastAsia" w:ascii="仿宋_GB2312" w:eastAsia="仿宋_GB2312"/>
          <w:sz w:val="28"/>
          <w:szCs w:val="28"/>
        </w:rPr>
        <w:t xml:space="preserve"> </w:t>
      </w:r>
      <w:r>
        <w:rPr>
          <w:rFonts w:ascii="仿宋_GB2312" w:eastAsia="仿宋_GB2312"/>
          <w:sz w:val="28"/>
          <w:szCs w:val="28"/>
        </w:rPr>
        <w:t xml:space="preserve"> </w:t>
      </w:r>
      <w:r>
        <w:rPr>
          <w:rFonts w:hint="eastAsia" w:ascii="仿宋_GB2312" w:eastAsia="仿宋_GB2312"/>
          <w:sz w:val="28"/>
          <w:szCs w:val="28"/>
        </w:rPr>
        <w:t>小金县矿产资源重点开采区表</w:t>
      </w:r>
    </w:p>
    <w:p>
      <w:pPr>
        <w:spacing w:line="360" w:lineRule="auto"/>
        <w:rPr>
          <w:rFonts w:ascii="仿宋_GB2312" w:eastAsia="仿宋_GB2312"/>
          <w:sz w:val="28"/>
          <w:szCs w:val="28"/>
        </w:rPr>
      </w:pPr>
      <w:r>
        <w:rPr>
          <w:rFonts w:hint="eastAsia" w:ascii="仿宋_GB2312" w:eastAsia="仿宋_GB2312"/>
          <w:sz w:val="28"/>
          <w:szCs w:val="28"/>
        </w:rPr>
        <w:t>附表</w:t>
      </w:r>
      <w:r>
        <w:rPr>
          <w:rFonts w:ascii="仿宋_GB2312" w:eastAsia="仿宋_GB2312"/>
          <w:sz w:val="28"/>
          <w:szCs w:val="28"/>
        </w:rPr>
        <w:t>7</w:t>
      </w:r>
      <w:r>
        <w:rPr>
          <w:rFonts w:hint="eastAsia" w:ascii="仿宋_GB2312" w:eastAsia="仿宋_GB2312"/>
          <w:sz w:val="28"/>
          <w:szCs w:val="28"/>
        </w:rPr>
        <w:t xml:space="preserve"> </w:t>
      </w:r>
      <w:r>
        <w:rPr>
          <w:rFonts w:ascii="仿宋_GB2312" w:eastAsia="仿宋_GB2312"/>
          <w:sz w:val="28"/>
          <w:szCs w:val="28"/>
        </w:rPr>
        <w:t xml:space="preserve"> </w:t>
      </w:r>
      <w:r>
        <w:rPr>
          <w:rFonts w:hint="eastAsia" w:ascii="仿宋_GB2312" w:eastAsia="仿宋_GB2312"/>
          <w:sz w:val="28"/>
          <w:szCs w:val="28"/>
        </w:rPr>
        <w:t>小金县开采规划区块表</w:t>
      </w:r>
    </w:p>
    <w:p>
      <w:pPr>
        <w:spacing w:line="360" w:lineRule="auto"/>
        <w:rPr>
          <w:rFonts w:ascii="仿宋_GB2312" w:eastAsia="仿宋_GB2312"/>
          <w:sz w:val="28"/>
          <w:szCs w:val="28"/>
        </w:rPr>
      </w:pPr>
      <w:r>
        <w:rPr>
          <w:rFonts w:hint="eastAsia" w:ascii="仿宋_GB2312" w:eastAsia="仿宋_GB2312"/>
          <w:sz w:val="28"/>
          <w:szCs w:val="28"/>
        </w:rPr>
        <w:t>附表</w:t>
      </w:r>
      <w:r>
        <w:rPr>
          <w:rFonts w:ascii="仿宋_GB2312" w:eastAsia="仿宋_GB2312"/>
          <w:sz w:val="28"/>
          <w:szCs w:val="28"/>
        </w:rPr>
        <w:t>8</w:t>
      </w:r>
      <w:r>
        <w:rPr>
          <w:rFonts w:hint="eastAsia" w:ascii="仿宋_GB2312" w:eastAsia="仿宋_GB2312"/>
          <w:sz w:val="28"/>
          <w:szCs w:val="28"/>
        </w:rPr>
        <w:t xml:space="preserve"> </w:t>
      </w:r>
      <w:r>
        <w:rPr>
          <w:rFonts w:ascii="仿宋_GB2312" w:eastAsia="仿宋_GB2312"/>
          <w:sz w:val="28"/>
          <w:szCs w:val="28"/>
        </w:rPr>
        <w:t xml:space="preserve"> </w:t>
      </w:r>
      <w:r>
        <w:rPr>
          <w:rFonts w:hint="eastAsia" w:ascii="仿宋_GB2312" w:eastAsia="仿宋_GB2312"/>
          <w:sz w:val="28"/>
          <w:szCs w:val="28"/>
        </w:rPr>
        <w:t>小金县重点矿种矿山最低开采规模规划表</w:t>
      </w:r>
    </w:p>
    <w:p>
      <w:pPr>
        <w:spacing w:line="360" w:lineRule="auto"/>
        <w:rPr>
          <w:rFonts w:ascii="仿宋_GB2312" w:eastAsia="仿宋_GB2312"/>
          <w:sz w:val="28"/>
          <w:szCs w:val="28"/>
        </w:rPr>
      </w:pPr>
      <w:r>
        <w:rPr>
          <w:rFonts w:hint="eastAsia" w:ascii="仿宋_GB2312" w:eastAsia="仿宋_GB2312"/>
          <w:sz w:val="28"/>
          <w:szCs w:val="28"/>
        </w:rPr>
        <w:t>附表</w:t>
      </w:r>
      <w:r>
        <w:rPr>
          <w:rFonts w:ascii="仿宋_GB2312" w:eastAsia="仿宋_GB2312"/>
          <w:sz w:val="28"/>
          <w:szCs w:val="28"/>
        </w:rPr>
        <w:t>9</w:t>
      </w:r>
      <w:r>
        <w:rPr>
          <w:rFonts w:hint="eastAsia" w:ascii="仿宋_GB2312" w:eastAsia="仿宋_GB2312"/>
          <w:sz w:val="28"/>
          <w:szCs w:val="28"/>
        </w:rPr>
        <w:t>：小金县砂石土类矿产集中开采区表</w:t>
      </w:r>
    </w:p>
    <w:p>
      <w:pPr>
        <w:spacing w:line="360" w:lineRule="auto"/>
        <w:rPr>
          <w:rFonts w:ascii="仿宋_GB2312" w:eastAsia="仿宋_GB2312"/>
          <w:sz w:val="28"/>
          <w:szCs w:val="28"/>
        </w:rPr>
      </w:pPr>
    </w:p>
    <w:p>
      <w:pPr>
        <w:spacing w:line="360" w:lineRule="auto"/>
        <w:rPr>
          <w:rFonts w:ascii="仿宋_GB2312" w:eastAsia="仿宋_GB2312"/>
          <w:sz w:val="28"/>
          <w:szCs w:val="28"/>
        </w:rPr>
        <w:sectPr>
          <w:footerReference r:id="rId9" w:type="default"/>
          <w:pgSz w:w="11906" w:h="16838"/>
          <w:pgMar w:top="1440" w:right="1800" w:bottom="1440" w:left="1800" w:header="851" w:footer="992" w:gutter="0"/>
          <w:pgNumType w:fmt="upperRoman" w:start="1"/>
          <w:cols w:space="425" w:num="1"/>
          <w:docGrid w:type="lines" w:linePitch="312" w:charSpace="0"/>
        </w:sectPr>
      </w:pPr>
    </w:p>
    <w:p>
      <w:pPr>
        <w:pStyle w:val="20"/>
        <w:spacing w:before="0" w:after="0" w:line="240" w:lineRule="auto"/>
        <w:ind w:firstLine="0" w:firstLineChars="0"/>
        <w:rPr>
          <w:rFonts w:ascii="黑体" w:hAnsi="黑体" w:eastAsia="黑体"/>
          <w:sz w:val="36"/>
          <w:szCs w:val="36"/>
        </w:rPr>
      </w:pPr>
      <w:bookmarkStart w:id="0" w:name="_Toc100358159"/>
      <w:bookmarkStart w:id="1" w:name="_Toc119246980"/>
      <w:bookmarkStart w:id="2" w:name="_Toc100824217"/>
      <w:bookmarkStart w:id="3" w:name="_Toc119246850"/>
      <w:bookmarkStart w:id="4" w:name="_Toc84672683"/>
      <w:r>
        <w:rPr>
          <w:rFonts w:hint="eastAsia" w:ascii="黑体" w:hAnsi="黑体" w:eastAsia="黑体"/>
          <w:sz w:val="36"/>
          <w:szCs w:val="36"/>
        </w:rPr>
        <w:t xml:space="preserve">导 </w:t>
      </w:r>
      <w:r>
        <w:rPr>
          <w:rFonts w:ascii="黑体" w:hAnsi="黑体" w:eastAsia="黑体"/>
          <w:sz w:val="36"/>
          <w:szCs w:val="36"/>
        </w:rPr>
        <w:t xml:space="preserve">  </w:t>
      </w:r>
      <w:r>
        <w:rPr>
          <w:rFonts w:hint="eastAsia" w:ascii="黑体" w:hAnsi="黑体" w:eastAsia="黑体"/>
          <w:sz w:val="36"/>
          <w:szCs w:val="36"/>
        </w:rPr>
        <w:t>语</w:t>
      </w:r>
      <w:bookmarkEnd w:id="0"/>
      <w:bookmarkEnd w:id="1"/>
      <w:bookmarkEnd w:id="2"/>
      <w:bookmarkEnd w:id="3"/>
      <w:bookmarkEnd w:id="4"/>
    </w:p>
    <w:p>
      <w:pPr>
        <w:spacing w:line="360" w:lineRule="auto"/>
        <w:ind w:firstLine="640" w:firstLineChars="200"/>
        <w:rPr>
          <w:rFonts w:ascii="仿宋_GB2312" w:hAnsi="仿宋" w:eastAsia="仿宋_GB2312" w:cs="仿宋"/>
          <w:sz w:val="32"/>
          <w:szCs w:val="32"/>
        </w:rPr>
      </w:pPr>
      <w:r>
        <w:rPr>
          <w:rFonts w:hint="eastAsia" w:ascii="仿宋_GB2312" w:hAnsi="仿宋" w:eastAsia="仿宋_GB2312" w:cs="仿宋"/>
          <w:sz w:val="32"/>
          <w:szCs w:val="32"/>
        </w:rPr>
        <w:t>矿产资源是国民经济和社会发展重要物质基础，是全面建设社会主义现代化的重要支撑。为进一步推动矿业高质量发展，更好服务于小金县经济建设和社会发展，提高矿产资源保障能力。依据《中华人民共和国矿产资源法》及实施细则、《矿产资源规划编制实施办法》（2019年修正）、《阿坝藏族羌族自治州矿产资源总体规划（2021-2025年）》、《小金县国民经济和社会发展第十四个五年规划和二</w:t>
      </w:r>
      <w:r>
        <w:rPr>
          <w:rFonts w:hint="eastAsia" w:ascii="微软雅黑" w:hAnsi="微软雅黑" w:eastAsia="微软雅黑" w:cs="微软雅黑"/>
          <w:sz w:val="32"/>
          <w:szCs w:val="32"/>
        </w:rPr>
        <w:t>〇</w:t>
      </w:r>
      <w:r>
        <w:rPr>
          <w:rFonts w:hint="eastAsia" w:ascii="仿宋_GB2312" w:hAnsi="仿宋_GB2312" w:eastAsia="仿宋_GB2312" w:cs="仿宋_GB2312"/>
          <w:sz w:val="32"/>
          <w:szCs w:val="32"/>
        </w:rPr>
        <w:t>三五年远景目标纲要》、小金县国土空间规划</w:t>
      </w:r>
      <w:r>
        <w:rPr>
          <w:rFonts w:hint="eastAsia" w:ascii="仿宋_GB2312" w:hAnsi="仿宋" w:eastAsia="仿宋_GB2312" w:cs="仿宋"/>
          <w:sz w:val="32"/>
          <w:szCs w:val="32"/>
        </w:rPr>
        <w:t>及四川省自然资源厅办公室关于印发《四川省市县级矿产资源总体规划编制指南》的通知(川自然资办函〔2020〕30号)等，结合小金县实际情况，编制《小金县矿产资源总体规划（2021-2025年）》（以下简称《规划》）。</w:t>
      </w:r>
    </w:p>
    <w:p>
      <w:pPr>
        <w:spacing w:line="360" w:lineRule="auto"/>
        <w:ind w:firstLine="640" w:firstLineChars="200"/>
        <w:rPr>
          <w:rFonts w:ascii="仿宋_GB2312" w:hAnsi="仿宋" w:eastAsia="仿宋_GB2312" w:cs="仿宋"/>
          <w:sz w:val="32"/>
          <w:szCs w:val="32"/>
        </w:rPr>
      </w:pPr>
      <w:r>
        <w:rPr>
          <w:rFonts w:hint="eastAsia" w:ascii="仿宋_GB2312" w:hAnsi="仿宋" w:eastAsia="仿宋_GB2312" w:cs="仿宋"/>
          <w:sz w:val="32"/>
          <w:szCs w:val="32"/>
        </w:rPr>
        <w:t>《规划》是指导矿产资源勘查、开发与保护的指导性文件，是落实国家资源安全战略、加强和改善矿产资源宏观管理的重要手段，是本行政区域内依法出让、登记和监督管理矿产资源勘查、开发利用与保护活动的重要依据。</w:t>
      </w:r>
      <w:r>
        <w:rPr>
          <w:rFonts w:hint="eastAsia" w:ascii="仿宋_GB2312" w:hAnsi="等线" w:eastAsia="仿宋_GB2312" w:cs="仿宋"/>
          <w:b/>
          <w:bCs/>
          <w:sz w:val="32"/>
          <w:szCs w:val="32"/>
        </w:rPr>
        <w:t>涉及矿产资源开发利用活动的相关行业规划，应与本《规划》做好衔接。</w:t>
      </w:r>
    </w:p>
    <w:p>
      <w:pPr>
        <w:spacing w:line="360" w:lineRule="auto"/>
        <w:ind w:firstLine="640" w:firstLineChars="200"/>
        <w:rPr>
          <w:rFonts w:ascii="仿宋_GB2312" w:hAnsi="仿宋" w:eastAsia="仿宋_GB2312" w:cs="仿宋"/>
          <w:sz w:val="32"/>
          <w:szCs w:val="32"/>
        </w:rPr>
        <w:sectPr>
          <w:footerReference r:id="rId10" w:type="default"/>
          <w:pgSz w:w="11906" w:h="16838"/>
          <w:pgMar w:top="1440" w:right="1800" w:bottom="1440" w:left="1800" w:header="851" w:footer="992" w:gutter="0"/>
          <w:pgNumType w:start="1"/>
          <w:cols w:space="425" w:num="1"/>
          <w:docGrid w:type="lines" w:linePitch="312" w:charSpace="0"/>
        </w:sectPr>
      </w:pPr>
      <w:r>
        <w:rPr>
          <w:rFonts w:hint="eastAsia" w:ascii="仿宋_GB2312" w:hAnsi="仿宋" w:eastAsia="仿宋_GB2312" w:cs="仿宋"/>
          <w:sz w:val="32"/>
          <w:szCs w:val="32"/>
        </w:rPr>
        <w:t>《规划》适用范围为小金县行政辖区内的矿产资源。以2020年为基期，2025年为目标年，展望到2035年。</w:t>
      </w:r>
    </w:p>
    <w:p>
      <w:pPr>
        <w:pStyle w:val="2"/>
        <w:spacing w:before="156" w:beforeLines="50" w:after="156" w:afterLines="50" w:line="360" w:lineRule="auto"/>
        <w:jc w:val="center"/>
        <w:rPr>
          <w:rFonts w:ascii="黑体" w:hAnsi="黑体" w:eastAsia="黑体" w:cs="黑体"/>
          <w:sz w:val="36"/>
          <w:szCs w:val="36"/>
        </w:rPr>
      </w:pPr>
      <w:bookmarkStart w:id="5" w:name="_Toc100824218"/>
      <w:bookmarkStart w:id="6" w:name="_Toc119246851"/>
      <w:bookmarkStart w:id="7" w:name="_Toc119246981"/>
      <w:r>
        <w:rPr>
          <w:rFonts w:hint="eastAsia" w:ascii="黑体" w:hAnsi="黑体" w:eastAsia="黑体" w:cs="黑体"/>
          <w:sz w:val="36"/>
          <w:szCs w:val="36"/>
        </w:rPr>
        <w:t>第一章 现状与形势</w:t>
      </w:r>
      <w:bookmarkEnd w:id="5"/>
      <w:bookmarkEnd w:id="6"/>
      <w:bookmarkEnd w:id="7"/>
    </w:p>
    <w:p>
      <w:pPr>
        <w:widowControl/>
        <w:spacing w:line="360" w:lineRule="auto"/>
        <w:ind w:firstLine="640" w:firstLineChars="200"/>
        <w:rPr>
          <w:rFonts w:ascii="仿宋_GB2312" w:hAnsi="宋体" w:eastAsia="仿宋_GB2312" w:cs="宋体"/>
          <w:kern w:val="0"/>
          <w:sz w:val="32"/>
          <w:szCs w:val="32"/>
        </w:rPr>
      </w:pPr>
      <w:r>
        <w:rPr>
          <w:rFonts w:hint="eastAsia" w:ascii="仿宋_GB2312" w:hAnsi="宋体" w:eastAsia="仿宋_GB2312" w:cs="宋体"/>
          <w:kern w:val="0"/>
          <w:sz w:val="32"/>
          <w:szCs w:val="32"/>
        </w:rPr>
        <w:t>小金县地处邛崃山脉西侧,夹金山北侧，属高山峡谷地区,位于四川省西北部，阿坝藏族羌族自治州南端，地形狭长，地势东北高，西南低。地理坐标:东经102°01′～102°59′，北纬30°35′～31°43′。小金县南北长116.4公里，东西宽77.6公里，幅员面积5571平方公里</w:t>
      </w:r>
      <w:r>
        <w:rPr>
          <w:rFonts w:hint="eastAsia" w:ascii="仿宋_GB2312" w:eastAsia="仿宋_GB2312"/>
          <w:sz w:val="32"/>
          <w:szCs w:val="32"/>
        </w:rPr>
        <w:t>。</w:t>
      </w:r>
      <w:r>
        <w:rPr>
          <w:rFonts w:hint="eastAsia" w:ascii="仿宋_GB2312" w:hAnsi="宋体" w:eastAsia="仿宋_GB2312" w:cs="宋体"/>
          <w:kern w:val="0"/>
          <w:sz w:val="32"/>
          <w:szCs w:val="32"/>
        </w:rPr>
        <w:t>全县辖</w:t>
      </w:r>
      <w:r>
        <w:rPr>
          <w:rFonts w:ascii="仿宋_GB2312" w:hAnsi="宋体" w:eastAsia="仿宋_GB2312" w:cs="宋体"/>
          <w:kern w:val="0"/>
          <w:sz w:val="32"/>
          <w:szCs w:val="32"/>
        </w:rPr>
        <w:t>7个镇</w:t>
      </w:r>
      <w:r>
        <w:rPr>
          <w:rFonts w:hint="eastAsia" w:ascii="仿宋_GB2312" w:hAnsi="宋体" w:eastAsia="仿宋_GB2312" w:cs="宋体"/>
          <w:kern w:val="0"/>
          <w:sz w:val="32"/>
          <w:szCs w:val="32"/>
        </w:rPr>
        <w:t>、</w:t>
      </w:r>
      <w:r>
        <w:rPr>
          <w:rFonts w:ascii="仿宋_GB2312" w:hAnsi="宋体" w:eastAsia="仿宋_GB2312" w:cs="宋体"/>
          <w:kern w:val="0"/>
          <w:sz w:val="32"/>
          <w:szCs w:val="32"/>
        </w:rPr>
        <w:t>11个乡</w:t>
      </w:r>
      <w:r>
        <w:rPr>
          <w:rFonts w:hint="eastAsia" w:ascii="仿宋_GB2312" w:hAnsi="宋体" w:eastAsia="仿宋_GB2312" w:cs="宋体"/>
          <w:kern w:val="0"/>
          <w:sz w:val="32"/>
          <w:szCs w:val="32"/>
        </w:rPr>
        <w:t>，</w:t>
      </w:r>
      <w:r>
        <w:rPr>
          <w:rFonts w:ascii="仿宋_GB2312" w:eastAsia="仿宋_GB2312"/>
          <w:sz w:val="32"/>
          <w:szCs w:val="32"/>
        </w:rPr>
        <w:t>境内居住着藏、羌、回、汉等各族群众，</w:t>
      </w:r>
      <w:r>
        <w:rPr>
          <w:rFonts w:hint="eastAsia" w:ascii="仿宋_GB2312" w:eastAsia="仿宋_GB2312"/>
          <w:sz w:val="32"/>
          <w:szCs w:val="32"/>
        </w:rPr>
        <w:t>以</w:t>
      </w:r>
      <w:r>
        <w:rPr>
          <w:rFonts w:ascii="仿宋_GB2312" w:eastAsia="仿宋_GB2312"/>
          <w:sz w:val="32"/>
          <w:szCs w:val="32"/>
        </w:rPr>
        <w:t>藏族</w:t>
      </w:r>
      <w:r>
        <w:rPr>
          <w:rFonts w:hint="eastAsia" w:ascii="仿宋_GB2312" w:eastAsia="仿宋_GB2312"/>
          <w:sz w:val="32"/>
          <w:szCs w:val="32"/>
        </w:rPr>
        <w:t>为主，</w:t>
      </w:r>
      <w:r>
        <w:rPr>
          <w:rFonts w:ascii="仿宋_GB2312" w:eastAsia="仿宋_GB2312"/>
          <w:sz w:val="32"/>
          <w:szCs w:val="32"/>
        </w:rPr>
        <w:t>属嘉绒藏族主要聚居区</w:t>
      </w:r>
      <w:r>
        <w:rPr>
          <w:rFonts w:hint="eastAsia" w:ascii="仿宋_GB2312" w:eastAsia="仿宋_GB2312"/>
          <w:sz w:val="32"/>
          <w:szCs w:val="32"/>
        </w:rPr>
        <w:t>之一，常住人口约</w:t>
      </w:r>
      <w:r>
        <w:rPr>
          <w:rFonts w:ascii="仿宋_GB2312" w:eastAsia="仿宋_GB2312"/>
          <w:sz w:val="32"/>
          <w:szCs w:val="32"/>
        </w:rPr>
        <w:t>6.5</w:t>
      </w:r>
      <w:r>
        <w:rPr>
          <w:rFonts w:hint="eastAsia" w:ascii="仿宋_GB2312" w:eastAsia="仿宋_GB2312"/>
          <w:sz w:val="32"/>
          <w:szCs w:val="32"/>
        </w:rPr>
        <w:t>万人</w:t>
      </w:r>
      <w:r>
        <w:rPr>
          <w:rFonts w:hint="eastAsia" w:ascii="仿宋_GB2312" w:hAnsi="宋体" w:eastAsia="仿宋_GB2312" w:cs="宋体"/>
          <w:kern w:val="0"/>
          <w:sz w:val="32"/>
          <w:szCs w:val="32"/>
        </w:rPr>
        <w:t>。</w:t>
      </w:r>
    </w:p>
    <w:p>
      <w:pPr>
        <w:widowControl/>
        <w:spacing w:line="360" w:lineRule="auto"/>
        <w:ind w:firstLine="640" w:firstLineChars="200"/>
        <w:rPr>
          <w:rFonts w:ascii="仿宋_GB2312" w:hAnsi="宋体" w:eastAsia="仿宋_GB2312" w:cs="宋体"/>
          <w:kern w:val="0"/>
          <w:sz w:val="32"/>
          <w:szCs w:val="32"/>
        </w:rPr>
      </w:pPr>
      <w:r>
        <w:rPr>
          <w:rFonts w:hint="eastAsia" w:ascii="仿宋_GB2312" w:eastAsia="仿宋_GB2312"/>
          <w:sz w:val="32"/>
          <w:szCs w:val="32"/>
        </w:rPr>
        <w:t>2020年实现地区生产总值24.37亿元，地方财政一般预算收入为9147万元，“十三五”期间年均增长率分别为</w:t>
      </w:r>
      <w:r>
        <w:rPr>
          <w:rFonts w:ascii="仿宋_GB2312" w:eastAsia="仿宋_GB2312"/>
          <w:sz w:val="32"/>
          <w:szCs w:val="32"/>
        </w:rPr>
        <w:t>5.9%</w:t>
      </w:r>
      <w:r>
        <w:rPr>
          <w:rFonts w:hint="eastAsia" w:ascii="仿宋_GB2312" w:eastAsia="仿宋_GB2312"/>
          <w:sz w:val="32"/>
          <w:szCs w:val="32"/>
        </w:rPr>
        <w:t>、8</w:t>
      </w:r>
      <w:r>
        <w:rPr>
          <w:rFonts w:ascii="仿宋_GB2312" w:eastAsia="仿宋_GB2312"/>
          <w:sz w:val="32"/>
          <w:szCs w:val="32"/>
        </w:rPr>
        <w:t>.8</w:t>
      </w:r>
      <w:r>
        <w:rPr>
          <w:rFonts w:hint="eastAsia" w:ascii="仿宋_GB2312" w:eastAsia="仿宋_GB2312"/>
          <w:sz w:val="32"/>
          <w:szCs w:val="32"/>
        </w:rPr>
        <w:t>％，三次产业结构比例为18.1：18.3：63.6。其矿业经济占比较低，对地方经济贡献不明显。</w:t>
      </w:r>
    </w:p>
    <w:p>
      <w:pPr>
        <w:spacing w:before="156" w:beforeLines="50" w:after="156" w:afterLines="50"/>
        <w:jc w:val="center"/>
        <w:outlineLvl w:val="1"/>
        <w:rPr>
          <w:rFonts w:ascii="黑体" w:hAnsi="黑体" w:eastAsia="黑体"/>
          <w:b/>
          <w:bCs/>
          <w:sz w:val="32"/>
          <w:szCs w:val="32"/>
        </w:rPr>
      </w:pPr>
      <w:bookmarkStart w:id="8" w:name="_Toc84672685"/>
      <w:bookmarkStart w:id="9" w:name="_Toc100824219"/>
      <w:bookmarkStart w:id="10" w:name="_Toc119246982"/>
      <w:bookmarkStart w:id="11" w:name="_Toc119246852"/>
      <w:r>
        <w:rPr>
          <w:rFonts w:hint="eastAsia" w:ascii="黑体" w:hAnsi="黑体" w:eastAsia="黑体"/>
          <w:b/>
          <w:bCs/>
          <w:sz w:val="32"/>
          <w:szCs w:val="32"/>
        </w:rPr>
        <w:t>第一节</w:t>
      </w:r>
      <w:r>
        <w:rPr>
          <w:rFonts w:hint="eastAsia" w:ascii="Calibri" w:hAnsi="Calibri" w:eastAsia="黑体" w:cs="Calibri"/>
          <w:b/>
          <w:bCs/>
          <w:sz w:val="32"/>
          <w:szCs w:val="32"/>
        </w:rPr>
        <w:t xml:space="preserve"> </w:t>
      </w:r>
      <w:r>
        <w:rPr>
          <w:rFonts w:hint="eastAsia" w:ascii="黑体" w:hAnsi="黑体" w:eastAsia="黑体"/>
          <w:b/>
          <w:bCs/>
          <w:sz w:val="32"/>
          <w:szCs w:val="32"/>
        </w:rPr>
        <w:t>矿产资源概况</w:t>
      </w:r>
      <w:bookmarkEnd w:id="8"/>
      <w:bookmarkEnd w:id="9"/>
      <w:bookmarkEnd w:id="10"/>
      <w:bookmarkEnd w:id="11"/>
    </w:p>
    <w:p>
      <w:pPr>
        <w:spacing w:line="360" w:lineRule="auto"/>
        <w:ind w:firstLine="640" w:firstLineChars="200"/>
        <w:rPr>
          <w:rFonts w:ascii="仿宋_GB2312" w:eastAsia="仿宋_GB2312"/>
          <w:sz w:val="32"/>
          <w:szCs w:val="32"/>
        </w:rPr>
      </w:pPr>
      <w:r>
        <w:rPr>
          <w:rFonts w:hint="eastAsia" w:ascii="仿宋_GB2312" w:eastAsia="仿宋_GB2312"/>
          <w:sz w:val="32"/>
          <w:szCs w:val="32"/>
        </w:rPr>
        <w:t>小金县位于川滇南北向构造带，龙门山华夏系、金汤弧形构造的“V”字形交接部位，伴有多期岩浆活动和变质作用，矿产资源较丰富、分布较规律。</w:t>
      </w:r>
    </w:p>
    <w:p>
      <w:pPr>
        <w:spacing w:line="360" w:lineRule="auto"/>
        <w:ind w:firstLine="643" w:firstLineChars="200"/>
        <w:rPr>
          <w:rFonts w:ascii="仿宋_GB2312" w:eastAsia="仿宋_GB2312"/>
          <w:sz w:val="32"/>
          <w:szCs w:val="32"/>
        </w:rPr>
      </w:pPr>
      <w:r>
        <w:rPr>
          <w:rFonts w:hint="eastAsia" w:ascii="仿宋_GB2312" w:eastAsia="仿宋_GB2312" w:hAnsiTheme="minorEastAsia"/>
          <w:b/>
          <w:sz w:val="32"/>
          <w:szCs w:val="32"/>
        </w:rPr>
        <w:t>矿产资源种类较丰富，资源潜力较大。</w:t>
      </w:r>
      <w:r>
        <w:rPr>
          <w:rFonts w:hint="eastAsia" w:ascii="仿宋_GB2312" w:eastAsia="仿宋_GB2312" w:hAnsiTheme="minorEastAsia"/>
          <w:sz w:val="32"/>
          <w:szCs w:val="32"/>
        </w:rPr>
        <w:t>截至2020年底，小金县已发现矿产种类23（含亚种）种，分别为金属矿产1</w:t>
      </w:r>
      <w:r>
        <w:rPr>
          <w:rFonts w:ascii="仿宋_GB2312" w:eastAsia="仿宋_GB2312" w:hAnsiTheme="minorEastAsia"/>
          <w:sz w:val="32"/>
          <w:szCs w:val="32"/>
        </w:rPr>
        <w:t>3</w:t>
      </w:r>
      <w:r>
        <w:rPr>
          <w:rFonts w:hint="eastAsia" w:ascii="仿宋_GB2312" w:eastAsia="仿宋_GB2312" w:hAnsiTheme="minorEastAsia"/>
          <w:sz w:val="32"/>
          <w:szCs w:val="32"/>
        </w:rPr>
        <w:t>种，非金属矿产</w:t>
      </w:r>
      <w:r>
        <w:rPr>
          <w:rFonts w:ascii="仿宋_GB2312" w:eastAsia="仿宋_GB2312" w:hAnsiTheme="minorEastAsia"/>
          <w:sz w:val="32"/>
          <w:szCs w:val="32"/>
        </w:rPr>
        <w:t>10</w:t>
      </w:r>
      <w:r>
        <w:rPr>
          <w:rFonts w:hint="eastAsia" w:ascii="仿宋_GB2312" w:eastAsia="仿宋_GB2312" w:hAnsiTheme="minorEastAsia"/>
          <w:sz w:val="32"/>
          <w:szCs w:val="32"/>
        </w:rPr>
        <w:t>种。</w:t>
      </w:r>
      <w:r>
        <w:rPr>
          <w:rFonts w:hint="eastAsia" w:ascii="仿宋_GB2312" w:eastAsia="仿宋_GB2312"/>
          <w:sz w:val="32"/>
          <w:szCs w:val="32"/>
        </w:rPr>
        <w:t>优势矿产主要为金、</w:t>
      </w:r>
      <w:r>
        <w:rPr>
          <w:rFonts w:hint="eastAsia" w:ascii="仿宋_GB2312" w:hAnsi="宋体" w:eastAsia="仿宋_GB2312"/>
          <w:sz w:val="32"/>
          <w:szCs w:val="32"/>
        </w:rPr>
        <w:t>钨、饰面用</w:t>
      </w:r>
      <w:r>
        <w:rPr>
          <w:rFonts w:hint="eastAsia" w:ascii="仿宋_GB2312" w:eastAsia="仿宋_GB2312"/>
          <w:sz w:val="32"/>
          <w:szCs w:val="32"/>
        </w:rPr>
        <w:t>大理岩等，其中已查明A</w:t>
      </w:r>
      <w:r>
        <w:rPr>
          <w:rFonts w:ascii="仿宋_GB2312" w:eastAsia="仿宋_GB2312"/>
          <w:sz w:val="32"/>
          <w:szCs w:val="32"/>
        </w:rPr>
        <w:t>u</w:t>
      </w:r>
      <w:r>
        <w:rPr>
          <w:rFonts w:hint="eastAsia" w:ascii="仿宋_GB2312" w:eastAsia="仿宋_GB2312"/>
          <w:sz w:val="32"/>
          <w:szCs w:val="32"/>
        </w:rPr>
        <w:t>金属量</w:t>
      </w:r>
      <w:r>
        <w:rPr>
          <w:rFonts w:ascii="仿宋_GB2312" w:eastAsia="仿宋_GB2312"/>
          <w:sz w:val="32"/>
          <w:szCs w:val="32"/>
        </w:rPr>
        <w:t>4336</w:t>
      </w:r>
      <w:r>
        <w:rPr>
          <w:rFonts w:hint="eastAsia" w:ascii="仿宋_GB2312" w:eastAsia="仿宋_GB2312"/>
          <w:sz w:val="32"/>
          <w:szCs w:val="32"/>
        </w:rPr>
        <w:t>千克，W</w:t>
      </w:r>
      <w:r>
        <w:rPr>
          <w:rFonts w:ascii="仿宋_GB2312" w:eastAsia="仿宋_GB2312"/>
          <w:sz w:val="32"/>
          <w:szCs w:val="32"/>
        </w:rPr>
        <w:t>O</w:t>
      </w:r>
      <w:r>
        <w:rPr>
          <w:rFonts w:ascii="仿宋_GB2312" w:eastAsia="仿宋_GB2312"/>
          <w:sz w:val="32"/>
          <w:szCs w:val="32"/>
          <w:vertAlign w:val="subscript"/>
        </w:rPr>
        <w:t>3</w:t>
      </w:r>
      <w:r>
        <w:rPr>
          <w:rFonts w:hint="eastAsia" w:ascii="仿宋_GB2312" w:eastAsia="仿宋_GB2312"/>
          <w:sz w:val="32"/>
          <w:szCs w:val="32"/>
        </w:rPr>
        <w:t>资源量</w:t>
      </w:r>
      <w:r>
        <w:rPr>
          <w:rFonts w:ascii="仿宋_GB2312" w:eastAsia="仿宋_GB2312"/>
          <w:sz w:val="32"/>
          <w:szCs w:val="32"/>
        </w:rPr>
        <w:t>91141</w:t>
      </w:r>
      <w:r>
        <w:rPr>
          <w:rFonts w:hint="eastAsia" w:ascii="仿宋_GB2312" w:eastAsia="仿宋_GB2312"/>
          <w:sz w:val="32"/>
          <w:szCs w:val="32"/>
        </w:rPr>
        <w:t>吨，</w:t>
      </w:r>
      <w:r>
        <w:rPr>
          <w:rFonts w:hint="eastAsia" w:ascii="仿宋_GB2312" w:hAnsi="宋体" w:eastAsia="仿宋_GB2312"/>
          <w:sz w:val="32"/>
          <w:szCs w:val="32"/>
        </w:rPr>
        <w:t>M</w:t>
      </w:r>
      <w:r>
        <w:rPr>
          <w:rFonts w:ascii="仿宋_GB2312" w:hAnsi="宋体" w:eastAsia="仿宋_GB2312"/>
          <w:sz w:val="32"/>
          <w:szCs w:val="32"/>
        </w:rPr>
        <w:t>o</w:t>
      </w:r>
      <w:r>
        <w:rPr>
          <w:rFonts w:hint="eastAsia" w:ascii="仿宋_GB2312" w:eastAsia="仿宋_GB2312"/>
          <w:sz w:val="32"/>
          <w:szCs w:val="32"/>
        </w:rPr>
        <w:t>资源量</w:t>
      </w:r>
      <w:r>
        <w:rPr>
          <w:rFonts w:ascii="仿宋_GB2312" w:eastAsia="仿宋_GB2312"/>
          <w:sz w:val="32"/>
          <w:szCs w:val="32"/>
        </w:rPr>
        <w:t>11126</w:t>
      </w:r>
      <w:r>
        <w:rPr>
          <w:rFonts w:hint="eastAsia" w:ascii="仿宋_GB2312" w:eastAsia="仿宋_GB2312"/>
          <w:sz w:val="32"/>
          <w:szCs w:val="32"/>
        </w:rPr>
        <w:t>吨，</w:t>
      </w:r>
      <w:r>
        <w:rPr>
          <w:rFonts w:hint="eastAsia" w:ascii="仿宋_GB2312" w:hAnsi="宋体" w:eastAsia="仿宋_GB2312"/>
          <w:sz w:val="32"/>
          <w:szCs w:val="32"/>
        </w:rPr>
        <w:t>饰面用</w:t>
      </w:r>
      <w:r>
        <w:rPr>
          <w:rFonts w:hint="eastAsia" w:ascii="仿宋_GB2312" w:eastAsia="仿宋_GB2312"/>
          <w:sz w:val="32"/>
          <w:szCs w:val="32"/>
        </w:rPr>
        <w:t>大理岩资源量</w:t>
      </w:r>
      <w:r>
        <w:rPr>
          <w:rFonts w:ascii="仿宋_GB2312" w:eastAsia="仿宋_GB2312"/>
          <w:sz w:val="32"/>
          <w:szCs w:val="32"/>
        </w:rPr>
        <w:t>524.0</w:t>
      </w:r>
      <w:r>
        <w:rPr>
          <w:rFonts w:hint="eastAsia" w:ascii="仿宋_GB2312" w:eastAsia="仿宋_GB2312"/>
          <w:sz w:val="32"/>
          <w:szCs w:val="32"/>
        </w:rPr>
        <w:t>万立方米。</w:t>
      </w:r>
    </w:p>
    <w:tbl>
      <w:tblPr>
        <w:tblStyle w:val="22"/>
        <w:tblW w:w="5000"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0" w:type="dxa"/>
          <w:bottom w:w="0" w:type="dxa"/>
          <w:right w:w="0" w:type="dxa"/>
        </w:tblCellMar>
      </w:tblPr>
      <w:tblGrid>
        <w:gridCol w:w="1007"/>
        <w:gridCol w:w="2265"/>
        <w:gridCol w:w="1147"/>
        <w:gridCol w:w="1828"/>
        <w:gridCol w:w="2079"/>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67" w:hRule="exact"/>
        </w:trPr>
        <w:tc>
          <w:tcPr>
            <w:tcW w:w="5000" w:type="pct"/>
            <w:gridSpan w:val="5"/>
            <w:tcBorders>
              <w:top w:val="single" w:color="000000" w:sz="2" w:space="0"/>
              <w:bottom w:val="single" w:color="000000" w:sz="2" w:space="0"/>
            </w:tcBorders>
            <w:shd w:val="clear" w:color="auto" w:fill="auto"/>
            <w:vAlign w:val="center"/>
          </w:tcPr>
          <w:p>
            <w:pPr>
              <w:jc w:val="center"/>
              <w:rPr>
                <w:b/>
                <w:snapToGrid w:val="0"/>
                <w:color w:val="000000"/>
                <w:sz w:val="18"/>
                <w:szCs w:val="18"/>
              </w:rPr>
            </w:pPr>
            <w:r>
              <w:rPr>
                <w:rFonts w:ascii="黑体" w:hAnsi="黑体" w:eastAsia="黑体"/>
                <w:b/>
                <w:snapToGrid w:val="0"/>
                <w:color w:val="000000"/>
                <w:sz w:val="28"/>
                <w:szCs w:val="28"/>
              </w:rPr>
              <w:t>专栏</w:t>
            </w:r>
            <w:r>
              <w:rPr>
                <w:rFonts w:hint="eastAsia" w:ascii="黑体" w:hAnsi="黑体" w:eastAsia="黑体"/>
                <w:b/>
                <w:snapToGrid w:val="0"/>
                <w:color w:val="000000"/>
                <w:sz w:val="28"/>
                <w:szCs w:val="28"/>
              </w:rPr>
              <w:t>1</w:t>
            </w:r>
            <w:r>
              <w:rPr>
                <w:rFonts w:ascii="黑体" w:hAnsi="黑体" w:eastAsia="黑体"/>
                <w:b/>
                <w:snapToGrid w:val="0"/>
                <w:color w:val="000000"/>
                <w:sz w:val="28"/>
                <w:szCs w:val="28"/>
              </w:rPr>
              <w:t xml:space="preserve"> </w:t>
            </w:r>
            <w:r>
              <w:rPr>
                <w:rFonts w:hint="eastAsia" w:ascii="黑体" w:hAnsi="黑体" w:eastAsia="黑体"/>
                <w:b/>
                <w:snapToGrid w:val="0"/>
                <w:color w:val="000000"/>
                <w:sz w:val="28"/>
                <w:szCs w:val="28"/>
              </w:rPr>
              <w:t>主要矿种</w:t>
            </w:r>
            <w:r>
              <w:rPr>
                <w:rFonts w:ascii="黑体" w:hAnsi="黑体" w:eastAsia="黑体"/>
                <w:b/>
                <w:snapToGrid w:val="0"/>
                <w:color w:val="000000"/>
                <w:sz w:val="28"/>
                <w:szCs w:val="28"/>
              </w:rPr>
              <w:t>资源量一览表</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54" w:hRule="exact"/>
        </w:trPr>
        <w:tc>
          <w:tcPr>
            <w:tcW w:w="605" w:type="pct"/>
            <w:tcBorders>
              <w:top w:val="single" w:color="000000" w:sz="2" w:space="0"/>
              <w:bottom w:val="single" w:color="000000" w:sz="2" w:space="0"/>
            </w:tcBorders>
            <w:shd w:val="clear" w:color="auto" w:fill="auto"/>
            <w:vAlign w:val="center"/>
          </w:tcPr>
          <w:p>
            <w:pPr>
              <w:jc w:val="center"/>
              <w:rPr>
                <w:rFonts w:ascii="黑体" w:hAnsi="黑体" w:eastAsia="黑体"/>
                <w:b/>
                <w:bCs/>
                <w:snapToGrid w:val="0"/>
                <w:color w:val="000000"/>
                <w:szCs w:val="21"/>
              </w:rPr>
            </w:pPr>
            <w:r>
              <w:rPr>
                <w:rFonts w:ascii="黑体" w:hAnsi="黑体" w:eastAsia="黑体"/>
                <w:b/>
                <w:bCs/>
                <w:snapToGrid w:val="0"/>
                <w:color w:val="000000"/>
                <w:szCs w:val="21"/>
              </w:rPr>
              <w:t>序号</w:t>
            </w:r>
          </w:p>
        </w:tc>
        <w:tc>
          <w:tcPr>
            <w:tcW w:w="1360" w:type="pct"/>
            <w:tcBorders>
              <w:top w:val="single" w:color="000000" w:sz="2" w:space="0"/>
              <w:bottom w:val="single" w:color="000000" w:sz="2" w:space="0"/>
            </w:tcBorders>
            <w:shd w:val="clear" w:color="auto" w:fill="auto"/>
            <w:vAlign w:val="center"/>
          </w:tcPr>
          <w:p>
            <w:pPr>
              <w:jc w:val="center"/>
              <w:rPr>
                <w:rFonts w:ascii="黑体" w:hAnsi="黑体" w:eastAsia="黑体"/>
                <w:b/>
                <w:bCs/>
                <w:snapToGrid w:val="0"/>
                <w:color w:val="000000"/>
                <w:szCs w:val="21"/>
              </w:rPr>
            </w:pPr>
            <w:r>
              <w:rPr>
                <w:rFonts w:ascii="黑体" w:hAnsi="黑体" w:eastAsia="黑体"/>
                <w:b/>
                <w:bCs/>
                <w:snapToGrid w:val="0"/>
                <w:color w:val="000000"/>
                <w:szCs w:val="21"/>
              </w:rPr>
              <w:t>矿产名称</w:t>
            </w:r>
          </w:p>
        </w:tc>
        <w:tc>
          <w:tcPr>
            <w:tcW w:w="689" w:type="pct"/>
            <w:tcBorders>
              <w:top w:val="single" w:color="000000" w:sz="2" w:space="0"/>
              <w:bottom w:val="single" w:color="000000" w:sz="2" w:space="0"/>
            </w:tcBorders>
            <w:shd w:val="clear" w:color="auto" w:fill="auto"/>
            <w:vAlign w:val="center"/>
          </w:tcPr>
          <w:p>
            <w:pPr>
              <w:jc w:val="center"/>
              <w:rPr>
                <w:rFonts w:ascii="黑体" w:hAnsi="黑体" w:eastAsia="黑体"/>
                <w:b/>
                <w:bCs/>
                <w:snapToGrid w:val="0"/>
                <w:color w:val="000000"/>
                <w:szCs w:val="21"/>
              </w:rPr>
            </w:pPr>
            <w:r>
              <w:rPr>
                <w:rFonts w:ascii="黑体" w:hAnsi="黑体" w:eastAsia="黑体"/>
                <w:b/>
                <w:bCs/>
                <w:snapToGrid w:val="0"/>
                <w:color w:val="000000"/>
                <w:szCs w:val="21"/>
              </w:rPr>
              <w:t>矿</w:t>
            </w:r>
            <w:r>
              <w:rPr>
                <w:rFonts w:hint="eastAsia" w:ascii="黑体" w:hAnsi="黑体" w:eastAsia="黑体"/>
                <w:b/>
                <w:bCs/>
                <w:snapToGrid w:val="0"/>
                <w:color w:val="000000"/>
                <w:szCs w:val="21"/>
              </w:rPr>
              <w:t>山</w:t>
            </w:r>
            <w:r>
              <w:rPr>
                <w:rFonts w:ascii="黑体" w:hAnsi="黑体" w:eastAsia="黑体"/>
                <w:b/>
                <w:bCs/>
                <w:snapToGrid w:val="0"/>
                <w:color w:val="000000"/>
                <w:szCs w:val="21"/>
              </w:rPr>
              <w:t>数</w:t>
            </w:r>
          </w:p>
        </w:tc>
        <w:tc>
          <w:tcPr>
            <w:tcW w:w="1098" w:type="pct"/>
            <w:tcBorders>
              <w:top w:val="single" w:color="000000" w:sz="2" w:space="0"/>
              <w:bottom w:val="single" w:color="000000" w:sz="2" w:space="0"/>
            </w:tcBorders>
            <w:shd w:val="clear" w:color="auto" w:fill="auto"/>
            <w:vAlign w:val="center"/>
          </w:tcPr>
          <w:p>
            <w:pPr>
              <w:jc w:val="center"/>
              <w:rPr>
                <w:rFonts w:ascii="黑体" w:hAnsi="黑体" w:eastAsia="黑体"/>
                <w:b/>
                <w:bCs/>
                <w:snapToGrid w:val="0"/>
                <w:color w:val="000000"/>
                <w:szCs w:val="21"/>
              </w:rPr>
            </w:pPr>
            <w:r>
              <w:rPr>
                <w:rFonts w:ascii="黑体" w:hAnsi="黑体" w:eastAsia="黑体"/>
                <w:b/>
                <w:bCs/>
                <w:snapToGrid w:val="0"/>
                <w:color w:val="000000"/>
                <w:szCs w:val="21"/>
              </w:rPr>
              <w:t>资源储量单位</w:t>
            </w:r>
          </w:p>
        </w:tc>
        <w:tc>
          <w:tcPr>
            <w:tcW w:w="1248" w:type="pct"/>
            <w:tcBorders>
              <w:top w:val="single" w:color="000000" w:sz="2" w:space="0"/>
              <w:bottom w:val="single" w:color="000000" w:sz="2" w:space="0"/>
            </w:tcBorders>
            <w:shd w:val="clear" w:color="auto" w:fill="auto"/>
            <w:vAlign w:val="center"/>
          </w:tcPr>
          <w:p>
            <w:pPr>
              <w:jc w:val="center"/>
              <w:rPr>
                <w:rFonts w:ascii="黑体" w:hAnsi="黑体" w:eastAsia="黑体"/>
                <w:b/>
                <w:bCs/>
                <w:snapToGrid w:val="0"/>
                <w:color w:val="000000"/>
                <w:szCs w:val="21"/>
              </w:rPr>
            </w:pPr>
            <w:r>
              <w:rPr>
                <w:rFonts w:ascii="黑体" w:hAnsi="黑体" w:eastAsia="黑体"/>
                <w:b/>
                <w:bCs/>
                <w:snapToGrid w:val="0"/>
                <w:color w:val="000000"/>
                <w:szCs w:val="21"/>
              </w:rPr>
              <w:t>资源量</w:t>
            </w:r>
            <w:r>
              <w:rPr>
                <w:rFonts w:hint="eastAsia" w:ascii="黑体" w:hAnsi="黑体" w:eastAsia="黑体"/>
                <w:b/>
                <w:bCs/>
                <w:snapToGrid w:val="0"/>
                <w:color w:val="000000"/>
                <w:szCs w:val="21"/>
              </w:rPr>
              <w:t>（查明/保有）</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95" w:hRule="exact"/>
        </w:trPr>
        <w:tc>
          <w:tcPr>
            <w:tcW w:w="605" w:type="pct"/>
            <w:tcBorders>
              <w:top w:val="single" w:color="000000" w:sz="2" w:space="0"/>
              <w:bottom w:val="single" w:color="000000" w:sz="2" w:space="0"/>
            </w:tcBorders>
            <w:shd w:val="clear" w:color="auto" w:fill="auto"/>
          </w:tcPr>
          <w:p>
            <w:pPr>
              <w:jc w:val="center"/>
              <w:rPr>
                <w:rFonts w:ascii="仿宋_GB2312" w:eastAsia="仿宋_GB2312"/>
                <w:snapToGrid w:val="0"/>
                <w:sz w:val="22"/>
              </w:rPr>
            </w:pPr>
            <w:r>
              <w:rPr>
                <w:rFonts w:hint="eastAsia" w:ascii="仿宋_GB2312" w:eastAsia="仿宋_GB2312"/>
                <w:snapToGrid w:val="0"/>
                <w:color w:val="000000"/>
                <w:sz w:val="22"/>
              </w:rPr>
              <w:t>1</w:t>
            </w:r>
          </w:p>
        </w:tc>
        <w:tc>
          <w:tcPr>
            <w:tcW w:w="1360" w:type="pct"/>
            <w:tcBorders>
              <w:top w:val="single" w:color="000000" w:sz="2" w:space="0"/>
              <w:bottom w:val="single" w:color="000000" w:sz="2" w:space="0"/>
            </w:tcBorders>
            <w:shd w:val="clear" w:color="auto" w:fill="auto"/>
          </w:tcPr>
          <w:p>
            <w:pPr>
              <w:jc w:val="center"/>
              <w:rPr>
                <w:rFonts w:ascii="仿宋_GB2312" w:eastAsia="仿宋_GB2312"/>
                <w:snapToGrid w:val="0"/>
                <w:sz w:val="22"/>
              </w:rPr>
            </w:pPr>
            <w:r>
              <w:rPr>
                <w:rFonts w:hint="eastAsia" w:ascii="仿宋_GB2312" w:eastAsia="仿宋_GB2312"/>
                <w:snapToGrid w:val="0"/>
                <w:color w:val="000000"/>
                <w:sz w:val="22"/>
              </w:rPr>
              <w:t>钨矿</w:t>
            </w:r>
          </w:p>
        </w:tc>
        <w:tc>
          <w:tcPr>
            <w:tcW w:w="689" w:type="pct"/>
            <w:tcBorders>
              <w:top w:val="single" w:color="000000" w:sz="2" w:space="0"/>
              <w:bottom w:val="single" w:color="000000" w:sz="2" w:space="0"/>
            </w:tcBorders>
            <w:shd w:val="clear" w:color="auto" w:fill="auto"/>
          </w:tcPr>
          <w:p>
            <w:pPr>
              <w:jc w:val="center"/>
              <w:rPr>
                <w:rFonts w:ascii="仿宋_GB2312" w:eastAsia="仿宋_GB2312"/>
                <w:snapToGrid w:val="0"/>
                <w:sz w:val="22"/>
              </w:rPr>
            </w:pPr>
            <w:r>
              <w:rPr>
                <w:rFonts w:ascii="仿宋_GB2312" w:eastAsia="仿宋_GB2312"/>
                <w:snapToGrid w:val="0"/>
                <w:color w:val="000000"/>
                <w:sz w:val="22"/>
              </w:rPr>
              <w:t>1</w:t>
            </w:r>
          </w:p>
        </w:tc>
        <w:tc>
          <w:tcPr>
            <w:tcW w:w="1098" w:type="pct"/>
            <w:tcBorders>
              <w:top w:val="single" w:color="000000" w:sz="2" w:space="0"/>
              <w:bottom w:val="single" w:color="000000" w:sz="2" w:space="0"/>
            </w:tcBorders>
            <w:shd w:val="clear" w:color="auto" w:fill="auto"/>
          </w:tcPr>
          <w:p>
            <w:pPr>
              <w:jc w:val="center"/>
              <w:rPr>
                <w:rFonts w:ascii="仿宋_GB2312" w:eastAsia="仿宋_GB2312"/>
                <w:snapToGrid w:val="0"/>
                <w:sz w:val="22"/>
              </w:rPr>
            </w:pPr>
            <w:r>
              <w:rPr>
                <w:rFonts w:ascii="仿宋_GB2312" w:eastAsia="仿宋_GB2312"/>
                <w:snapToGrid w:val="0"/>
                <w:color w:val="000000"/>
                <w:sz w:val="22"/>
              </w:rPr>
              <w:t>WO</w:t>
            </w:r>
            <w:r>
              <w:rPr>
                <w:rFonts w:ascii="仿宋_GB2312" w:eastAsia="仿宋_GB2312"/>
                <w:snapToGrid w:val="0"/>
                <w:color w:val="000000"/>
                <w:sz w:val="22"/>
                <w:vertAlign w:val="subscript"/>
              </w:rPr>
              <w:t>3</w:t>
            </w:r>
            <w:r>
              <w:rPr>
                <w:rFonts w:hint="eastAsia" w:ascii="仿宋_GB2312" w:eastAsia="仿宋_GB2312"/>
                <w:snapToGrid w:val="0"/>
                <w:color w:val="000000"/>
                <w:sz w:val="22"/>
              </w:rPr>
              <w:t xml:space="preserve"> 吨</w:t>
            </w:r>
          </w:p>
        </w:tc>
        <w:tc>
          <w:tcPr>
            <w:tcW w:w="1248" w:type="pct"/>
            <w:tcBorders>
              <w:top w:val="single" w:color="000000" w:sz="2" w:space="0"/>
              <w:bottom w:val="single" w:color="000000" w:sz="2" w:space="0"/>
            </w:tcBorders>
            <w:shd w:val="clear" w:color="auto" w:fill="auto"/>
            <w:vAlign w:val="center"/>
          </w:tcPr>
          <w:p>
            <w:pPr>
              <w:jc w:val="center"/>
              <w:rPr>
                <w:rFonts w:ascii="仿宋_GB2312" w:eastAsia="仿宋_GB2312"/>
                <w:snapToGrid w:val="0"/>
                <w:sz w:val="22"/>
              </w:rPr>
            </w:pPr>
            <w:r>
              <w:rPr>
                <w:rFonts w:ascii="仿宋_GB2312" w:eastAsia="仿宋_GB2312"/>
                <w:sz w:val="22"/>
              </w:rPr>
              <w:t>91141/91141</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95" w:hRule="exact"/>
        </w:trPr>
        <w:tc>
          <w:tcPr>
            <w:tcW w:w="605" w:type="pct"/>
            <w:tcBorders>
              <w:top w:val="single" w:color="000000" w:sz="2" w:space="0"/>
              <w:bottom w:val="single" w:color="000000" w:sz="2" w:space="0"/>
            </w:tcBorders>
            <w:shd w:val="clear" w:color="auto" w:fill="auto"/>
          </w:tcPr>
          <w:p>
            <w:pPr>
              <w:jc w:val="center"/>
              <w:rPr>
                <w:rFonts w:ascii="仿宋_GB2312" w:eastAsia="仿宋_GB2312"/>
                <w:snapToGrid w:val="0"/>
                <w:color w:val="000000"/>
                <w:sz w:val="22"/>
              </w:rPr>
            </w:pPr>
            <w:r>
              <w:rPr>
                <w:rFonts w:hint="eastAsia" w:ascii="仿宋_GB2312" w:eastAsia="仿宋_GB2312"/>
                <w:snapToGrid w:val="0"/>
                <w:color w:val="000000"/>
                <w:sz w:val="22"/>
              </w:rPr>
              <w:t>2</w:t>
            </w:r>
          </w:p>
        </w:tc>
        <w:tc>
          <w:tcPr>
            <w:tcW w:w="1360" w:type="pct"/>
            <w:tcBorders>
              <w:top w:val="single" w:color="000000" w:sz="2" w:space="0"/>
              <w:bottom w:val="single" w:color="000000" w:sz="2" w:space="0"/>
            </w:tcBorders>
            <w:shd w:val="clear" w:color="auto" w:fill="auto"/>
          </w:tcPr>
          <w:p>
            <w:pPr>
              <w:jc w:val="center"/>
              <w:rPr>
                <w:rFonts w:ascii="仿宋_GB2312" w:eastAsia="仿宋_GB2312"/>
                <w:snapToGrid w:val="0"/>
                <w:color w:val="000000"/>
                <w:sz w:val="22"/>
              </w:rPr>
            </w:pPr>
            <w:r>
              <w:rPr>
                <w:rFonts w:hint="eastAsia" w:ascii="仿宋_GB2312" w:eastAsia="仿宋_GB2312"/>
                <w:snapToGrid w:val="0"/>
                <w:color w:val="000000"/>
                <w:sz w:val="22"/>
              </w:rPr>
              <w:t>钼矿</w:t>
            </w:r>
          </w:p>
        </w:tc>
        <w:tc>
          <w:tcPr>
            <w:tcW w:w="689" w:type="pct"/>
            <w:tcBorders>
              <w:top w:val="single" w:color="000000" w:sz="2" w:space="0"/>
              <w:bottom w:val="single" w:color="000000" w:sz="2" w:space="0"/>
            </w:tcBorders>
            <w:shd w:val="clear" w:color="auto" w:fill="auto"/>
          </w:tcPr>
          <w:p>
            <w:pPr>
              <w:jc w:val="center"/>
              <w:rPr>
                <w:rFonts w:ascii="仿宋_GB2312" w:eastAsia="仿宋_GB2312"/>
                <w:snapToGrid w:val="0"/>
                <w:color w:val="000000"/>
                <w:sz w:val="22"/>
              </w:rPr>
            </w:pPr>
            <w:r>
              <w:rPr>
                <w:rFonts w:hint="eastAsia" w:ascii="仿宋_GB2312" w:eastAsia="仿宋_GB2312"/>
                <w:snapToGrid w:val="0"/>
                <w:color w:val="000000"/>
                <w:sz w:val="22"/>
              </w:rPr>
              <w:t>1</w:t>
            </w:r>
          </w:p>
        </w:tc>
        <w:tc>
          <w:tcPr>
            <w:tcW w:w="1098" w:type="pct"/>
            <w:tcBorders>
              <w:top w:val="single" w:color="000000" w:sz="2" w:space="0"/>
              <w:bottom w:val="single" w:color="000000" w:sz="2" w:space="0"/>
            </w:tcBorders>
            <w:shd w:val="clear" w:color="auto" w:fill="auto"/>
          </w:tcPr>
          <w:p>
            <w:pPr>
              <w:jc w:val="center"/>
              <w:rPr>
                <w:rFonts w:ascii="仿宋_GB2312" w:eastAsia="仿宋_GB2312"/>
                <w:snapToGrid w:val="0"/>
                <w:color w:val="000000"/>
                <w:sz w:val="22"/>
              </w:rPr>
            </w:pPr>
            <w:r>
              <w:rPr>
                <w:rFonts w:ascii="仿宋_GB2312" w:eastAsia="仿宋_GB2312"/>
                <w:snapToGrid w:val="0"/>
                <w:color w:val="000000"/>
                <w:sz w:val="22"/>
              </w:rPr>
              <w:t>Mo</w:t>
            </w:r>
            <w:r>
              <w:rPr>
                <w:rFonts w:hint="eastAsia" w:ascii="仿宋_GB2312" w:eastAsia="仿宋_GB2312"/>
                <w:snapToGrid w:val="0"/>
                <w:color w:val="000000"/>
                <w:sz w:val="22"/>
              </w:rPr>
              <w:t xml:space="preserve"> 吨</w:t>
            </w:r>
          </w:p>
        </w:tc>
        <w:tc>
          <w:tcPr>
            <w:tcW w:w="1248" w:type="pct"/>
            <w:tcBorders>
              <w:top w:val="single" w:color="000000" w:sz="2" w:space="0"/>
              <w:bottom w:val="single" w:color="000000" w:sz="2" w:space="0"/>
            </w:tcBorders>
            <w:shd w:val="clear" w:color="auto" w:fill="auto"/>
            <w:vAlign w:val="center"/>
          </w:tcPr>
          <w:p>
            <w:pPr>
              <w:jc w:val="center"/>
              <w:rPr>
                <w:rFonts w:ascii="仿宋_GB2312" w:eastAsia="仿宋_GB2312"/>
                <w:sz w:val="22"/>
              </w:rPr>
            </w:pPr>
            <w:r>
              <w:rPr>
                <w:rFonts w:ascii="仿宋_GB2312" w:eastAsia="仿宋_GB2312"/>
                <w:sz w:val="22"/>
              </w:rPr>
              <w:t>11126/11126</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95" w:hRule="exact"/>
        </w:trPr>
        <w:tc>
          <w:tcPr>
            <w:tcW w:w="605" w:type="pct"/>
            <w:tcBorders>
              <w:top w:val="single" w:color="000000" w:sz="2" w:space="0"/>
              <w:bottom w:val="single" w:color="000000" w:sz="2" w:space="0"/>
            </w:tcBorders>
            <w:shd w:val="clear" w:color="auto" w:fill="auto"/>
          </w:tcPr>
          <w:p>
            <w:pPr>
              <w:jc w:val="center"/>
              <w:rPr>
                <w:rFonts w:ascii="仿宋_GB2312" w:eastAsia="仿宋_GB2312"/>
                <w:snapToGrid w:val="0"/>
                <w:sz w:val="22"/>
              </w:rPr>
            </w:pPr>
            <w:r>
              <w:rPr>
                <w:rFonts w:ascii="仿宋_GB2312" w:eastAsia="仿宋_GB2312"/>
                <w:snapToGrid w:val="0"/>
                <w:color w:val="000000"/>
                <w:sz w:val="22"/>
              </w:rPr>
              <w:t>3</w:t>
            </w:r>
          </w:p>
        </w:tc>
        <w:tc>
          <w:tcPr>
            <w:tcW w:w="1360" w:type="pct"/>
            <w:tcBorders>
              <w:top w:val="single" w:color="000000" w:sz="2" w:space="0"/>
              <w:bottom w:val="single" w:color="000000" w:sz="2" w:space="0"/>
            </w:tcBorders>
            <w:shd w:val="clear" w:color="auto" w:fill="auto"/>
          </w:tcPr>
          <w:p>
            <w:pPr>
              <w:jc w:val="center"/>
              <w:rPr>
                <w:rFonts w:ascii="仿宋_GB2312" w:eastAsia="仿宋_GB2312"/>
                <w:snapToGrid w:val="0"/>
                <w:sz w:val="22"/>
              </w:rPr>
            </w:pPr>
            <w:r>
              <w:rPr>
                <w:rFonts w:hint="eastAsia" w:ascii="仿宋_GB2312" w:eastAsia="仿宋_GB2312"/>
                <w:snapToGrid w:val="0"/>
                <w:sz w:val="22"/>
              </w:rPr>
              <w:t>金矿</w:t>
            </w:r>
          </w:p>
        </w:tc>
        <w:tc>
          <w:tcPr>
            <w:tcW w:w="689" w:type="pct"/>
            <w:tcBorders>
              <w:top w:val="single" w:color="000000" w:sz="2" w:space="0"/>
              <w:bottom w:val="single" w:color="000000" w:sz="2" w:space="0"/>
            </w:tcBorders>
            <w:shd w:val="clear" w:color="auto" w:fill="auto"/>
          </w:tcPr>
          <w:p>
            <w:pPr>
              <w:jc w:val="center"/>
              <w:rPr>
                <w:rFonts w:ascii="仿宋_GB2312" w:eastAsia="仿宋_GB2312"/>
                <w:snapToGrid w:val="0"/>
                <w:sz w:val="22"/>
              </w:rPr>
            </w:pPr>
            <w:r>
              <w:rPr>
                <w:rFonts w:ascii="仿宋_GB2312" w:eastAsia="仿宋_GB2312"/>
                <w:snapToGrid w:val="0"/>
                <w:color w:val="000000"/>
                <w:sz w:val="22"/>
              </w:rPr>
              <w:t>2</w:t>
            </w:r>
          </w:p>
        </w:tc>
        <w:tc>
          <w:tcPr>
            <w:tcW w:w="1098" w:type="pct"/>
            <w:tcBorders>
              <w:top w:val="single" w:color="000000" w:sz="2" w:space="0"/>
              <w:bottom w:val="single" w:color="000000" w:sz="2" w:space="0"/>
            </w:tcBorders>
            <w:shd w:val="clear" w:color="auto" w:fill="auto"/>
          </w:tcPr>
          <w:p>
            <w:pPr>
              <w:jc w:val="center"/>
              <w:rPr>
                <w:rFonts w:ascii="仿宋_GB2312" w:eastAsia="仿宋_GB2312"/>
                <w:snapToGrid w:val="0"/>
                <w:sz w:val="22"/>
              </w:rPr>
            </w:pPr>
            <w:r>
              <w:rPr>
                <w:rFonts w:hint="eastAsia" w:ascii="仿宋_GB2312" w:eastAsia="仿宋_GB2312"/>
                <w:snapToGrid w:val="0"/>
                <w:color w:val="000000"/>
                <w:sz w:val="22"/>
              </w:rPr>
              <w:t>A</w:t>
            </w:r>
            <w:r>
              <w:rPr>
                <w:rFonts w:ascii="仿宋_GB2312" w:eastAsia="仿宋_GB2312"/>
                <w:snapToGrid w:val="0"/>
                <w:color w:val="000000"/>
                <w:sz w:val="22"/>
              </w:rPr>
              <w:t>u</w:t>
            </w:r>
            <w:r>
              <w:rPr>
                <w:rFonts w:hint="eastAsia" w:ascii="仿宋_GB2312" w:eastAsia="仿宋_GB2312"/>
                <w:snapToGrid w:val="0"/>
                <w:color w:val="000000"/>
                <w:sz w:val="22"/>
              </w:rPr>
              <w:t>金属量 千克</w:t>
            </w:r>
          </w:p>
        </w:tc>
        <w:tc>
          <w:tcPr>
            <w:tcW w:w="1248" w:type="pct"/>
            <w:tcBorders>
              <w:top w:val="single" w:color="000000" w:sz="2" w:space="0"/>
              <w:bottom w:val="single" w:color="000000" w:sz="2" w:space="0"/>
            </w:tcBorders>
            <w:shd w:val="clear" w:color="auto" w:fill="auto"/>
            <w:vAlign w:val="center"/>
          </w:tcPr>
          <w:p>
            <w:pPr>
              <w:jc w:val="center"/>
              <w:rPr>
                <w:rFonts w:ascii="仿宋_GB2312" w:eastAsia="仿宋_GB2312"/>
                <w:snapToGrid w:val="0"/>
                <w:sz w:val="22"/>
              </w:rPr>
            </w:pPr>
            <w:r>
              <w:rPr>
                <w:rFonts w:ascii="仿宋_GB2312" w:eastAsia="仿宋_GB2312"/>
                <w:sz w:val="22"/>
              </w:rPr>
              <w:t>4336/3188</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95" w:hRule="exact"/>
        </w:trPr>
        <w:tc>
          <w:tcPr>
            <w:tcW w:w="605" w:type="pct"/>
            <w:tcBorders>
              <w:top w:val="single" w:color="000000" w:sz="2" w:space="0"/>
              <w:bottom w:val="single" w:color="000000" w:sz="2" w:space="0"/>
            </w:tcBorders>
            <w:shd w:val="clear" w:color="auto" w:fill="auto"/>
          </w:tcPr>
          <w:p>
            <w:pPr>
              <w:jc w:val="center"/>
              <w:rPr>
                <w:rFonts w:ascii="仿宋_GB2312" w:eastAsia="仿宋_GB2312"/>
                <w:snapToGrid w:val="0"/>
                <w:sz w:val="22"/>
              </w:rPr>
            </w:pPr>
            <w:r>
              <w:rPr>
                <w:rFonts w:ascii="仿宋_GB2312" w:eastAsia="仿宋_GB2312"/>
                <w:snapToGrid w:val="0"/>
                <w:color w:val="000000"/>
                <w:sz w:val="22"/>
              </w:rPr>
              <w:t>4</w:t>
            </w:r>
          </w:p>
        </w:tc>
        <w:tc>
          <w:tcPr>
            <w:tcW w:w="1360" w:type="pct"/>
            <w:tcBorders>
              <w:top w:val="single" w:color="000000" w:sz="2" w:space="0"/>
              <w:bottom w:val="single" w:color="000000" w:sz="2" w:space="0"/>
            </w:tcBorders>
            <w:shd w:val="clear" w:color="auto" w:fill="auto"/>
          </w:tcPr>
          <w:p>
            <w:pPr>
              <w:jc w:val="center"/>
              <w:rPr>
                <w:rFonts w:ascii="仿宋_GB2312" w:eastAsia="仿宋_GB2312"/>
                <w:snapToGrid w:val="0"/>
                <w:sz w:val="22"/>
              </w:rPr>
            </w:pPr>
            <w:r>
              <w:rPr>
                <w:rFonts w:hint="eastAsia" w:ascii="仿宋_GB2312" w:eastAsia="仿宋_GB2312"/>
                <w:snapToGrid w:val="0"/>
                <w:sz w:val="22"/>
              </w:rPr>
              <w:t>饰面用大理岩</w:t>
            </w:r>
          </w:p>
        </w:tc>
        <w:tc>
          <w:tcPr>
            <w:tcW w:w="689" w:type="pct"/>
            <w:tcBorders>
              <w:top w:val="single" w:color="000000" w:sz="2" w:space="0"/>
              <w:bottom w:val="single" w:color="000000" w:sz="2" w:space="0"/>
            </w:tcBorders>
            <w:shd w:val="clear" w:color="auto" w:fill="auto"/>
          </w:tcPr>
          <w:p>
            <w:pPr>
              <w:jc w:val="center"/>
              <w:rPr>
                <w:rFonts w:ascii="仿宋_GB2312" w:eastAsia="仿宋_GB2312"/>
                <w:snapToGrid w:val="0"/>
                <w:sz w:val="22"/>
              </w:rPr>
            </w:pPr>
            <w:r>
              <w:rPr>
                <w:rFonts w:ascii="仿宋_GB2312" w:eastAsia="仿宋_GB2312"/>
                <w:snapToGrid w:val="0"/>
                <w:color w:val="000000"/>
                <w:sz w:val="22"/>
              </w:rPr>
              <w:t>2</w:t>
            </w:r>
          </w:p>
        </w:tc>
        <w:tc>
          <w:tcPr>
            <w:tcW w:w="1098" w:type="pct"/>
            <w:tcBorders>
              <w:top w:val="single" w:color="000000" w:sz="2" w:space="0"/>
              <w:bottom w:val="single" w:color="000000" w:sz="2" w:space="0"/>
            </w:tcBorders>
            <w:shd w:val="clear" w:color="auto" w:fill="auto"/>
          </w:tcPr>
          <w:p>
            <w:pPr>
              <w:jc w:val="center"/>
              <w:rPr>
                <w:rFonts w:ascii="仿宋_GB2312" w:eastAsia="仿宋_GB2312"/>
                <w:snapToGrid w:val="0"/>
                <w:sz w:val="22"/>
              </w:rPr>
            </w:pPr>
            <w:r>
              <w:rPr>
                <w:rFonts w:hint="eastAsia" w:ascii="仿宋_GB2312" w:eastAsia="仿宋_GB2312"/>
                <w:snapToGrid w:val="0"/>
                <w:color w:val="000000"/>
                <w:sz w:val="22"/>
              </w:rPr>
              <w:t>矿石 千立方米</w:t>
            </w:r>
          </w:p>
        </w:tc>
        <w:tc>
          <w:tcPr>
            <w:tcW w:w="1248" w:type="pct"/>
            <w:tcBorders>
              <w:top w:val="single" w:color="000000" w:sz="2" w:space="0"/>
              <w:bottom w:val="single" w:color="000000" w:sz="2" w:space="0"/>
            </w:tcBorders>
            <w:shd w:val="clear" w:color="auto" w:fill="auto"/>
            <w:vAlign w:val="center"/>
          </w:tcPr>
          <w:p>
            <w:pPr>
              <w:jc w:val="center"/>
              <w:rPr>
                <w:rFonts w:ascii="仿宋_GB2312" w:eastAsia="仿宋_GB2312"/>
                <w:snapToGrid w:val="0"/>
                <w:sz w:val="22"/>
              </w:rPr>
            </w:pPr>
            <w:r>
              <w:rPr>
                <w:rFonts w:ascii="仿宋_GB2312" w:eastAsia="仿宋_GB2312"/>
                <w:sz w:val="22"/>
              </w:rPr>
              <w:t>5240/4176.1</w:t>
            </w:r>
          </w:p>
        </w:tc>
      </w:tr>
    </w:tbl>
    <w:p>
      <w:pPr>
        <w:pStyle w:val="7"/>
        <w:spacing w:after="0"/>
        <w:jc w:val="left"/>
        <w:rPr>
          <w:rFonts w:ascii="仿宋_GB2312" w:eastAsia="仿宋_GB2312"/>
          <w:color w:val="000000"/>
          <w:sz w:val="22"/>
          <w:szCs w:val="21"/>
        </w:rPr>
      </w:pPr>
      <w:r>
        <w:rPr>
          <w:rFonts w:hint="eastAsia" w:ascii="仿宋_GB2312" w:eastAsia="仿宋_GB2312"/>
          <w:color w:val="000000"/>
          <w:sz w:val="22"/>
          <w:szCs w:val="21"/>
        </w:rPr>
        <w:t>注</w:t>
      </w:r>
      <w:r>
        <w:rPr>
          <w:rFonts w:hint="eastAsia" w:ascii="仿宋_GB2312" w:hAnsi="宋体" w:eastAsia="仿宋_GB2312" w:cs="宋体"/>
          <w:color w:val="000000"/>
          <w:sz w:val="22"/>
          <w:szCs w:val="21"/>
        </w:rPr>
        <w:t>∶</w:t>
      </w:r>
      <w:r>
        <w:rPr>
          <w:rFonts w:hint="eastAsia" w:ascii="仿宋_GB2312" w:eastAsia="仿宋_GB2312"/>
          <w:color w:val="000000"/>
          <w:sz w:val="22"/>
          <w:szCs w:val="21"/>
        </w:rPr>
        <w:t xml:space="preserve"> 数据来源于 2020年矿产资源储量数据库、矿山开发利用统计数据库及2</w:t>
      </w:r>
      <w:r>
        <w:rPr>
          <w:rFonts w:ascii="仿宋_GB2312" w:eastAsia="仿宋_GB2312"/>
          <w:color w:val="000000"/>
          <w:sz w:val="22"/>
          <w:szCs w:val="21"/>
        </w:rPr>
        <w:t>020</w:t>
      </w:r>
      <w:r>
        <w:rPr>
          <w:rFonts w:hint="eastAsia" w:ascii="仿宋_GB2312" w:eastAsia="仿宋_GB2312"/>
          <w:color w:val="000000"/>
          <w:sz w:val="22"/>
          <w:szCs w:val="21"/>
        </w:rPr>
        <w:t>年度矿山储量年报，</w:t>
      </w:r>
      <w:r>
        <w:rPr>
          <w:rFonts w:hint="eastAsia" w:ascii="仿宋_GB2312" w:eastAsia="仿宋_GB2312"/>
          <w:color w:val="000000"/>
          <w:szCs w:val="20"/>
        </w:rPr>
        <w:t>数据截止日期为2</w:t>
      </w:r>
      <w:r>
        <w:rPr>
          <w:rFonts w:ascii="仿宋_GB2312" w:eastAsia="仿宋_GB2312"/>
          <w:color w:val="000000"/>
          <w:szCs w:val="20"/>
        </w:rPr>
        <w:t>020</w:t>
      </w:r>
      <w:r>
        <w:rPr>
          <w:rFonts w:hint="eastAsia" w:ascii="仿宋_GB2312" w:eastAsia="仿宋_GB2312"/>
          <w:color w:val="000000"/>
          <w:szCs w:val="20"/>
        </w:rPr>
        <w:t>年1</w:t>
      </w:r>
      <w:r>
        <w:rPr>
          <w:rFonts w:ascii="仿宋_GB2312" w:eastAsia="仿宋_GB2312"/>
          <w:color w:val="000000"/>
          <w:szCs w:val="20"/>
        </w:rPr>
        <w:t>2</w:t>
      </w:r>
      <w:r>
        <w:rPr>
          <w:rFonts w:hint="eastAsia" w:ascii="仿宋_GB2312" w:eastAsia="仿宋_GB2312"/>
          <w:color w:val="000000"/>
          <w:szCs w:val="20"/>
        </w:rPr>
        <w:t>月底</w:t>
      </w:r>
      <w:r>
        <w:rPr>
          <w:rFonts w:hint="eastAsia" w:ascii="仿宋_GB2312" w:eastAsia="仿宋_GB2312"/>
          <w:color w:val="000000"/>
          <w:sz w:val="22"/>
          <w:szCs w:val="21"/>
        </w:rPr>
        <w:t>。</w:t>
      </w:r>
    </w:p>
    <w:p>
      <w:pPr>
        <w:spacing w:line="360" w:lineRule="auto"/>
        <w:ind w:firstLine="643" w:firstLineChars="200"/>
        <w:rPr>
          <w:rFonts w:ascii="仿宋_GB2312" w:eastAsia="仿宋_GB2312"/>
          <w:b/>
          <w:bCs/>
          <w:sz w:val="32"/>
          <w:szCs w:val="32"/>
        </w:rPr>
      </w:pPr>
      <w:r>
        <w:rPr>
          <w:rFonts w:hint="eastAsia" w:ascii="仿宋_GB2312" w:eastAsia="仿宋_GB2312"/>
          <w:b/>
          <w:bCs/>
          <w:sz w:val="32"/>
          <w:szCs w:val="32"/>
        </w:rPr>
        <w:t>矿产资源分布较规律，区域特色明显。</w:t>
      </w:r>
      <w:r>
        <w:rPr>
          <w:rFonts w:hint="eastAsia" w:ascii="仿宋_GB2312" w:eastAsia="仿宋_GB2312"/>
          <w:sz w:val="32"/>
          <w:szCs w:val="32"/>
        </w:rPr>
        <w:t>矿产资源主要集中分布于县域南西部、东部、北西部，南西部董家沟-落河硐-门子沟一带，以金、饰面用大理岩为主；东部海子沟-巴郎山一带，以金为主；北西部干海子-水海子-小草坝一带，以钨、钼为主。</w:t>
      </w:r>
    </w:p>
    <w:p>
      <w:pPr>
        <w:spacing w:line="360" w:lineRule="auto"/>
        <w:ind w:firstLine="643" w:firstLineChars="200"/>
        <w:rPr>
          <w:rFonts w:ascii="仿宋_GB2312" w:hAnsi="黑体" w:eastAsia="仿宋_GB2312"/>
          <w:b/>
          <w:bCs/>
          <w:sz w:val="32"/>
          <w:szCs w:val="32"/>
        </w:rPr>
      </w:pPr>
      <w:r>
        <w:rPr>
          <w:rFonts w:hint="eastAsia" w:ascii="仿宋_GB2312" w:eastAsia="仿宋_GB2312" w:cs="仿宋_GB2312"/>
          <w:b/>
          <w:kern w:val="0"/>
          <w:sz w:val="32"/>
          <w:szCs w:val="32"/>
        </w:rPr>
        <w:t>钨、钼等重要战略性矿产资源潜力较大。</w:t>
      </w:r>
      <w:r>
        <w:rPr>
          <w:rFonts w:hint="eastAsia" w:ascii="仿宋_GB2312" w:eastAsia="仿宋_GB2312"/>
          <w:sz w:val="32"/>
          <w:szCs w:val="32"/>
        </w:rPr>
        <w:t>钨、钼等重要战略性矿产资源主要分布于县域北西部水海子、干海子、小草坝等区域，仅小草坝一处，钨矿即达到大型矿区资源量规模。该区域重要战略性矿产资源勘查潜力和开发价值较大。</w:t>
      </w:r>
      <w:bookmarkStart w:id="12" w:name="_Toc84672686"/>
    </w:p>
    <w:p>
      <w:pPr>
        <w:spacing w:before="156" w:beforeLines="50" w:after="156" w:afterLines="50"/>
        <w:jc w:val="center"/>
        <w:outlineLvl w:val="1"/>
        <w:rPr>
          <w:rFonts w:ascii="黑体" w:hAnsi="黑体" w:eastAsia="黑体"/>
          <w:b/>
          <w:bCs/>
          <w:sz w:val="32"/>
          <w:szCs w:val="32"/>
        </w:rPr>
      </w:pPr>
      <w:bookmarkStart w:id="13" w:name="_Toc100824220"/>
      <w:bookmarkStart w:id="14" w:name="_Toc119246853"/>
      <w:bookmarkStart w:id="15" w:name="_Toc119246983"/>
      <w:r>
        <w:rPr>
          <w:rFonts w:hint="eastAsia" w:ascii="黑体" w:hAnsi="黑体" w:eastAsia="黑体"/>
          <w:b/>
          <w:bCs/>
          <w:sz w:val="32"/>
          <w:szCs w:val="32"/>
        </w:rPr>
        <w:t>第二节 矿产资源勘查开发现状</w:t>
      </w:r>
      <w:bookmarkEnd w:id="12"/>
      <w:bookmarkEnd w:id="13"/>
      <w:bookmarkEnd w:id="14"/>
      <w:bookmarkEnd w:id="15"/>
    </w:p>
    <w:p>
      <w:pPr>
        <w:spacing w:line="360" w:lineRule="auto"/>
        <w:ind w:firstLine="643" w:firstLineChars="200"/>
        <w:rPr>
          <w:rFonts w:ascii="仿宋_GB2312" w:hAnsi="仿宋" w:eastAsia="仿宋_GB2312" w:cs="仿宋"/>
          <w:sz w:val="32"/>
          <w:szCs w:val="32"/>
        </w:rPr>
      </w:pPr>
      <w:bookmarkStart w:id="16" w:name="_Hlk100752494"/>
      <w:r>
        <w:rPr>
          <w:rFonts w:hint="eastAsia" w:ascii="仿宋_GB2312" w:eastAsia="仿宋_GB2312"/>
          <w:b/>
          <w:bCs/>
          <w:sz w:val="32"/>
          <w:szCs w:val="32"/>
        </w:rPr>
        <w:t>基础地质调查。</w:t>
      </w:r>
      <w:r>
        <w:rPr>
          <w:rFonts w:hint="eastAsia" w:ascii="仿宋_GB2312" w:hAnsi="仿宋" w:eastAsia="仿宋_GB2312" w:cs="仿宋"/>
          <w:sz w:val="32"/>
          <w:szCs w:val="32"/>
        </w:rPr>
        <w:t>1∶</w:t>
      </w:r>
      <w:r>
        <w:rPr>
          <w:rFonts w:ascii="仿宋_GB2312" w:hAnsi="仿宋" w:eastAsia="仿宋_GB2312" w:cs="仿宋"/>
          <w:sz w:val="32"/>
          <w:szCs w:val="32"/>
        </w:rPr>
        <w:t>10</w:t>
      </w:r>
      <w:r>
        <w:rPr>
          <w:rFonts w:hint="eastAsia" w:ascii="仿宋_GB2312" w:hAnsi="仿宋" w:eastAsia="仿宋_GB2312" w:cs="仿宋"/>
          <w:sz w:val="32"/>
          <w:szCs w:val="32"/>
        </w:rPr>
        <w:t>0万、1∶20万区域地质调查已完成全覆盖；1:</w:t>
      </w:r>
      <w:r>
        <w:rPr>
          <w:rFonts w:ascii="仿宋_GB2312" w:hAnsi="仿宋" w:eastAsia="仿宋_GB2312" w:cs="仿宋"/>
          <w:sz w:val="32"/>
          <w:szCs w:val="32"/>
        </w:rPr>
        <w:t>5</w:t>
      </w:r>
      <w:r>
        <w:rPr>
          <w:rFonts w:hint="eastAsia" w:ascii="仿宋_GB2312" w:hAnsi="仿宋" w:eastAsia="仿宋_GB2312" w:cs="仿宋"/>
          <w:sz w:val="32"/>
          <w:szCs w:val="32"/>
        </w:rPr>
        <w:t>万基础地质调查程度较低，仅完成东部部分地区樟木寨幅。</w:t>
      </w:r>
    </w:p>
    <w:bookmarkEnd w:id="16"/>
    <w:p>
      <w:pPr>
        <w:spacing w:line="360" w:lineRule="auto"/>
        <w:ind w:firstLine="643" w:firstLineChars="200"/>
        <w:rPr>
          <w:rFonts w:ascii="仿宋_GB2312" w:eastAsia="仿宋_GB2312"/>
          <w:color w:val="000000"/>
          <w:sz w:val="32"/>
          <w:szCs w:val="32"/>
        </w:rPr>
      </w:pPr>
      <w:r>
        <w:rPr>
          <w:rFonts w:hint="eastAsia" w:ascii="仿宋_GB2312" w:eastAsia="仿宋_GB2312"/>
          <w:b/>
          <w:bCs/>
          <w:sz w:val="32"/>
          <w:szCs w:val="32"/>
        </w:rPr>
        <w:t>矿产资源勘查。</w:t>
      </w:r>
      <w:r>
        <w:rPr>
          <w:rFonts w:hint="eastAsia" w:ascii="仿宋_GB2312" w:eastAsia="仿宋_GB2312"/>
          <w:sz w:val="32"/>
          <w:szCs w:val="32"/>
        </w:rPr>
        <w:t>“十三五”期间，小金县</w:t>
      </w:r>
      <w:r>
        <w:rPr>
          <w:rFonts w:ascii="仿宋_GB2312" w:eastAsia="仿宋_GB2312"/>
          <w:sz w:val="32"/>
          <w:szCs w:val="32"/>
        </w:rPr>
        <w:t>重点针对</w:t>
      </w:r>
      <w:r>
        <w:rPr>
          <w:rFonts w:hint="eastAsia" w:ascii="仿宋_GB2312" w:eastAsia="仿宋_GB2312"/>
          <w:sz w:val="32"/>
          <w:szCs w:val="32"/>
        </w:rPr>
        <w:t>钨钼</w:t>
      </w:r>
      <w:r>
        <w:rPr>
          <w:rFonts w:ascii="仿宋_GB2312" w:eastAsia="仿宋_GB2312"/>
          <w:sz w:val="32"/>
          <w:szCs w:val="32"/>
        </w:rPr>
        <w:t>矿</w:t>
      </w:r>
      <w:r>
        <w:rPr>
          <w:rFonts w:hint="eastAsia" w:ascii="仿宋_GB2312" w:eastAsia="仿宋_GB2312"/>
          <w:sz w:val="32"/>
          <w:szCs w:val="32"/>
        </w:rPr>
        <w:t>、金矿</w:t>
      </w:r>
      <w:r>
        <w:rPr>
          <w:rFonts w:ascii="仿宋_GB2312" w:eastAsia="仿宋_GB2312"/>
          <w:sz w:val="32"/>
          <w:szCs w:val="32"/>
        </w:rPr>
        <w:t>等金属</w:t>
      </w:r>
      <w:r>
        <w:rPr>
          <w:rFonts w:hint="eastAsia" w:ascii="仿宋_GB2312" w:eastAsia="仿宋_GB2312"/>
          <w:sz w:val="32"/>
          <w:szCs w:val="32"/>
        </w:rPr>
        <w:t>矿产</w:t>
      </w:r>
      <w:r>
        <w:rPr>
          <w:rFonts w:ascii="仿宋_GB2312" w:eastAsia="仿宋_GB2312"/>
          <w:sz w:val="32"/>
          <w:szCs w:val="32"/>
        </w:rPr>
        <w:t>开展矿产勘查工作</w:t>
      </w:r>
      <w:r>
        <w:rPr>
          <w:rFonts w:hint="eastAsia" w:ascii="仿宋_GB2312" w:eastAsia="仿宋_GB2312"/>
          <w:sz w:val="32"/>
          <w:szCs w:val="32"/>
        </w:rPr>
        <w:t>。</w:t>
      </w:r>
      <w:r>
        <w:rPr>
          <w:rFonts w:ascii="仿宋_GB2312" w:eastAsia="仿宋_GB2312"/>
          <w:sz w:val="32"/>
          <w:szCs w:val="32"/>
        </w:rPr>
        <w:t>新增</w:t>
      </w:r>
      <w:r>
        <w:rPr>
          <w:rFonts w:hint="eastAsia" w:ascii="仿宋_GB2312" w:eastAsia="仿宋_GB2312"/>
          <w:sz w:val="32"/>
          <w:szCs w:val="32"/>
        </w:rPr>
        <w:t>W</w:t>
      </w:r>
      <w:r>
        <w:rPr>
          <w:rFonts w:ascii="仿宋_GB2312" w:eastAsia="仿宋_GB2312"/>
          <w:sz w:val="32"/>
          <w:szCs w:val="32"/>
        </w:rPr>
        <w:t>O</w:t>
      </w:r>
      <w:r>
        <w:rPr>
          <w:rFonts w:ascii="仿宋_GB2312" w:eastAsia="仿宋_GB2312"/>
          <w:sz w:val="32"/>
          <w:szCs w:val="32"/>
          <w:vertAlign w:val="subscript"/>
        </w:rPr>
        <w:t>3</w:t>
      </w:r>
      <w:r>
        <w:rPr>
          <w:rFonts w:hint="eastAsia" w:ascii="仿宋_GB2312" w:eastAsia="仿宋_GB2312"/>
          <w:sz w:val="32"/>
          <w:szCs w:val="32"/>
        </w:rPr>
        <w:t>资源量</w:t>
      </w:r>
      <w:r>
        <w:rPr>
          <w:rFonts w:ascii="仿宋_GB2312" w:eastAsia="仿宋_GB2312"/>
          <w:sz w:val="32"/>
          <w:szCs w:val="32"/>
        </w:rPr>
        <w:t>91141</w:t>
      </w:r>
      <w:r>
        <w:rPr>
          <w:rFonts w:hint="eastAsia" w:ascii="仿宋_GB2312" w:eastAsia="仿宋_GB2312"/>
          <w:sz w:val="32"/>
          <w:szCs w:val="32"/>
        </w:rPr>
        <w:t>吨，</w:t>
      </w:r>
      <w:r>
        <w:rPr>
          <w:rFonts w:hint="eastAsia" w:ascii="仿宋_GB2312" w:hAnsi="宋体" w:eastAsia="仿宋_GB2312"/>
          <w:sz w:val="32"/>
          <w:szCs w:val="32"/>
        </w:rPr>
        <w:t>M</w:t>
      </w:r>
      <w:r>
        <w:rPr>
          <w:rFonts w:ascii="仿宋_GB2312" w:hAnsi="宋体" w:eastAsia="仿宋_GB2312"/>
          <w:sz w:val="32"/>
          <w:szCs w:val="32"/>
        </w:rPr>
        <w:t>o</w:t>
      </w:r>
      <w:r>
        <w:rPr>
          <w:rFonts w:hint="eastAsia" w:ascii="仿宋_GB2312" w:eastAsia="仿宋_GB2312"/>
          <w:sz w:val="32"/>
          <w:szCs w:val="32"/>
        </w:rPr>
        <w:t>资源量</w:t>
      </w:r>
      <w:r>
        <w:rPr>
          <w:rFonts w:ascii="仿宋_GB2312" w:eastAsia="仿宋_GB2312"/>
          <w:sz w:val="32"/>
          <w:szCs w:val="32"/>
        </w:rPr>
        <w:t>11126</w:t>
      </w:r>
      <w:r>
        <w:rPr>
          <w:rFonts w:hint="eastAsia" w:ascii="仿宋_GB2312" w:eastAsia="仿宋_GB2312"/>
          <w:sz w:val="32"/>
          <w:szCs w:val="32"/>
        </w:rPr>
        <w:t>吨，新增A</w:t>
      </w:r>
      <w:r>
        <w:rPr>
          <w:rFonts w:ascii="仿宋_GB2312" w:eastAsia="仿宋_GB2312"/>
          <w:sz w:val="32"/>
          <w:szCs w:val="32"/>
        </w:rPr>
        <w:t>u</w:t>
      </w:r>
      <w:r>
        <w:rPr>
          <w:rFonts w:hint="eastAsia" w:ascii="仿宋_GB2312" w:eastAsia="仿宋_GB2312"/>
          <w:sz w:val="32"/>
          <w:szCs w:val="32"/>
        </w:rPr>
        <w:t>金属量</w:t>
      </w:r>
      <w:r>
        <w:rPr>
          <w:rFonts w:ascii="仿宋_GB2312" w:eastAsia="仿宋_GB2312"/>
          <w:sz w:val="32"/>
          <w:szCs w:val="32"/>
        </w:rPr>
        <w:t>3188</w:t>
      </w:r>
      <w:r>
        <w:rPr>
          <w:rFonts w:hint="eastAsia" w:ascii="仿宋_GB2312" w:eastAsia="仿宋_GB2312"/>
          <w:sz w:val="32"/>
          <w:szCs w:val="32"/>
        </w:rPr>
        <w:t>千克</w:t>
      </w:r>
      <w:r>
        <w:rPr>
          <w:rFonts w:hint="eastAsia" w:ascii="仿宋_GB2312" w:eastAsia="仿宋_GB2312"/>
          <w:color w:val="000000"/>
          <w:sz w:val="32"/>
          <w:szCs w:val="32"/>
        </w:rPr>
        <w:t>。</w:t>
      </w:r>
    </w:p>
    <w:p>
      <w:pPr>
        <w:spacing w:line="360" w:lineRule="auto"/>
        <w:ind w:firstLine="640" w:firstLineChars="200"/>
        <w:rPr>
          <w:rFonts w:ascii="仿宋_GB2312" w:eastAsia="仿宋_GB2312"/>
          <w:sz w:val="32"/>
          <w:szCs w:val="32"/>
        </w:rPr>
      </w:pPr>
      <w:r>
        <w:rPr>
          <w:rFonts w:hint="eastAsia" w:ascii="仿宋_GB2312" w:eastAsia="仿宋_GB2312"/>
          <w:sz w:val="32"/>
          <w:szCs w:val="32"/>
        </w:rPr>
        <w:t>截至2020年底，小金县共有效探矿权6宗, 登记面积104.66km</w:t>
      </w:r>
      <w:r>
        <w:rPr>
          <w:rFonts w:hint="eastAsia" w:ascii="仿宋_GB2312" w:eastAsia="仿宋_GB2312"/>
          <w:sz w:val="32"/>
          <w:szCs w:val="32"/>
          <w:vertAlign w:val="superscript"/>
        </w:rPr>
        <w:t>2</w:t>
      </w:r>
      <w:r>
        <w:rPr>
          <w:rFonts w:hint="eastAsia" w:ascii="仿宋_GB2312" w:eastAsia="仿宋_GB2312"/>
          <w:sz w:val="32"/>
          <w:szCs w:val="32"/>
        </w:rPr>
        <w:t>，涉及金、钼、钨等矿种，其中勘探阶段1宗，详查阶段5宗，整体勘查程度较高。</w:t>
      </w:r>
    </w:p>
    <w:tbl>
      <w:tblPr>
        <w:tblStyle w:val="2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1"/>
        <w:gridCol w:w="1863"/>
        <w:gridCol w:w="961"/>
        <w:gridCol w:w="961"/>
        <w:gridCol w:w="961"/>
        <w:gridCol w:w="961"/>
        <w:gridCol w:w="18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blHeader/>
        </w:trPr>
        <w:tc>
          <w:tcPr>
            <w:tcW w:w="5000" w:type="pct"/>
            <w:gridSpan w:val="7"/>
            <w:shd w:val="clear" w:color="auto" w:fill="auto"/>
            <w:vAlign w:val="center"/>
          </w:tcPr>
          <w:p>
            <w:pPr>
              <w:jc w:val="center"/>
              <w:rPr>
                <w:b/>
                <w:color w:val="000000"/>
              </w:rPr>
            </w:pPr>
            <w:r>
              <w:rPr>
                <w:rFonts w:hint="eastAsia" w:ascii="黑体" w:hAnsi="黑体" w:eastAsia="黑体"/>
                <w:b/>
                <w:sz w:val="28"/>
                <w:szCs w:val="28"/>
              </w:rPr>
              <w:t xml:space="preserve">专栏2 </w:t>
            </w:r>
            <w:r>
              <w:rPr>
                <w:rFonts w:ascii="黑体" w:hAnsi="黑体" w:eastAsia="黑体"/>
                <w:b/>
                <w:sz w:val="28"/>
                <w:szCs w:val="28"/>
              </w:rPr>
              <w:t xml:space="preserve"> </w:t>
            </w:r>
            <w:r>
              <w:rPr>
                <w:rFonts w:hint="eastAsia" w:ascii="黑体" w:hAnsi="黑体" w:eastAsia="黑体"/>
                <w:b/>
                <w:sz w:val="28"/>
                <w:szCs w:val="28"/>
              </w:rPr>
              <w:t>探矿权现状表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blHeader/>
        </w:trPr>
        <w:tc>
          <w:tcPr>
            <w:tcW w:w="564" w:type="pct"/>
            <w:vMerge w:val="restart"/>
            <w:shd w:val="clear" w:color="auto" w:fill="auto"/>
            <w:noWrap/>
            <w:vAlign w:val="center"/>
          </w:tcPr>
          <w:p>
            <w:pPr>
              <w:jc w:val="center"/>
              <w:rPr>
                <w:rFonts w:ascii="黑体" w:hAnsi="黑体" w:eastAsia="黑体"/>
                <w:b/>
                <w:bCs/>
                <w:szCs w:val="21"/>
              </w:rPr>
            </w:pPr>
            <w:r>
              <w:rPr>
                <w:rFonts w:hint="eastAsia" w:ascii="黑体" w:hAnsi="黑体" w:eastAsia="黑体"/>
                <w:b/>
                <w:bCs/>
                <w:szCs w:val="21"/>
              </w:rPr>
              <w:t>序号</w:t>
            </w:r>
          </w:p>
        </w:tc>
        <w:tc>
          <w:tcPr>
            <w:tcW w:w="1092" w:type="pct"/>
            <w:vMerge w:val="restart"/>
            <w:shd w:val="clear" w:color="auto" w:fill="auto"/>
            <w:noWrap/>
            <w:vAlign w:val="center"/>
          </w:tcPr>
          <w:p>
            <w:pPr>
              <w:jc w:val="center"/>
              <w:rPr>
                <w:rFonts w:ascii="黑体" w:hAnsi="黑体" w:eastAsia="黑体"/>
                <w:b/>
                <w:bCs/>
                <w:szCs w:val="21"/>
              </w:rPr>
            </w:pPr>
            <w:r>
              <w:rPr>
                <w:rFonts w:hint="eastAsia" w:ascii="黑体" w:hAnsi="黑体" w:eastAsia="黑体"/>
                <w:b/>
                <w:bCs/>
                <w:szCs w:val="21"/>
              </w:rPr>
              <w:t>勘查矿种</w:t>
            </w:r>
          </w:p>
        </w:tc>
        <w:tc>
          <w:tcPr>
            <w:tcW w:w="564" w:type="pct"/>
            <w:vMerge w:val="restart"/>
            <w:shd w:val="clear" w:color="auto" w:fill="auto"/>
            <w:noWrap/>
            <w:vAlign w:val="center"/>
          </w:tcPr>
          <w:p>
            <w:pPr>
              <w:jc w:val="center"/>
              <w:rPr>
                <w:rFonts w:ascii="黑体" w:hAnsi="黑体" w:eastAsia="黑体"/>
                <w:b/>
                <w:bCs/>
                <w:szCs w:val="21"/>
              </w:rPr>
            </w:pPr>
            <w:r>
              <w:rPr>
                <w:rFonts w:hint="eastAsia" w:ascii="黑体" w:hAnsi="黑体" w:eastAsia="黑体"/>
                <w:b/>
                <w:bCs/>
                <w:szCs w:val="21"/>
              </w:rPr>
              <w:t>数量</w:t>
            </w:r>
          </w:p>
        </w:tc>
        <w:tc>
          <w:tcPr>
            <w:tcW w:w="1692" w:type="pct"/>
            <w:gridSpan w:val="3"/>
            <w:shd w:val="clear" w:color="auto" w:fill="auto"/>
            <w:noWrap/>
            <w:vAlign w:val="center"/>
          </w:tcPr>
          <w:p>
            <w:pPr>
              <w:jc w:val="center"/>
              <w:rPr>
                <w:rFonts w:ascii="黑体" w:hAnsi="黑体" w:eastAsia="黑体"/>
                <w:b/>
                <w:bCs/>
                <w:szCs w:val="21"/>
              </w:rPr>
            </w:pPr>
            <w:r>
              <w:rPr>
                <w:rFonts w:hint="eastAsia" w:ascii="黑体" w:hAnsi="黑体" w:eastAsia="黑体"/>
                <w:b/>
                <w:bCs/>
                <w:szCs w:val="21"/>
              </w:rPr>
              <w:t>勘查程度</w:t>
            </w:r>
          </w:p>
        </w:tc>
        <w:tc>
          <w:tcPr>
            <w:tcW w:w="1088" w:type="pct"/>
            <w:vMerge w:val="restart"/>
            <w:shd w:val="clear" w:color="auto" w:fill="auto"/>
            <w:noWrap/>
            <w:vAlign w:val="center"/>
          </w:tcPr>
          <w:p>
            <w:pPr>
              <w:jc w:val="center"/>
              <w:rPr>
                <w:rFonts w:ascii="黑体" w:hAnsi="黑体" w:eastAsia="黑体"/>
                <w:b/>
                <w:bCs/>
                <w:szCs w:val="21"/>
              </w:rPr>
            </w:pPr>
            <w:r>
              <w:rPr>
                <w:rFonts w:hint="eastAsia" w:ascii="黑体" w:hAnsi="黑体" w:eastAsia="黑体"/>
                <w:b/>
                <w:bCs/>
                <w:szCs w:val="21"/>
              </w:rPr>
              <w:t>有效期内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564" w:type="pct"/>
            <w:vMerge w:val="continue"/>
            <w:vAlign w:val="center"/>
          </w:tcPr>
          <w:p>
            <w:pPr>
              <w:rPr>
                <w:rFonts w:ascii="黑体" w:hAnsi="黑体" w:eastAsia="黑体"/>
                <w:color w:val="000000"/>
                <w:szCs w:val="21"/>
              </w:rPr>
            </w:pPr>
          </w:p>
        </w:tc>
        <w:tc>
          <w:tcPr>
            <w:tcW w:w="1092" w:type="pct"/>
            <w:vMerge w:val="continue"/>
            <w:vAlign w:val="center"/>
          </w:tcPr>
          <w:p>
            <w:pPr>
              <w:rPr>
                <w:rFonts w:ascii="黑体" w:hAnsi="黑体" w:eastAsia="黑体"/>
                <w:color w:val="000000"/>
                <w:szCs w:val="21"/>
              </w:rPr>
            </w:pPr>
          </w:p>
        </w:tc>
        <w:tc>
          <w:tcPr>
            <w:tcW w:w="564" w:type="pct"/>
            <w:vMerge w:val="continue"/>
            <w:vAlign w:val="center"/>
          </w:tcPr>
          <w:p>
            <w:pPr>
              <w:rPr>
                <w:rFonts w:ascii="黑体" w:hAnsi="黑体" w:eastAsia="黑体"/>
                <w:color w:val="000000"/>
                <w:szCs w:val="21"/>
              </w:rPr>
            </w:pPr>
          </w:p>
        </w:tc>
        <w:tc>
          <w:tcPr>
            <w:tcW w:w="564" w:type="pct"/>
            <w:shd w:val="clear" w:color="auto" w:fill="auto"/>
            <w:noWrap/>
            <w:vAlign w:val="center"/>
          </w:tcPr>
          <w:p>
            <w:pPr>
              <w:jc w:val="center"/>
              <w:rPr>
                <w:rFonts w:ascii="黑体" w:hAnsi="黑体" w:eastAsia="黑体"/>
                <w:b/>
                <w:bCs/>
                <w:szCs w:val="21"/>
              </w:rPr>
            </w:pPr>
            <w:r>
              <w:rPr>
                <w:rFonts w:hint="eastAsia" w:ascii="黑体" w:hAnsi="黑体" w:eastAsia="黑体"/>
                <w:b/>
                <w:bCs/>
                <w:szCs w:val="21"/>
              </w:rPr>
              <w:t>普查</w:t>
            </w:r>
          </w:p>
        </w:tc>
        <w:tc>
          <w:tcPr>
            <w:tcW w:w="564" w:type="pct"/>
            <w:shd w:val="clear" w:color="auto" w:fill="auto"/>
            <w:noWrap/>
            <w:vAlign w:val="center"/>
          </w:tcPr>
          <w:p>
            <w:pPr>
              <w:jc w:val="center"/>
              <w:rPr>
                <w:rFonts w:ascii="黑体" w:hAnsi="黑体" w:eastAsia="黑体"/>
                <w:b/>
                <w:bCs/>
                <w:szCs w:val="21"/>
              </w:rPr>
            </w:pPr>
            <w:r>
              <w:rPr>
                <w:rFonts w:hint="eastAsia" w:ascii="黑体" w:hAnsi="黑体" w:eastAsia="黑体"/>
                <w:b/>
                <w:bCs/>
                <w:szCs w:val="21"/>
              </w:rPr>
              <w:t>详查</w:t>
            </w:r>
          </w:p>
        </w:tc>
        <w:tc>
          <w:tcPr>
            <w:tcW w:w="564" w:type="pct"/>
            <w:shd w:val="clear" w:color="auto" w:fill="auto"/>
            <w:noWrap/>
            <w:vAlign w:val="center"/>
          </w:tcPr>
          <w:p>
            <w:pPr>
              <w:jc w:val="center"/>
              <w:rPr>
                <w:rFonts w:ascii="黑体" w:hAnsi="黑体" w:eastAsia="黑体"/>
                <w:b/>
                <w:bCs/>
                <w:szCs w:val="21"/>
              </w:rPr>
            </w:pPr>
            <w:r>
              <w:rPr>
                <w:rFonts w:hint="eastAsia" w:ascii="黑体" w:hAnsi="黑体" w:eastAsia="黑体"/>
                <w:b/>
                <w:bCs/>
                <w:szCs w:val="21"/>
              </w:rPr>
              <w:t>勘探</w:t>
            </w:r>
          </w:p>
        </w:tc>
        <w:tc>
          <w:tcPr>
            <w:tcW w:w="1088" w:type="pct"/>
            <w:vMerge w:val="continue"/>
            <w:vAlign w:val="center"/>
          </w:tcPr>
          <w:p>
            <w:pPr>
              <w:rPr>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564" w:type="pct"/>
            <w:shd w:val="clear" w:color="auto" w:fill="auto"/>
            <w:noWrap/>
            <w:vAlign w:val="center"/>
          </w:tcPr>
          <w:p>
            <w:pPr>
              <w:jc w:val="center"/>
              <w:rPr>
                <w:rFonts w:ascii="仿宋_GB2312" w:eastAsia="仿宋_GB2312"/>
                <w:sz w:val="22"/>
              </w:rPr>
            </w:pPr>
            <w:r>
              <w:rPr>
                <w:rFonts w:ascii="仿宋_GB2312" w:eastAsia="仿宋_GB2312"/>
                <w:sz w:val="22"/>
              </w:rPr>
              <w:t>1</w:t>
            </w:r>
          </w:p>
        </w:tc>
        <w:tc>
          <w:tcPr>
            <w:tcW w:w="1092" w:type="pct"/>
            <w:shd w:val="clear" w:color="auto" w:fill="auto"/>
            <w:noWrap/>
            <w:vAlign w:val="center"/>
          </w:tcPr>
          <w:p>
            <w:pPr>
              <w:jc w:val="center"/>
              <w:rPr>
                <w:rFonts w:ascii="仿宋_GB2312" w:eastAsia="仿宋_GB2312"/>
                <w:sz w:val="22"/>
              </w:rPr>
            </w:pPr>
            <w:r>
              <w:rPr>
                <w:rFonts w:hint="eastAsia" w:ascii="仿宋_GB2312" w:eastAsia="仿宋_GB2312"/>
                <w:sz w:val="22"/>
              </w:rPr>
              <w:t>钨矿</w:t>
            </w:r>
          </w:p>
        </w:tc>
        <w:tc>
          <w:tcPr>
            <w:tcW w:w="564" w:type="pct"/>
            <w:shd w:val="clear" w:color="auto" w:fill="auto"/>
            <w:noWrap/>
            <w:vAlign w:val="center"/>
          </w:tcPr>
          <w:p>
            <w:pPr>
              <w:jc w:val="center"/>
              <w:rPr>
                <w:rFonts w:ascii="仿宋_GB2312" w:eastAsia="仿宋_GB2312"/>
                <w:sz w:val="22"/>
              </w:rPr>
            </w:pPr>
            <w:r>
              <w:rPr>
                <w:rFonts w:hint="eastAsia" w:ascii="仿宋_GB2312" w:eastAsia="仿宋_GB2312"/>
                <w:sz w:val="22"/>
              </w:rPr>
              <w:t>1</w:t>
            </w:r>
          </w:p>
        </w:tc>
        <w:tc>
          <w:tcPr>
            <w:tcW w:w="564" w:type="pct"/>
            <w:shd w:val="clear" w:color="auto" w:fill="auto"/>
            <w:noWrap/>
            <w:vAlign w:val="center"/>
          </w:tcPr>
          <w:p>
            <w:pPr>
              <w:jc w:val="center"/>
              <w:rPr>
                <w:rFonts w:ascii="仿宋_GB2312" w:eastAsia="仿宋_GB2312"/>
                <w:sz w:val="22"/>
              </w:rPr>
            </w:pPr>
            <w:r>
              <w:rPr>
                <w:rFonts w:hint="eastAsia" w:ascii="仿宋_GB2312" w:eastAsia="仿宋_GB2312"/>
                <w:sz w:val="22"/>
              </w:rPr>
              <w:t>　</w:t>
            </w:r>
          </w:p>
        </w:tc>
        <w:tc>
          <w:tcPr>
            <w:tcW w:w="564" w:type="pct"/>
            <w:shd w:val="clear" w:color="auto" w:fill="auto"/>
            <w:noWrap/>
            <w:vAlign w:val="center"/>
          </w:tcPr>
          <w:p>
            <w:pPr>
              <w:jc w:val="center"/>
              <w:rPr>
                <w:rFonts w:ascii="仿宋_GB2312" w:eastAsia="仿宋_GB2312"/>
                <w:sz w:val="22"/>
              </w:rPr>
            </w:pPr>
          </w:p>
        </w:tc>
        <w:tc>
          <w:tcPr>
            <w:tcW w:w="564" w:type="pct"/>
            <w:shd w:val="clear" w:color="auto" w:fill="auto"/>
            <w:noWrap/>
            <w:vAlign w:val="center"/>
          </w:tcPr>
          <w:p>
            <w:pPr>
              <w:jc w:val="center"/>
              <w:rPr>
                <w:rFonts w:ascii="仿宋_GB2312" w:eastAsia="仿宋_GB2312"/>
                <w:sz w:val="22"/>
              </w:rPr>
            </w:pPr>
            <w:r>
              <w:rPr>
                <w:rFonts w:hint="eastAsia" w:ascii="仿宋_GB2312" w:eastAsia="仿宋_GB2312"/>
                <w:sz w:val="22"/>
              </w:rPr>
              <w:t>1</w:t>
            </w:r>
          </w:p>
        </w:tc>
        <w:tc>
          <w:tcPr>
            <w:tcW w:w="1088" w:type="pct"/>
            <w:shd w:val="clear" w:color="auto" w:fill="auto"/>
            <w:noWrap/>
            <w:vAlign w:val="center"/>
          </w:tcPr>
          <w:p>
            <w:pPr>
              <w:jc w:val="center"/>
              <w:rPr>
                <w:rFonts w:ascii="仿宋_GB2312" w:eastAsia="仿宋_GB2312"/>
                <w:sz w:val="22"/>
              </w:rPr>
            </w:pPr>
            <w:r>
              <w:rPr>
                <w:rFonts w:hint="eastAsia" w:ascii="仿宋_GB2312" w:eastAsia="仿宋_GB2312"/>
                <w:sz w:val="22"/>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564" w:type="pct"/>
            <w:shd w:val="clear" w:color="auto" w:fill="auto"/>
            <w:noWrap/>
            <w:vAlign w:val="center"/>
          </w:tcPr>
          <w:p>
            <w:pPr>
              <w:jc w:val="center"/>
              <w:rPr>
                <w:rFonts w:ascii="仿宋_GB2312" w:eastAsia="仿宋_GB2312"/>
                <w:sz w:val="22"/>
              </w:rPr>
            </w:pPr>
            <w:r>
              <w:rPr>
                <w:rFonts w:ascii="仿宋_GB2312" w:eastAsia="仿宋_GB2312"/>
                <w:sz w:val="22"/>
              </w:rPr>
              <w:t>2</w:t>
            </w:r>
          </w:p>
        </w:tc>
        <w:tc>
          <w:tcPr>
            <w:tcW w:w="1092" w:type="pct"/>
            <w:shd w:val="clear" w:color="auto" w:fill="auto"/>
            <w:noWrap/>
            <w:vAlign w:val="center"/>
          </w:tcPr>
          <w:p>
            <w:pPr>
              <w:jc w:val="center"/>
              <w:rPr>
                <w:rFonts w:ascii="仿宋_GB2312" w:eastAsia="仿宋_GB2312"/>
                <w:sz w:val="22"/>
              </w:rPr>
            </w:pPr>
            <w:r>
              <w:rPr>
                <w:rFonts w:hint="eastAsia" w:ascii="仿宋_GB2312" w:eastAsia="仿宋_GB2312"/>
                <w:sz w:val="22"/>
              </w:rPr>
              <w:t>钼矿</w:t>
            </w:r>
          </w:p>
        </w:tc>
        <w:tc>
          <w:tcPr>
            <w:tcW w:w="564" w:type="pct"/>
            <w:shd w:val="clear" w:color="auto" w:fill="auto"/>
            <w:noWrap/>
            <w:vAlign w:val="center"/>
          </w:tcPr>
          <w:p>
            <w:pPr>
              <w:jc w:val="center"/>
              <w:rPr>
                <w:rFonts w:ascii="仿宋_GB2312" w:eastAsia="仿宋_GB2312"/>
                <w:sz w:val="22"/>
              </w:rPr>
            </w:pPr>
            <w:r>
              <w:rPr>
                <w:rFonts w:ascii="仿宋_GB2312" w:eastAsia="仿宋_GB2312"/>
                <w:sz w:val="22"/>
              </w:rPr>
              <w:t>2</w:t>
            </w:r>
          </w:p>
        </w:tc>
        <w:tc>
          <w:tcPr>
            <w:tcW w:w="564" w:type="pct"/>
            <w:shd w:val="clear" w:color="auto" w:fill="auto"/>
            <w:noWrap/>
            <w:vAlign w:val="center"/>
          </w:tcPr>
          <w:p>
            <w:pPr>
              <w:jc w:val="center"/>
              <w:rPr>
                <w:rFonts w:ascii="仿宋_GB2312" w:eastAsia="仿宋_GB2312"/>
                <w:sz w:val="22"/>
              </w:rPr>
            </w:pPr>
            <w:r>
              <w:rPr>
                <w:rFonts w:hint="eastAsia" w:ascii="仿宋_GB2312" w:eastAsia="仿宋_GB2312"/>
                <w:sz w:val="22"/>
              </w:rPr>
              <w:t>　</w:t>
            </w:r>
          </w:p>
        </w:tc>
        <w:tc>
          <w:tcPr>
            <w:tcW w:w="564" w:type="pct"/>
            <w:shd w:val="clear" w:color="auto" w:fill="auto"/>
            <w:noWrap/>
            <w:vAlign w:val="center"/>
          </w:tcPr>
          <w:p>
            <w:pPr>
              <w:jc w:val="center"/>
              <w:rPr>
                <w:rFonts w:ascii="仿宋_GB2312" w:eastAsia="仿宋_GB2312"/>
                <w:sz w:val="22"/>
              </w:rPr>
            </w:pPr>
            <w:r>
              <w:rPr>
                <w:rFonts w:ascii="仿宋_GB2312" w:eastAsia="仿宋_GB2312"/>
                <w:sz w:val="22"/>
              </w:rPr>
              <w:t>2</w:t>
            </w:r>
          </w:p>
        </w:tc>
        <w:tc>
          <w:tcPr>
            <w:tcW w:w="564" w:type="pct"/>
            <w:shd w:val="clear" w:color="auto" w:fill="auto"/>
            <w:noWrap/>
            <w:vAlign w:val="center"/>
          </w:tcPr>
          <w:p>
            <w:pPr>
              <w:jc w:val="center"/>
              <w:rPr>
                <w:rFonts w:ascii="仿宋_GB2312" w:eastAsia="仿宋_GB2312"/>
                <w:sz w:val="22"/>
              </w:rPr>
            </w:pPr>
            <w:r>
              <w:rPr>
                <w:rFonts w:ascii="仿宋_GB2312" w:eastAsia="仿宋_GB2312"/>
                <w:sz w:val="22"/>
              </w:rPr>
              <w:t>0</w:t>
            </w:r>
          </w:p>
        </w:tc>
        <w:tc>
          <w:tcPr>
            <w:tcW w:w="1088" w:type="pct"/>
            <w:shd w:val="clear" w:color="auto" w:fill="auto"/>
            <w:noWrap/>
            <w:vAlign w:val="center"/>
          </w:tcPr>
          <w:p>
            <w:pPr>
              <w:jc w:val="center"/>
              <w:rPr>
                <w:rFonts w:ascii="仿宋_GB2312" w:eastAsia="仿宋_GB2312"/>
                <w:sz w:val="22"/>
              </w:rPr>
            </w:pPr>
            <w:r>
              <w:rPr>
                <w:rFonts w:ascii="仿宋_GB2312" w:eastAsia="仿宋_GB2312"/>
                <w:sz w:val="22"/>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564" w:type="pct"/>
            <w:shd w:val="clear" w:color="auto" w:fill="auto"/>
            <w:noWrap/>
            <w:vAlign w:val="center"/>
          </w:tcPr>
          <w:p>
            <w:pPr>
              <w:jc w:val="center"/>
              <w:rPr>
                <w:rFonts w:ascii="仿宋_GB2312" w:eastAsia="仿宋_GB2312"/>
                <w:sz w:val="22"/>
              </w:rPr>
            </w:pPr>
            <w:r>
              <w:rPr>
                <w:rFonts w:ascii="仿宋_GB2312" w:eastAsia="仿宋_GB2312"/>
                <w:sz w:val="22"/>
              </w:rPr>
              <w:t>3</w:t>
            </w:r>
          </w:p>
        </w:tc>
        <w:tc>
          <w:tcPr>
            <w:tcW w:w="1092" w:type="pct"/>
            <w:shd w:val="clear" w:color="auto" w:fill="auto"/>
            <w:noWrap/>
            <w:vAlign w:val="center"/>
          </w:tcPr>
          <w:p>
            <w:pPr>
              <w:jc w:val="center"/>
              <w:rPr>
                <w:rFonts w:ascii="仿宋_GB2312" w:eastAsia="仿宋_GB2312"/>
                <w:sz w:val="22"/>
              </w:rPr>
            </w:pPr>
            <w:r>
              <w:rPr>
                <w:rFonts w:hint="eastAsia" w:ascii="仿宋_GB2312" w:eastAsia="仿宋_GB2312"/>
                <w:sz w:val="22"/>
              </w:rPr>
              <w:t>金矿</w:t>
            </w:r>
          </w:p>
        </w:tc>
        <w:tc>
          <w:tcPr>
            <w:tcW w:w="564" w:type="pct"/>
            <w:shd w:val="clear" w:color="auto" w:fill="auto"/>
            <w:noWrap/>
            <w:vAlign w:val="center"/>
          </w:tcPr>
          <w:p>
            <w:pPr>
              <w:jc w:val="center"/>
              <w:rPr>
                <w:rFonts w:ascii="仿宋_GB2312" w:eastAsia="仿宋_GB2312"/>
                <w:sz w:val="22"/>
              </w:rPr>
            </w:pPr>
            <w:r>
              <w:rPr>
                <w:rFonts w:ascii="仿宋_GB2312" w:eastAsia="仿宋_GB2312"/>
                <w:sz w:val="22"/>
              </w:rPr>
              <w:t>3</w:t>
            </w:r>
          </w:p>
        </w:tc>
        <w:tc>
          <w:tcPr>
            <w:tcW w:w="564" w:type="pct"/>
            <w:shd w:val="clear" w:color="auto" w:fill="auto"/>
            <w:noWrap/>
            <w:vAlign w:val="center"/>
          </w:tcPr>
          <w:p>
            <w:pPr>
              <w:jc w:val="center"/>
              <w:rPr>
                <w:rFonts w:ascii="仿宋_GB2312" w:eastAsia="仿宋_GB2312"/>
                <w:sz w:val="22"/>
              </w:rPr>
            </w:pPr>
          </w:p>
        </w:tc>
        <w:tc>
          <w:tcPr>
            <w:tcW w:w="564" w:type="pct"/>
            <w:shd w:val="clear" w:color="auto" w:fill="auto"/>
            <w:noWrap/>
            <w:vAlign w:val="center"/>
          </w:tcPr>
          <w:p>
            <w:pPr>
              <w:jc w:val="center"/>
              <w:rPr>
                <w:rFonts w:ascii="仿宋_GB2312" w:eastAsia="仿宋_GB2312"/>
                <w:sz w:val="22"/>
              </w:rPr>
            </w:pPr>
            <w:r>
              <w:rPr>
                <w:rFonts w:ascii="仿宋_GB2312" w:eastAsia="仿宋_GB2312"/>
                <w:sz w:val="22"/>
              </w:rPr>
              <w:t>3</w:t>
            </w:r>
          </w:p>
        </w:tc>
        <w:tc>
          <w:tcPr>
            <w:tcW w:w="564" w:type="pct"/>
            <w:shd w:val="clear" w:color="auto" w:fill="auto"/>
            <w:noWrap/>
            <w:vAlign w:val="center"/>
          </w:tcPr>
          <w:p>
            <w:pPr>
              <w:jc w:val="center"/>
              <w:rPr>
                <w:rFonts w:ascii="仿宋_GB2312" w:eastAsia="仿宋_GB2312"/>
                <w:sz w:val="22"/>
              </w:rPr>
            </w:pPr>
            <w:r>
              <w:rPr>
                <w:rFonts w:ascii="仿宋_GB2312" w:eastAsia="仿宋_GB2312"/>
                <w:sz w:val="22"/>
              </w:rPr>
              <w:t xml:space="preserve"> </w:t>
            </w:r>
          </w:p>
        </w:tc>
        <w:tc>
          <w:tcPr>
            <w:tcW w:w="1088" w:type="pct"/>
            <w:shd w:val="clear" w:color="auto" w:fill="auto"/>
            <w:noWrap/>
            <w:vAlign w:val="center"/>
          </w:tcPr>
          <w:p>
            <w:pPr>
              <w:jc w:val="center"/>
              <w:rPr>
                <w:rFonts w:ascii="仿宋_GB2312" w:eastAsia="仿宋_GB2312"/>
                <w:sz w:val="22"/>
              </w:rPr>
            </w:pPr>
            <w:r>
              <w:rPr>
                <w:rFonts w:ascii="仿宋_GB2312" w:eastAsia="仿宋_GB2312"/>
                <w:sz w:val="22"/>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1657" w:type="pct"/>
            <w:gridSpan w:val="2"/>
            <w:shd w:val="clear" w:color="auto" w:fill="auto"/>
            <w:noWrap/>
            <w:vAlign w:val="center"/>
          </w:tcPr>
          <w:p>
            <w:pPr>
              <w:jc w:val="center"/>
              <w:rPr>
                <w:rFonts w:ascii="仿宋_GB2312" w:eastAsia="仿宋_GB2312"/>
                <w:sz w:val="22"/>
              </w:rPr>
            </w:pPr>
            <w:r>
              <w:rPr>
                <w:rFonts w:hint="eastAsia" w:ascii="仿宋_GB2312" w:eastAsia="仿宋_GB2312"/>
                <w:sz w:val="22"/>
              </w:rPr>
              <w:t>合计</w:t>
            </w:r>
          </w:p>
        </w:tc>
        <w:tc>
          <w:tcPr>
            <w:tcW w:w="564" w:type="pct"/>
            <w:shd w:val="clear" w:color="auto" w:fill="auto"/>
            <w:noWrap/>
            <w:vAlign w:val="center"/>
          </w:tcPr>
          <w:p>
            <w:pPr>
              <w:jc w:val="center"/>
              <w:rPr>
                <w:rFonts w:ascii="仿宋_GB2312" w:eastAsia="仿宋_GB2312"/>
                <w:sz w:val="22"/>
              </w:rPr>
            </w:pPr>
            <w:r>
              <w:rPr>
                <w:rFonts w:ascii="仿宋_GB2312" w:eastAsia="仿宋_GB2312"/>
                <w:sz w:val="22"/>
              </w:rPr>
              <w:t>6</w:t>
            </w:r>
          </w:p>
        </w:tc>
        <w:tc>
          <w:tcPr>
            <w:tcW w:w="564" w:type="pct"/>
            <w:shd w:val="clear" w:color="auto" w:fill="auto"/>
            <w:noWrap/>
            <w:vAlign w:val="center"/>
          </w:tcPr>
          <w:p>
            <w:pPr>
              <w:jc w:val="center"/>
              <w:rPr>
                <w:rFonts w:ascii="仿宋_GB2312" w:eastAsia="仿宋_GB2312"/>
                <w:sz w:val="22"/>
              </w:rPr>
            </w:pPr>
          </w:p>
        </w:tc>
        <w:tc>
          <w:tcPr>
            <w:tcW w:w="564" w:type="pct"/>
            <w:shd w:val="clear" w:color="auto" w:fill="auto"/>
            <w:noWrap/>
            <w:vAlign w:val="center"/>
          </w:tcPr>
          <w:p>
            <w:pPr>
              <w:jc w:val="center"/>
              <w:rPr>
                <w:rFonts w:ascii="仿宋_GB2312" w:eastAsia="仿宋_GB2312"/>
                <w:sz w:val="22"/>
              </w:rPr>
            </w:pPr>
            <w:r>
              <w:rPr>
                <w:rFonts w:ascii="仿宋_GB2312" w:eastAsia="仿宋_GB2312"/>
                <w:sz w:val="22"/>
              </w:rPr>
              <w:t>5</w:t>
            </w:r>
          </w:p>
        </w:tc>
        <w:tc>
          <w:tcPr>
            <w:tcW w:w="564" w:type="pct"/>
            <w:shd w:val="clear" w:color="auto" w:fill="auto"/>
            <w:noWrap/>
            <w:vAlign w:val="center"/>
          </w:tcPr>
          <w:p>
            <w:pPr>
              <w:jc w:val="center"/>
              <w:rPr>
                <w:rFonts w:ascii="仿宋_GB2312" w:eastAsia="仿宋_GB2312"/>
                <w:sz w:val="22"/>
              </w:rPr>
            </w:pPr>
            <w:r>
              <w:rPr>
                <w:rFonts w:ascii="仿宋_GB2312" w:eastAsia="仿宋_GB2312"/>
                <w:sz w:val="22"/>
              </w:rPr>
              <w:t>1</w:t>
            </w:r>
          </w:p>
        </w:tc>
        <w:tc>
          <w:tcPr>
            <w:tcW w:w="1088" w:type="pct"/>
            <w:shd w:val="clear" w:color="auto" w:fill="auto"/>
            <w:noWrap/>
            <w:vAlign w:val="center"/>
          </w:tcPr>
          <w:p>
            <w:pPr>
              <w:jc w:val="center"/>
              <w:rPr>
                <w:rFonts w:ascii="仿宋_GB2312" w:eastAsia="仿宋_GB2312"/>
                <w:sz w:val="22"/>
              </w:rPr>
            </w:pPr>
            <w:r>
              <w:rPr>
                <w:rFonts w:ascii="仿宋_GB2312" w:eastAsia="仿宋_GB2312"/>
                <w:sz w:val="22"/>
              </w:rPr>
              <w:t>6</w:t>
            </w:r>
          </w:p>
        </w:tc>
      </w:tr>
    </w:tbl>
    <w:p>
      <w:pPr>
        <w:spacing w:line="360" w:lineRule="auto"/>
        <w:ind w:firstLine="643" w:firstLineChars="200"/>
        <w:rPr>
          <w:rFonts w:ascii="仿宋_GB2312" w:eastAsia="仿宋_GB2312"/>
          <w:sz w:val="32"/>
          <w:szCs w:val="32"/>
        </w:rPr>
      </w:pPr>
      <w:r>
        <w:rPr>
          <w:rFonts w:hint="eastAsia" w:ascii="仿宋_GB2312" w:eastAsia="仿宋_GB2312"/>
          <w:b/>
          <w:bCs/>
          <w:sz w:val="32"/>
          <w:szCs w:val="32"/>
        </w:rPr>
        <w:t>矿产资源开发利用。</w:t>
      </w:r>
      <w:r>
        <w:rPr>
          <w:rFonts w:hint="eastAsia" w:ascii="仿宋_GB2312" w:hAnsi="仿宋" w:eastAsia="仿宋_GB2312"/>
          <w:sz w:val="32"/>
          <w:szCs w:val="32"/>
        </w:rPr>
        <w:t>截至</w:t>
      </w:r>
      <w:r>
        <w:rPr>
          <w:rFonts w:hint="eastAsia" w:ascii="仿宋_GB2312" w:hAnsi="仿宋" w:eastAsia="仿宋_GB2312"/>
          <w:color w:val="000000" w:themeColor="text1"/>
          <w:sz w:val="32"/>
          <w:szCs w:val="32"/>
        </w:rPr>
        <w:t>2020年底，小金县共有有效采矿权</w:t>
      </w:r>
      <w:r>
        <w:rPr>
          <w:rFonts w:ascii="仿宋_GB2312" w:hAnsi="仿宋" w:eastAsia="仿宋_GB2312"/>
          <w:color w:val="000000" w:themeColor="text1"/>
          <w:sz w:val="32"/>
          <w:szCs w:val="32"/>
        </w:rPr>
        <w:t>5</w:t>
      </w:r>
      <w:r>
        <w:rPr>
          <w:rFonts w:hint="eastAsia" w:ascii="仿宋_GB2312" w:hAnsi="仿宋" w:eastAsia="仿宋_GB2312"/>
          <w:color w:val="000000" w:themeColor="text1"/>
          <w:sz w:val="32"/>
          <w:szCs w:val="32"/>
        </w:rPr>
        <w:t>宗，另有1宗</w:t>
      </w:r>
      <w:r>
        <w:rPr>
          <w:rFonts w:hint="eastAsia" w:ascii="仿宋_GB2312" w:eastAsia="仿宋_GB2312"/>
          <w:color w:val="000000" w:themeColor="text1"/>
          <w:sz w:val="32"/>
          <w:szCs w:val="32"/>
        </w:rPr>
        <w:t>正在办理延续</w:t>
      </w:r>
      <w:r>
        <w:rPr>
          <w:rFonts w:hint="eastAsia" w:ascii="仿宋_GB2312" w:hAnsi="仿宋" w:eastAsia="仿宋_GB2312"/>
          <w:color w:val="000000" w:themeColor="text1"/>
          <w:sz w:val="32"/>
          <w:szCs w:val="32"/>
        </w:rPr>
        <w:t>，</w:t>
      </w:r>
      <w:r>
        <w:rPr>
          <w:rFonts w:hint="eastAsia" w:ascii="仿宋_GB2312" w:eastAsia="仿宋_GB2312"/>
          <w:color w:val="000000" w:themeColor="text1"/>
          <w:sz w:val="32"/>
          <w:szCs w:val="32"/>
        </w:rPr>
        <w:t>省级发证</w:t>
      </w:r>
      <w:r>
        <w:rPr>
          <w:rFonts w:ascii="仿宋_GB2312" w:eastAsia="仿宋_GB2312"/>
          <w:color w:val="000000" w:themeColor="text1"/>
          <w:sz w:val="32"/>
          <w:szCs w:val="32"/>
        </w:rPr>
        <w:t>2</w:t>
      </w:r>
      <w:r>
        <w:rPr>
          <w:rFonts w:hint="eastAsia" w:ascii="仿宋_GB2312" w:eastAsia="仿宋_GB2312"/>
          <w:color w:val="000000" w:themeColor="text1"/>
          <w:sz w:val="32"/>
          <w:szCs w:val="32"/>
        </w:rPr>
        <w:t>宗、州级发证</w:t>
      </w:r>
      <w:r>
        <w:rPr>
          <w:rFonts w:ascii="仿宋_GB2312" w:eastAsia="仿宋_GB2312"/>
          <w:color w:val="000000" w:themeColor="text1"/>
          <w:sz w:val="32"/>
          <w:szCs w:val="32"/>
        </w:rPr>
        <w:t>4</w:t>
      </w:r>
      <w:r>
        <w:rPr>
          <w:rFonts w:hint="eastAsia" w:ascii="仿宋_GB2312" w:eastAsia="仿宋_GB2312"/>
          <w:color w:val="000000" w:themeColor="text1"/>
          <w:sz w:val="32"/>
          <w:szCs w:val="32"/>
        </w:rPr>
        <w:t>宗。</w:t>
      </w:r>
      <w:r>
        <w:rPr>
          <w:rFonts w:hint="eastAsia" w:ascii="仿宋_GB2312" w:hAnsi="仿宋" w:eastAsia="仿宋_GB2312"/>
          <w:color w:val="000000" w:themeColor="text1"/>
          <w:sz w:val="32"/>
          <w:szCs w:val="32"/>
        </w:rPr>
        <w:t>开采矿种主要为金矿、</w:t>
      </w:r>
      <w:r>
        <w:rPr>
          <w:rFonts w:hint="eastAsia" w:ascii="仿宋_GB2312" w:eastAsia="仿宋_GB2312"/>
          <w:color w:val="000000" w:themeColor="text1"/>
          <w:sz w:val="32"/>
          <w:szCs w:val="32"/>
        </w:rPr>
        <w:t>银（伴生）、铜（伴生）、饰面用大理岩等</w:t>
      </w:r>
      <w:r>
        <w:rPr>
          <w:rFonts w:hint="eastAsia" w:ascii="仿宋_GB2312" w:hAnsi="仿宋" w:eastAsia="仿宋_GB2312"/>
          <w:color w:val="000000" w:themeColor="text1"/>
          <w:sz w:val="32"/>
          <w:szCs w:val="32"/>
        </w:rPr>
        <w:t>。</w:t>
      </w:r>
      <w:r>
        <w:rPr>
          <w:rFonts w:hint="eastAsia" w:ascii="仿宋_GB2312" w:eastAsia="仿宋_GB2312"/>
          <w:color w:val="000000" w:themeColor="text1"/>
          <w:sz w:val="32"/>
          <w:szCs w:val="32"/>
        </w:rPr>
        <w:t>开采规模均为小型矿山，</w:t>
      </w:r>
      <w:r>
        <w:rPr>
          <w:rFonts w:hint="eastAsia" w:ascii="仿宋_GB2312" w:eastAsia="仿宋_GB2312"/>
          <w:sz w:val="32"/>
          <w:szCs w:val="32"/>
        </w:rPr>
        <w:t>其仅有小金县董家沟金矿处于开采状态，其余矿山均处于停采、停建状态。</w:t>
      </w:r>
    </w:p>
    <w:tbl>
      <w:tblPr>
        <w:tblStyle w:val="22"/>
        <w:tblW w:w="505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9"/>
        <w:gridCol w:w="1685"/>
        <w:gridCol w:w="12"/>
        <w:gridCol w:w="854"/>
        <w:gridCol w:w="12"/>
        <w:gridCol w:w="854"/>
        <w:gridCol w:w="12"/>
        <w:gridCol w:w="854"/>
        <w:gridCol w:w="12"/>
        <w:gridCol w:w="868"/>
        <w:gridCol w:w="868"/>
        <w:gridCol w:w="868"/>
        <w:gridCol w:w="9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blHeader/>
          <w:jc w:val="center"/>
        </w:trPr>
        <w:tc>
          <w:tcPr>
            <w:tcW w:w="5000" w:type="pct"/>
            <w:gridSpan w:val="13"/>
            <w:shd w:val="clear" w:color="auto" w:fill="auto"/>
            <w:vAlign w:val="center"/>
          </w:tcPr>
          <w:p>
            <w:pPr>
              <w:jc w:val="center"/>
              <w:rPr>
                <w:rFonts w:ascii="仿宋" w:hAnsi="仿宋"/>
                <w:b/>
                <w:color w:val="000000"/>
                <w:sz w:val="32"/>
                <w:szCs w:val="32"/>
              </w:rPr>
            </w:pPr>
            <w:r>
              <w:rPr>
                <w:rFonts w:hint="eastAsia" w:ascii="黑体" w:hAnsi="黑体" w:eastAsia="黑体"/>
                <w:b/>
                <w:sz w:val="28"/>
                <w:szCs w:val="28"/>
              </w:rPr>
              <w:t>专栏</w:t>
            </w:r>
            <w:r>
              <w:rPr>
                <w:rFonts w:ascii="黑体" w:hAnsi="黑体" w:eastAsia="黑体"/>
                <w:b/>
                <w:sz w:val="28"/>
                <w:szCs w:val="28"/>
              </w:rPr>
              <w:t xml:space="preserve">3 </w:t>
            </w:r>
            <w:r>
              <w:rPr>
                <w:rFonts w:hint="eastAsia" w:ascii="黑体" w:hAnsi="黑体" w:eastAsia="黑体"/>
                <w:b/>
                <w:sz w:val="28"/>
                <w:szCs w:val="28"/>
              </w:rPr>
              <w:t xml:space="preserve"> 采矿权现状表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blHeader/>
          <w:jc w:val="center"/>
        </w:trPr>
        <w:tc>
          <w:tcPr>
            <w:tcW w:w="435" w:type="pct"/>
            <w:vMerge w:val="restart"/>
            <w:shd w:val="clear" w:color="auto" w:fill="auto"/>
            <w:vAlign w:val="center"/>
          </w:tcPr>
          <w:p>
            <w:pPr>
              <w:jc w:val="center"/>
              <w:rPr>
                <w:rFonts w:ascii="黑体" w:hAnsi="黑体" w:eastAsia="黑体"/>
                <w:b/>
                <w:bCs/>
                <w:szCs w:val="21"/>
              </w:rPr>
            </w:pPr>
            <w:r>
              <w:rPr>
                <w:rFonts w:hint="eastAsia" w:ascii="黑体" w:hAnsi="黑体" w:eastAsia="黑体"/>
                <w:b/>
                <w:bCs/>
                <w:szCs w:val="21"/>
              </w:rPr>
              <w:t>序号</w:t>
            </w:r>
          </w:p>
        </w:tc>
        <w:tc>
          <w:tcPr>
            <w:tcW w:w="978" w:type="pct"/>
            <w:vMerge w:val="restart"/>
            <w:shd w:val="clear" w:color="auto" w:fill="auto"/>
            <w:noWrap/>
            <w:vAlign w:val="center"/>
          </w:tcPr>
          <w:p>
            <w:pPr>
              <w:jc w:val="center"/>
              <w:rPr>
                <w:rFonts w:ascii="黑体" w:hAnsi="黑体" w:eastAsia="黑体"/>
                <w:b/>
                <w:bCs/>
                <w:szCs w:val="21"/>
              </w:rPr>
            </w:pPr>
            <w:r>
              <w:rPr>
                <w:rFonts w:hint="eastAsia" w:ascii="黑体" w:hAnsi="黑体" w:eastAsia="黑体"/>
                <w:b/>
                <w:bCs/>
                <w:szCs w:val="21"/>
              </w:rPr>
              <w:t>开采矿种</w:t>
            </w:r>
          </w:p>
        </w:tc>
        <w:tc>
          <w:tcPr>
            <w:tcW w:w="503" w:type="pct"/>
            <w:gridSpan w:val="2"/>
            <w:vMerge w:val="restart"/>
            <w:shd w:val="clear" w:color="auto" w:fill="auto"/>
            <w:noWrap/>
            <w:vAlign w:val="center"/>
          </w:tcPr>
          <w:p>
            <w:pPr>
              <w:jc w:val="center"/>
              <w:rPr>
                <w:rFonts w:ascii="黑体" w:hAnsi="黑体" w:eastAsia="黑体"/>
                <w:b/>
                <w:bCs/>
                <w:szCs w:val="21"/>
              </w:rPr>
            </w:pPr>
            <w:r>
              <w:rPr>
                <w:rFonts w:hint="eastAsia" w:ascii="黑体" w:hAnsi="黑体" w:eastAsia="黑体"/>
                <w:b/>
                <w:bCs/>
                <w:szCs w:val="21"/>
              </w:rPr>
              <w:t>数量</w:t>
            </w:r>
          </w:p>
        </w:tc>
        <w:tc>
          <w:tcPr>
            <w:tcW w:w="1515" w:type="pct"/>
            <w:gridSpan w:val="6"/>
            <w:shd w:val="clear" w:color="auto" w:fill="auto"/>
            <w:noWrap/>
            <w:vAlign w:val="center"/>
          </w:tcPr>
          <w:p>
            <w:pPr>
              <w:jc w:val="center"/>
              <w:rPr>
                <w:rFonts w:ascii="黑体" w:hAnsi="黑体" w:eastAsia="黑体"/>
                <w:b/>
                <w:bCs/>
                <w:szCs w:val="21"/>
              </w:rPr>
            </w:pPr>
            <w:r>
              <w:rPr>
                <w:rFonts w:hint="eastAsia" w:ascii="黑体" w:hAnsi="黑体" w:eastAsia="黑体"/>
                <w:b/>
                <w:bCs/>
                <w:szCs w:val="21"/>
              </w:rPr>
              <w:t>生产规模</w:t>
            </w:r>
          </w:p>
        </w:tc>
        <w:tc>
          <w:tcPr>
            <w:tcW w:w="1568" w:type="pct"/>
            <w:gridSpan w:val="3"/>
            <w:shd w:val="clear" w:color="auto" w:fill="auto"/>
            <w:noWrap/>
            <w:vAlign w:val="center"/>
          </w:tcPr>
          <w:p>
            <w:pPr>
              <w:jc w:val="center"/>
              <w:rPr>
                <w:rFonts w:ascii="黑体" w:hAnsi="黑体" w:eastAsia="黑体"/>
                <w:b/>
                <w:bCs/>
                <w:szCs w:val="21"/>
              </w:rPr>
            </w:pPr>
            <w:r>
              <w:rPr>
                <w:rFonts w:hint="eastAsia" w:ascii="黑体" w:hAnsi="黑体" w:eastAsia="黑体"/>
                <w:b/>
                <w:bCs/>
                <w:szCs w:val="21"/>
              </w:rPr>
              <w:t>开发利用现状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blHeader/>
          <w:jc w:val="center"/>
        </w:trPr>
        <w:tc>
          <w:tcPr>
            <w:tcW w:w="435" w:type="pct"/>
            <w:vMerge w:val="continue"/>
            <w:vAlign w:val="center"/>
          </w:tcPr>
          <w:p>
            <w:pPr>
              <w:jc w:val="center"/>
              <w:rPr>
                <w:rFonts w:ascii="黑体" w:hAnsi="黑体" w:eastAsia="黑体"/>
                <w:b/>
                <w:bCs/>
                <w:szCs w:val="21"/>
              </w:rPr>
            </w:pPr>
          </w:p>
        </w:tc>
        <w:tc>
          <w:tcPr>
            <w:tcW w:w="978" w:type="pct"/>
            <w:vMerge w:val="continue"/>
            <w:vAlign w:val="center"/>
          </w:tcPr>
          <w:p>
            <w:pPr>
              <w:jc w:val="center"/>
              <w:rPr>
                <w:rFonts w:ascii="黑体" w:hAnsi="黑体" w:eastAsia="黑体"/>
                <w:b/>
                <w:bCs/>
                <w:szCs w:val="21"/>
              </w:rPr>
            </w:pPr>
          </w:p>
        </w:tc>
        <w:tc>
          <w:tcPr>
            <w:tcW w:w="503" w:type="pct"/>
            <w:gridSpan w:val="2"/>
            <w:vMerge w:val="continue"/>
            <w:vAlign w:val="center"/>
          </w:tcPr>
          <w:p>
            <w:pPr>
              <w:jc w:val="center"/>
              <w:rPr>
                <w:rFonts w:ascii="黑体" w:hAnsi="黑体" w:eastAsia="黑体"/>
                <w:b/>
                <w:bCs/>
                <w:szCs w:val="21"/>
              </w:rPr>
            </w:pPr>
          </w:p>
        </w:tc>
        <w:tc>
          <w:tcPr>
            <w:tcW w:w="503" w:type="pct"/>
            <w:gridSpan w:val="2"/>
            <w:shd w:val="clear" w:color="auto" w:fill="auto"/>
            <w:noWrap/>
            <w:vAlign w:val="center"/>
          </w:tcPr>
          <w:p>
            <w:pPr>
              <w:jc w:val="center"/>
              <w:rPr>
                <w:rFonts w:ascii="黑体" w:hAnsi="黑体" w:eastAsia="黑体"/>
                <w:b/>
                <w:bCs/>
                <w:szCs w:val="21"/>
              </w:rPr>
            </w:pPr>
            <w:r>
              <w:rPr>
                <w:rFonts w:hint="eastAsia" w:ascii="黑体" w:hAnsi="黑体" w:eastAsia="黑体"/>
                <w:b/>
                <w:bCs/>
                <w:szCs w:val="21"/>
              </w:rPr>
              <w:t>小型</w:t>
            </w:r>
          </w:p>
        </w:tc>
        <w:tc>
          <w:tcPr>
            <w:tcW w:w="503" w:type="pct"/>
            <w:gridSpan w:val="2"/>
            <w:shd w:val="clear" w:color="auto" w:fill="auto"/>
            <w:noWrap/>
            <w:vAlign w:val="center"/>
          </w:tcPr>
          <w:p>
            <w:pPr>
              <w:jc w:val="center"/>
              <w:rPr>
                <w:rFonts w:ascii="黑体" w:hAnsi="黑体" w:eastAsia="黑体"/>
                <w:b/>
                <w:bCs/>
                <w:szCs w:val="21"/>
              </w:rPr>
            </w:pPr>
            <w:r>
              <w:rPr>
                <w:rFonts w:hint="eastAsia" w:ascii="黑体" w:hAnsi="黑体" w:eastAsia="黑体"/>
                <w:b/>
                <w:bCs/>
                <w:szCs w:val="21"/>
              </w:rPr>
              <w:t>中型</w:t>
            </w:r>
          </w:p>
        </w:tc>
        <w:tc>
          <w:tcPr>
            <w:tcW w:w="510" w:type="pct"/>
            <w:gridSpan w:val="2"/>
            <w:shd w:val="clear" w:color="auto" w:fill="auto"/>
            <w:noWrap/>
            <w:vAlign w:val="center"/>
          </w:tcPr>
          <w:p>
            <w:pPr>
              <w:jc w:val="center"/>
              <w:rPr>
                <w:rFonts w:ascii="黑体" w:hAnsi="黑体" w:eastAsia="黑体"/>
                <w:b/>
                <w:bCs/>
                <w:szCs w:val="21"/>
              </w:rPr>
            </w:pPr>
            <w:r>
              <w:rPr>
                <w:rFonts w:hint="eastAsia" w:ascii="黑体" w:hAnsi="黑体" w:eastAsia="黑体"/>
                <w:b/>
                <w:bCs/>
                <w:szCs w:val="21"/>
              </w:rPr>
              <w:t>大型</w:t>
            </w:r>
          </w:p>
        </w:tc>
        <w:tc>
          <w:tcPr>
            <w:tcW w:w="504" w:type="pct"/>
            <w:shd w:val="clear" w:color="auto" w:fill="auto"/>
            <w:noWrap/>
            <w:vAlign w:val="center"/>
          </w:tcPr>
          <w:p>
            <w:pPr>
              <w:jc w:val="center"/>
              <w:rPr>
                <w:rFonts w:ascii="黑体" w:hAnsi="黑体" w:eastAsia="黑体"/>
                <w:b/>
                <w:bCs/>
                <w:szCs w:val="21"/>
              </w:rPr>
            </w:pPr>
            <w:r>
              <w:rPr>
                <w:rFonts w:hint="eastAsia" w:ascii="黑体" w:hAnsi="黑体" w:eastAsia="黑体"/>
                <w:b/>
                <w:bCs/>
                <w:szCs w:val="21"/>
              </w:rPr>
              <w:t>生产</w:t>
            </w:r>
          </w:p>
        </w:tc>
        <w:tc>
          <w:tcPr>
            <w:tcW w:w="504" w:type="pct"/>
            <w:shd w:val="clear" w:color="auto" w:fill="auto"/>
            <w:noWrap/>
            <w:vAlign w:val="center"/>
          </w:tcPr>
          <w:p>
            <w:pPr>
              <w:jc w:val="center"/>
              <w:rPr>
                <w:rFonts w:ascii="黑体" w:hAnsi="黑体" w:eastAsia="黑体"/>
                <w:b/>
                <w:bCs/>
                <w:szCs w:val="21"/>
              </w:rPr>
            </w:pPr>
            <w:r>
              <w:rPr>
                <w:rFonts w:hint="eastAsia" w:ascii="黑体" w:hAnsi="黑体" w:eastAsia="黑体"/>
                <w:b/>
                <w:bCs/>
                <w:szCs w:val="21"/>
              </w:rPr>
              <w:t>停产</w:t>
            </w:r>
          </w:p>
        </w:tc>
        <w:tc>
          <w:tcPr>
            <w:tcW w:w="560" w:type="pct"/>
            <w:shd w:val="clear" w:color="auto" w:fill="auto"/>
            <w:noWrap/>
            <w:vAlign w:val="center"/>
          </w:tcPr>
          <w:p>
            <w:pPr>
              <w:jc w:val="center"/>
              <w:rPr>
                <w:rFonts w:ascii="黑体" w:hAnsi="黑体" w:eastAsia="黑体"/>
                <w:b/>
                <w:bCs/>
                <w:szCs w:val="21"/>
              </w:rPr>
            </w:pPr>
            <w:r>
              <w:rPr>
                <w:rFonts w:hint="eastAsia" w:ascii="黑体" w:hAnsi="黑体" w:eastAsia="黑体"/>
                <w:b/>
                <w:bCs/>
                <w:szCs w:val="21"/>
              </w:rPr>
              <w:t>停建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435" w:type="pct"/>
            <w:shd w:val="clear" w:color="auto" w:fill="auto"/>
            <w:vAlign w:val="center"/>
          </w:tcPr>
          <w:p>
            <w:pPr>
              <w:jc w:val="center"/>
              <w:rPr>
                <w:rFonts w:ascii="仿宋_GB2312" w:eastAsia="仿宋_GB2312"/>
                <w:sz w:val="22"/>
              </w:rPr>
            </w:pPr>
            <w:r>
              <w:rPr>
                <w:rFonts w:hint="eastAsia" w:ascii="仿宋_GB2312" w:eastAsia="仿宋_GB2312"/>
                <w:sz w:val="22"/>
              </w:rPr>
              <w:t>1</w:t>
            </w:r>
          </w:p>
        </w:tc>
        <w:tc>
          <w:tcPr>
            <w:tcW w:w="978" w:type="pct"/>
            <w:shd w:val="clear" w:color="auto" w:fill="auto"/>
            <w:noWrap/>
            <w:vAlign w:val="center"/>
          </w:tcPr>
          <w:p>
            <w:pPr>
              <w:jc w:val="center"/>
              <w:rPr>
                <w:rFonts w:ascii="仿宋_GB2312" w:eastAsia="仿宋_GB2312"/>
                <w:sz w:val="22"/>
              </w:rPr>
            </w:pPr>
            <w:r>
              <w:rPr>
                <w:rFonts w:hint="eastAsia" w:ascii="仿宋_GB2312" w:eastAsia="仿宋_GB2312"/>
                <w:sz w:val="22"/>
              </w:rPr>
              <w:t>金矿</w:t>
            </w:r>
          </w:p>
        </w:tc>
        <w:tc>
          <w:tcPr>
            <w:tcW w:w="503" w:type="pct"/>
            <w:gridSpan w:val="2"/>
            <w:shd w:val="clear" w:color="auto" w:fill="auto"/>
            <w:noWrap/>
            <w:vAlign w:val="center"/>
          </w:tcPr>
          <w:p>
            <w:pPr>
              <w:jc w:val="center"/>
              <w:rPr>
                <w:rFonts w:ascii="仿宋_GB2312" w:eastAsia="仿宋_GB2312"/>
                <w:sz w:val="22"/>
              </w:rPr>
            </w:pPr>
            <w:r>
              <w:rPr>
                <w:rFonts w:ascii="仿宋_GB2312" w:eastAsia="仿宋_GB2312"/>
                <w:sz w:val="22"/>
              </w:rPr>
              <w:t>2</w:t>
            </w:r>
          </w:p>
        </w:tc>
        <w:tc>
          <w:tcPr>
            <w:tcW w:w="503" w:type="pct"/>
            <w:gridSpan w:val="2"/>
            <w:shd w:val="clear" w:color="auto" w:fill="auto"/>
            <w:noWrap/>
            <w:vAlign w:val="center"/>
          </w:tcPr>
          <w:p>
            <w:pPr>
              <w:jc w:val="center"/>
              <w:rPr>
                <w:rFonts w:ascii="仿宋_GB2312" w:eastAsia="仿宋_GB2312"/>
                <w:sz w:val="22"/>
              </w:rPr>
            </w:pPr>
            <w:r>
              <w:rPr>
                <w:rFonts w:ascii="仿宋_GB2312" w:eastAsia="仿宋_GB2312"/>
                <w:sz w:val="22"/>
              </w:rPr>
              <w:t>2</w:t>
            </w:r>
          </w:p>
        </w:tc>
        <w:tc>
          <w:tcPr>
            <w:tcW w:w="503" w:type="pct"/>
            <w:gridSpan w:val="2"/>
            <w:shd w:val="clear" w:color="auto" w:fill="auto"/>
            <w:noWrap/>
            <w:vAlign w:val="center"/>
          </w:tcPr>
          <w:p>
            <w:pPr>
              <w:jc w:val="center"/>
              <w:rPr>
                <w:rFonts w:ascii="仿宋_GB2312" w:eastAsia="仿宋_GB2312"/>
                <w:sz w:val="22"/>
              </w:rPr>
            </w:pPr>
          </w:p>
        </w:tc>
        <w:tc>
          <w:tcPr>
            <w:tcW w:w="510" w:type="pct"/>
            <w:gridSpan w:val="2"/>
            <w:shd w:val="clear" w:color="auto" w:fill="auto"/>
            <w:noWrap/>
            <w:vAlign w:val="center"/>
          </w:tcPr>
          <w:p>
            <w:pPr>
              <w:jc w:val="center"/>
              <w:rPr>
                <w:rFonts w:ascii="仿宋_GB2312" w:eastAsia="仿宋_GB2312"/>
                <w:sz w:val="22"/>
              </w:rPr>
            </w:pPr>
          </w:p>
        </w:tc>
        <w:tc>
          <w:tcPr>
            <w:tcW w:w="504" w:type="pct"/>
            <w:shd w:val="clear" w:color="auto" w:fill="auto"/>
            <w:noWrap/>
            <w:vAlign w:val="center"/>
          </w:tcPr>
          <w:p>
            <w:pPr>
              <w:jc w:val="center"/>
              <w:rPr>
                <w:rFonts w:ascii="仿宋_GB2312" w:eastAsia="仿宋_GB2312"/>
                <w:sz w:val="22"/>
              </w:rPr>
            </w:pPr>
            <w:r>
              <w:rPr>
                <w:rFonts w:hint="eastAsia" w:ascii="仿宋_GB2312" w:eastAsia="仿宋_GB2312"/>
                <w:sz w:val="22"/>
              </w:rPr>
              <w:t>1</w:t>
            </w:r>
          </w:p>
        </w:tc>
        <w:tc>
          <w:tcPr>
            <w:tcW w:w="504" w:type="pct"/>
            <w:shd w:val="clear" w:color="auto" w:fill="auto"/>
            <w:noWrap/>
            <w:vAlign w:val="center"/>
          </w:tcPr>
          <w:p>
            <w:pPr>
              <w:jc w:val="center"/>
              <w:rPr>
                <w:rFonts w:ascii="仿宋_GB2312" w:eastAsia="仿宋_GB2312"/>
                <w:sz w:val="22"/>
              </w:rPr>
            </w:pPr>
            <w:r>
              <w:rPr>
                <w:rFonts w:ascii="仿宋_GB2312" w:eastAsia="仿宋_GB2312"/>
                <w:sz w:val="22"/>
              </w:rPr>
              <w:t>1</w:t>
            </w:r>
          </w:p>
        </w:tc>
        <w:tc>
          <w:tcPr>
            <w:tcW w:w="560" w:type="pct"/>
            <w:shd w:val="clear" w:color="auto" w:fill="auto"/>
            <w:noWrap/>
            <w:vAlign w:val="center"/>
          </w:tcPr>
          <w:p>
            <w:pPr>
              <w:jc w:val="center"/>
              <w:rPr>
                <w:rFonts w:ascii="仿宋_GB2312" w:eastAsia="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435" w:type="pct"/>
            <w:shd w:val="clear" w:color="auto" w:fill="auto"/>
            <w:vAlign w:val="center"/>
          </w:tcPr>
          <w:p>
            <w:pPr>
              <w:jc w:val="center"/>
              <w:rPr>
                <w:rFonts w:ascii="仿宋_GB2312" w:eastAsia="仿宋_GB2312"/>
                <w:sz w:val="22"/>
              </w:rPr>
            </w:pPr>
            <w:r>
              <w:rPr>
                <w:rFonts w:hint="eastAsia" w:ascii="仿宋_GB2312" w:eastAsia="仿宋_GB2312"/>
                <w:sz w:val="22"/>
              </w:rPr>
              <w:t>2</w:t>
            </w:r>
          </w:p>
        </w:tc>
        <w:tc>
          <w:tcPr>
            <w:tcW w:w="978" w:type="pct"/>
            <w:shd w:val="clear" w:color="auto" w:fill="auto"/>
            <w:noWrap/>
            <w:vAlign w:val="center"/>
          </w:tcPr>
          <w:p>
            <w:pPr>
              <w:jc w:val="center"/>
              <w:rPr>
                <w:rFonts w:ascii="仿宋_GB2312" w:eastAsia="仿宋_GB2312"/>
                <w:sz w:val="22"/>
              </w:rPr>
            </w:pPr>
            <w:r>
              <w:rPr>
                <w:rFonts w:hint="eastAsia" w:ascii="仿宋_GB2312" w:eastAsia="仿宋_GB2312"/>
                <w:sz w:val="22"/>
              </w:rPr>
              <w:t>饰面用大理岩</w:t>
            </w:r>
          </w:p>
        </w:tc>
        <w:tc>
          <w:tcPr>
            <w:tcW w:w="503" w:type="pct"/>
            <w:gridSpan w:val="2"/>
            <w:shd w:val="clear" w:color="auto" w:fill="auto"/>
            <w:noWrap/>
            <w:vAlign w:val="center"/>
          </w:tcPr>
          <w:p>
            <w:pPr>
              <w:jc w:val="center"/>
              <w:rPr>
                <w:rFonts w:ascii="仿宋_GB2312" w:eastAsia="仿宋_GB2312"/>
                <w:sz w:val="22"/>
              </w:rPr>
            </w:pPr>
            <w:r>
              <w:rPr>
                <w:rFonts w:ascii="仿宋_GB2312" w:eastAsia="仿宋_GB2312"/>
                <w:sz w:val="22"/>
              </w:rPr>
              <w:t>3</w:t>
            </w:r>
          </w:p>
        </w:tc>
        <w:tc>
          <w:tcPr>
            <w:tcW w:w="503" w:type="pct"/>
            <w:gridSpan w:val="2"/>
            <w:shd w:val="clear" w:color="auto" w:fill="auto"/>
            <w:noWrap/>
            <w:vAlign w:val="center"/>
          </w:tcPr>
          <w:p>
            <w:pPr>
              <w:jc w:val="center"/>
              <w:rPr>
                <w:rFonts w:ascii="仿宋_GB2312" w:eastAsia="仿宋_GB2312"/>
                <w:sz w:val="22"/>
              </w:rPr>
            </w:pPr>
            <w:r>
              <w:rPr>
                <w:rFonts w:ascii="仿宋_GB2312" w:eastAsia="仿宋_GB2312"/>
                <w:sz w:val="22"/>
              </w:rPr>
              <w:t>3</w:t>
            </w:r>
          </w:p>
        </w:tc>
        <w:tc>
          <w:tcPr>
            <w:tcW w:w="503" w:type="pct"/>
            <w:gridSpan w:val="2"/>
            <w:shd w:val="clear" w:color="auto" w:fill="auto"/>
            <w:noWrap/>
            <w:vAlign w:val="center"/>
          </w:tcPr>
          <w:p>
            <w:pPr>
              <w:jc w:val="center"/>
              <w:rPr>
                <w:rFonts w:ascii="仿宋_GB2312" w:eastAsia="仿宋_GB2312"/>
                <w:sz w:val="22"/>
              </w:rPr>
            </w:pPr>
          </w:p>
        </w:tc>
        <w:tc>
          <w:tcPr>
            <w:tcW w:w="510" w:type="pct"/>
            <w:gridSpan w:val="2"/>
            <w:shd w:val="clear" w:color="auto" w:fill="auto"/>
            <w:noWrap/>
            <w:vAlign w:val="center"/>
          </w:tcPr>
          <w:p>
            <w:pPr>
              <w:jc w:val="center"/>
              <w:rPr>
                <w:rFonts w:ascii="仿宋_GB2312" w:eastAsia="仿宋_GB2312"/>
                <w:sz w:val="22"/>
              </w:rPr>
            </w:pPr>
          </w:p>
        </w:tc>
        <w:tc>
          <w:tcPr>
            <w:tcW w:w="504" w:type="pct"/>
            <w:shd w:val="clear" w:color="auto" w:fill="auto"/>
            <w:noWrap/>
            <w:vAlign w:val="center"/>
          </w:tcPr>
          <w:p>
            <w:pPr>
              <w:jc w:val="center"/>
              <w:rPr>
                <w:rFonts w:ascii="仿宋_GB2312" w:eastAsia="仿宋_GB2312"/>
                <w:sz w:val="22"/>
              </w:rPr>
            </w:pPr>
          </w:p>
        </w:tc>
        <w:tc>
          <w:tcPr>
            <w:tcW w:w="504" w:type="pct"/>
            <w:shd w:val="clear" w:color="auto" w:fill="auto"/>
            <w:noWrap/>
            <w:vAlign w:val="center"/>
          </w:tcPr>
          <w:p>
            <w:pPr>
              <w:jc w:val="center"/>
              <w:rPr>
                <w:rFonts w:ascii="仿宋_GB2312" w:eastAsia="仿宋_GB2312"/>
                <w:sz w:val="22"/>
              </w:rPr>
            </w:pPr>
            <w:r>
              <w:rPr>
                <w:rFonts w:ascii="仿宋_GB2312" w:eastAsia="仿宋_GB2312"/>
                <w:sz w:val="22"/>
              </w:rPr>
              <w:t>2</w:t>
            </w:r>
          </w:p>
        </w:tc>
        <w:tc>
          <w:tcPr>
            <w:tcW w:w="560" w:type="pct"/>
            <w:shd w:val="clear" w:color="auto" w:fill="auto"/>
            <w:noWrap/>
            <w:vAlign w:val="center"/>
          </w:tcPr>
          <w:p>
            <w:pPr>
              <w:jc w:val="center"/>
              <w:rPr>
                <w:rFonts w:ascii="仿宋_GB2312" w:eastAsia="仿宋_GB2312"/>
                <w:sz w:val="22"/>
              </w:rPr>
            </w:pPr>
            <w:r>
              <w:rPr>
                <w:rFonts w:hint="eastAsia" w:ascii="仿宋_GB2312" w:eastAsia="仿宋_GB2312"/>
                <w:sz w:val="22"/>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435" w:type="pct"/>
            <w:shd w:val="clear" w:color="auto" w:fill="auto"/>
            <w:vAlign w:val="center"/>
          </w:tcPr>
          <w:p>
            <w:pPr>
              <w:jc w:val="center"/>
              <w:rPr>
                <w:rFonts w:ascii="仿宋_GB2312" w:eastAsia="仿宋_GB2312"/>
                <w:sz w:val="22"/>
              </w:rPr>
            </w:pPr>
            <w:r>
              <w:rPr>
                <w:rFonts w:hint="eastAsia" w:ascii="仿宋_GB2312" w:eastAsia="仿宋_GB2312"/>
                <w:sz w:val="22"/>
              </w:rPr>
              <w:t>3</w:t>
            </w:r>
          </w:p>
        </w:tc>
        <w:tc>
          <w:tcPr>
            <w:tcW w:w="978" w:type="pct"/>
            <w:shd w:val="clear" w:color="auto" w:fill="auto"/>
            <w:noWrap/>
            <w:vAlign w:val="center"/>
          </w:tcPr>
          <w:p>
            <w:pPr>
              <w:jc w:val="center"/>
              <w:rPr>
                <w:rFonts w:ascii="仿宋_GB2312" w:eastAsia="仿宋_GB2312"/>
                <w:sz w:val="22"/>
              </w:rPr>
            </w:pPr>
            <w:r>
              <w:rPr>
                <w:rFonts w:hint="eastAsia" w:ascii="仿宋_GB2312" w:eastAsia="仿宋_GB2312"/>
                <w:sz w:val="22"/>
              </w:rPr>
              <w:t>石英岩</w:t>
            </w:r>
          </w:p>
        </w:tc>
        <w:tc>
          <w:tcPr>
            <w:tcW w:w="503" w:type="pct"/>
            <w:gridSpan w:val="2"/>
            <w:shd w:val="clear" w:color="auto" w:fill="auto"/>
            <w:noWrap/>
            <w:vAlign w:val="center"/>
          </w:tcPr>
          <w:p>
            <w:pPr>
              <w:jc w:val="center"/>
              <w:rPr>
                <w:rFonts w:ascii="仿宋_GB2312" w:eastAsia="仿宋_GB2312"/>
                <w:sz w:val="22"/>
              </w:rPr>
            </w:pPr>
            <w:r>
              <w:rPr>
                <w:rFonts w:hint="eastAsia" w:ascii="仿宋_GB2312" w:eastAsia="仿宋_GB2312"/>
                <w:sz w:val="22"/>
              </w:rPr>
              <w:t>1</w:t>
            </w:r>
          </w:p>
        </w:tc>
        <w:tc>
          <w:tcPr>
            <w:tcW w:w="503" w:type="pct"/>
            <w:gridSpan w:val="2"/>
            <w:shd w:val="clear" w:color="auto" w:fill="auto"/>
            <w:noWrap/>
            <w:vAlign w:val="center"/>
          </w:tcPr>
          <w:p>
            <w:pPr>
              <w:jc w:val="center"/>
              <w:rPr>
                <w:rFonts w:ascii="仿宋_GB2312" w:eastAsia="仿宋_GB2312"/>
                <w:sz w:val="22"/>
              </w:rPr>
            </w:pPr>
            <w:r>
              <w:rPr>
                <w:rFonts w:hint="eastAsia" w:ascii="仿宋_GB2312" w:eastAsia="仿宋_GB2312"/>
                <w:sz w:val="22"/>
              </w:rPr>
              <w:t>1</w:t>
            </w:r>
          </w:p>
        </w:tc>
        <w:tc>
          <w:tcPr>
            <w:tcW w:w="503" w:type="pct"/>
            <w:gridSpan w:val="2"/>
            <w:shd w:val="clear" w:color="auto" w:fill="auto"/>
            <w:noWrap/>
            <w:vAlign w:val="center"/>
          </w:tcPr>
          <w:p>
            <w:pPr>
              <w:jc w:val="center"/>
              <w:rPr>
                <w:rFonts w:ascii="仿宋_GB2312" w:eastAsia="仿宋_GB2312"/>
                <w:sz w:val="22"/>
              </w:rPr>
            </w:pPr>
          </w:p>
        </w:tc>
        <w:tc>
          <w:tcPr>
            <w:tcW w:w="510" w:type="pct"/>
            <w:gridSpan w:val="2"/>
            <w:shd w:val="clear" w:color="auto" w:fill="auto"/>
            <w:noWrap/>
            <w:vAlign w:val="center"/>
          </w:tcPr>
          <w:p>
            <w:pPr>
              <w:jc w:val="center"/>
              <w:rPr>
                <w:rFonts w:ascii="仿宋_GB2312" w:eastAsia="仿宋_GB2312"/>
                <w:sz w:val="22"/>
              </w:rPr>
            </w:pPr>
          </w:p>
        </w:tc>
        <w:tc>
          <w:tcPr>
            <w:tcW w:w="504" w:type="pct"/>
            <w:shd w:val="clear" w:color="auto" w:fill="auto"/>
            <w:noWrap/>
            <w:vAlign w:val="center"/>
          </w:tcPr>
          <w:p>
            <w:pPr>
              <w:jc w:val="center"/>
              <w:rPr>
                <w:rFonts w:ascii="仿宋_GB2312" w:eastAsia="仿宋_GB2312"/>
                <w:sz w:val="22"/>
              </w:rPr>
            </w:pPr>
          </w:p>
        </w:tc>
        <w:tc>
          <w:tcPr>
            <w:tcW w:w="504" w:type="pct"/>
            <w:shd w:val="clear" w:color="auto" w:fill="auto"/>
            <w:noWrap/>
            <w:vAlign w:val="center"/>
          </w:tcPr>
          <w:p>
            <w:pPr>
              <w:jc w:val="center"/>
              <w:rPr>
                <w:rFonts w:ascii="仿宋_GB2312" w:eastAsia="仿宋_GB2312"/>
                <w:sz w:val="22"/>
              </w:rPr>
            </w:pPr>
          </w:p>
        </w:tc>
        <w:tc>
          <w:tcPr>
            <w:tcW w:w="560" w:type="pct"/>
            <w:shd w:val="clear" w:color="auto" w:fill="auto"/>
            <w:noWrap/>
            <w:vAlign w:val="center"/>
          </w:tcPr>
          <w:p>
            <w:pPr>
              <w:jc w:val="center"/>
              <w:rPr>
                <w:rFonts w:ascii="仿宋_GB2312" w:eastAsia="仿宋_GB2312"/>
                <w:sz w:val="22"/>
              </w:rPr>
            </w:pPr>
            <w:r>
              <w:rPr>
                <w:rFonts w:hint="eastAsia" w:ascii="仿宋_GB2312" w:eastAsia="仿宋_GB2312"/>
                <w:sz w:val="22"/>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1420" w:type="pct"/>
            <w:gridSpan w:val="3"/>
            <w:shd w:val="clear" w:color="auto" w:fill="auto"/>
            <w:vAlign w:val="center"/>
          </w:tcPr>
          <w:p>
            <w:pPr>
              <w:jc w:val="center"/>
              <w:rPr>
                <w:rFonts w:ascii="仿宋_GB2312" w:eastAsia="仿宋_GB2312"/>
                <w:sz w:val="22"/>
              </w:rPr>
            </w:pPr>
            <w:r>
              <w:rPr>
                <w:rFonts w:hint="eastAsia" w:ascii="仿宋_GB2312" w:eastAsia="仿宋_GB2312"/>
                <w:sz w:val="22"/>
              </w:rPr>
              <w:t>合计</w:t>
            </w:r>
          </w:p>
        </w:tc>
        <w:tc>
          <w:tcPr>
            <w:tcW w:w="503" w:type="pct"/>
            <w:gridSpan w:val="2"/>
            <w:shd w:val="clear" w:color="auto" w:fill="auto"/>
            <w:noWrap/>
            <w:vAlign w:val="center"/>
          </w:tcPr>
          <w:p>
            <w:pPr>
              <w:jc w:val="center"/>
              <w:rPr>
                <w:rFonts w:ascii="仿宋_GB2312" w:eastAsia="仿宋_GB2312"/>
                <w:sz w:val="22"/>
              </w:rPr>
            </w:pPr>
            <w:r>
              <w:rPr>
                <w:rFonts w:ascii="仿宋_GB2312" w:eastAsia="仿宋_GB2312"/>
                <w:sz w:val="22"/>
              </w:rPr>
              <w:t>6</w:t>
            </w:r>
          </w:p>
        </w:tc>
        <w:tc>
          <w:tcPr>
            <w:tcW w:w="503" w:type="pct"/>
            <w:gridSpan w:val="2"/>
            <w:shd w:val="clear" w:color="auto" w:fill="auto"/>
            <w:noWrap/>
            <w:vAlign w:val="center"/>
          </w:tcPr>
          <w:p>
            <w:pPr>
              <w:jc w:val="center"/>
              <w:rPr>
                <w:rFonts w:ascii="仿宋_GB2312" w:eastAsia="仿宋_GB2312"/>
                <w:sz w:val="22"/>
              </w:rPr>
            </w:pPr>
            <w:r>
              <w:rPr>
                <w:rFonts w:ascii="仿宋_GB2312" w:eastAsia="仿宋_GB2312"/>
                <w:sz w:val="22"/>
              </w:rPr>
              <w:t>6</w:t>
            </w:r>
          </w:p>
        </w:tc>
        <w:tc>
          <w:tcPr>
            <w:tcW w:w="503" w:type="pct"/>
            <w:gridSpan w:val="2"/>
            <w:shd w:val="clear" w:color="auto" w:fill="auto"/>
            <w:noWrap/>
            <w:vAlign w:val="center"/>
          </w:tcPr>
          <w:p>
            <w:pPr>
              <w:jc w:val="center"/>
              <w:rPr>
                <w:rFonts w:ascii="仿宋_GB2312" w:eastAsia="仿宋_GB2312"/>
                <w:sz w:val="22"/>
              </w:rPr>
            </w:pPr>
          </w:p>
        </w:tc>
        <w:tc>
          <w:tcPr>
            <w:tcW w:w="504" w:type="pct"/>
            <w:shd w:val="clear" w:color="auto" w:fill="auto"/>
            <w:noWrap/>
            <w:vAlign w:val="center"/>
          </w:tcPr>
          <w:p>
            <w:pPr>
              <w:jc w:val="center"/>
              <w:rPr>
                <w:rFonts w:ascii="仿宋_GB2312" w:eastAsia="仿宋_GB2312"/>
                <w:sz w:val="22"/>
              </w:rPr>
            </w:pPr>
          </w:p>
        </w:tc>
        <w:tc>
          <w:tcPr>
            <w:tcW w:w="504" w:type="pct"/>
            <w:shd w:val="clear" w:color="auto" w:fill="auto"/>
            <w:noWrap/>
            <w:vAlign w:val="center"/>
          </w:tcPr>
          <w:p>
            <w:pPr>
              <w:jc w:val="center"/>
              <w:rPr>
                <w:rFonts w:ascii="仿宋_GB2312" w:eastAsia="仿宋_GB2312"/>
                <w:sz w:val="22"/>
              </w:rPr>
            </w:pPr>
            <w:r>
              <w:rPr>
                <w:rFonts w:hint="eastAsia" w:ascii="仿宋_GB2312" w:eastAsia="仿宋_GB2312"/>
                <w:sz w:val="22"/>
              </w:rPr>
              <w:t>1</w:t>
            </w:r>
          </w:p>
        </w:tc>
        <w:tc>
          <w:tcPr>
            <w:tcW w:w="504" w:type="pct"/>
            <w:shd w:val="clear" w:color="auto" w:fill="auto"/>
            <w:noWrap/>
            <w:vAlign w:val="center"/>
          </w:tcPr>
          <w:p>
            <w:pPr>
              <w:jc w:val="center"/>
              <w:rPr>
                <w:rFonts w:ascii="仿宋_GB2312" w:eastAsia="仿宋_GB2312"/>
                <w:sz w:val="22"/>
              </w:rPr>
            </w:pPr>
            <w:r>
              <w:rPr>
                <w:rFonts w:ascii="仿宋_GB2312" w:eastAsia="仿宋_GB2312"/>
                <w:sz w:val="22"/>
              </w:rPr>
              <w:t>3</w:t>
            </w:r>
          </w:p>
        </w:tc>
        <w:tc>
          <w:tcPr>
            <w:tcW w:w="560" w:type="pct"/>
            <w:shd w:val="clear" w:color="auto" w:fill="auto"/>
            <w:noWrap/>
            <w:vAlign w:val="center"/>
          </w:tcPr>
          <w:p>
            <w:pPr>
              <w:jc w:val="center"/>
              <w:rPr>
                <w:rFonts w:ascii="仿宋_GB2312" w:eastAsia="仿宋_GB2312"/>
                <w:sz w:val="22"/>
              </w:rPr>
            </w:pPr>
            <w:r>
              <w:rPr>
                <w:rFonts w:hint="eastAsia" w:ascii="仿宋_GB2312" w:eastAsia="仿宋_GB2312"/>
                <w:sz w:val="22"/>
              </w:rPr>
              <w:t>2</w:t>
            </w:r>
          </w:p>
        </w:tc>
      </w:tr>
    </w:tbl>
    <w:p>
      <w:pPr>
        <w:spacing w:before="156" w:beforeLines="50" w:after="156" w:afterLines="50"/>
        <w:jc w:val="center"/>
        <w:outlineLvl w:val="1"/>
        <w:rPr>
          <w:rFonts w:ascii="黑体" w:hAnsi="黑体" w:eastAsia="黑体"/>
          <w:b/>
          <w:bCs/>
          <w:sz w:val="32"/>
          <w:szCs w:val="32"/>
        </w:rPr>
      </w:pPr>
      <w:bookmarkStart w:id="17" w:name="_Toc100824221"/>
      <w:bookmarkStart w:id="18" w:name="_Toc84672687"/>
      <w:bookmarkStart w:id="19" w:name="_Toc119246984"/>
      <w:bookmarkStart w:id="20" w:name="_Toc119246854"/>
      <w:r>
        <w:rPr>
          <w:rFonts w:hint="eastAsia" w:ascii="黑体" w:hAnsi="黑体" w:eastAsia="黑体"/>
          <w:b/>
          <w:bCs/>
          <w:sz w:val="32"/>
          <w:szCs w:val="32"/>
        </w:rPr>
        <w:t>第三节</w:t>
      </w:r>
      <w:r>
        <w:rPr>
          <w:rFonts w:ascii="黑体" w:hAnsi="黑体" w:eastAsia="黑体"/>
          <w:b/>
          <w:bCs/>
          <w:sz w:val="32"/>
          <w:szCs w:val="32"/>
        </w:rPr>
        <w:t xml:space="preserve"> </w:t>
      </w:r>
      <w:r>
        <w:rPr>
          <w:rFonts w:hint="eastAsia" w:ascii="黑体" w:hAnsi="黑体" w:eastAsia="黑体"/>
          <w:b/>
          <w:bCs/>
          <w:sz w:val="32"/>
          <w:szCs w:val="32"/>
        </w:rPr>
        <w:t>上一轮规划实施成效</w:t>
      </w:r>
      <w:bookmarkEnd w:id="17"/>
      <w:bookmarkEnd w:id="18"/>
      <w:bookmarkEnd w:id="19"/>
      <w:bookmarkEnd w:id="20"/>
    </w:p>
    <w:p>
      <w:pPr>
        <w:spacing w:line="360" w:lineRule="auto"/>
        <w:ind w:firstLine="640" w:firstLineChars="200"/>
        <w:rPr>
          <w:rFonts w:ascii="仿宋_GB2312" w:eastAsia="仿宋_GB2312"/>
          <w:sz w:val="32"/>
          <w:szCs w:val="32"/>
        </w:rPr>
      </w:pPr>
      <w:r>
        <w:rPr>
          <w:rFonts w:hint="eastAsia" w:ascii="仿宋_GB2312" w:eastAsia="仿宋_GB2312"/>
          <w:sz w:val="32"/>
          <w:szCs w:val="32"/>
        </w:rPr>
        <w:t>《小金县矿产资源总体规划（2016—2020年）》实施以来，在矿产资源勘查、开发利用与保护、矿山地质环境治理恢复等工作起到了调控和指导性作用。</w:t>
      </w:r>
    </w:p>
    <w:p>
      <w:pPr>
        <w:spacing w:line="360" w:lineRule="auto"/>
        <w:ind w:firstLine="640" w:firstLineChars="200"/>
        <w:rPr>
          <w:rFonts w:ascii="仿宋_GB2312" w:eastAsia="仿宋_GB2312"/>
          <w:sz w:val="32"/>
          <w:szCs w:val="32"/>
        </w:rPr>
      </w:pPr>
    </w:p>
    <w:tbl>
      <w:tblPr>
        <w:tblStyle w:val="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5"/>
        <w:gridCol w:w="2693"/>
        <w:gridCol w:w="1277"/>
        <w:gridCol w:w="1294"/>
        <w:gridCol w:w="17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blHeader/>
          <w:jc w:val="center"/>
        </w:trPr>
        <w:tc>
          <w:tcPr>
            <w:tcW w:w="5000" w:type="pct"/>
            <w:gridSpan w:val="5"/>
            <w:shd w:val="clear" w:color="auto" w:fill="auto"/>
            <w:noWrap/>
            <w:vAlign w:val="center"/>
          </w:tcPr>
          <w:p>
            <w:pPr>
              <w:jc w:val="center"/>
              <w:rPr>
                <w:rFonts w:ascii="黑体" w:hAnsi="黑体" w:eastAsia="黑体"/>
                <w:b/>
                <w:sz w:val="28"/>
                <w:szCs w:val="28"/>
              </w:rPr>
            </w:pPr>
            <w:r>
              <w:rPr>
                <w:rFonts w:hint="eastAsia" w:ascii="黑体" w:hAnsi="黑体" w:eastAsia="黑体"/>
                <w:b/>
                <w:sz w:val="28"/>
                <w:szCs w:val="28"/>
              </w:rPr>
              <w:t>专栏</w:t>
            </w:r>
            <w:r>
              <w:rPr>
                <w:rFonts w:ascii="黑体" w:hAnsi="黑体" w:eastAsia="黑体"/>
                <w:b/>
                <w:sz w:val="28"/>
                <w:szCs w:val="28"/>
              </w:rPr>
              <w:t>4“</w:t>
            </w:r>
            <w:r>
              <w:rPr>
                <w:rFonts w:hint="eastAsia" w:ascii="黑体" w:hAnsi="黑体" w:eastAsia="黑体"/>
                <w:b/>
                <w:sz w:val="28"/>
                <w:szCs w:val="28"/>
              </w:rPr>
              <w:t>十三五</w:t>
            </w:r>
            <w:r>
              <w:rPr>
                <w:rFonts w:ascii="黑体" w:hAnsi="黑体" w:eastAsia="黑体"/>
                <w:b/>
                <w:sz w:val="28"/>
                <w:szCs w:val="28"/>
              </w:rPr>
              <w:t>”</w:t>
            </w:r>
            <w:r>
              <w:rPr>
                <w:rFonts w:hint="eastAsia" w:ascii="黑体" w:hAnsi="黑体" w:eastAsia="黑体"/>
                <w:b/>
                <w:sz w:val="28"/>
                <w:szCs w:val="28"/>
              </w:rPr>
              <w:t>矿产资源勘查目标完成情况表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blHeader/>
          <w:jc w:val="center"/>
        </w:trPr>
        <w:tc>
          <w:tcPr>
            <w:tcW w:w="2475" w:type="pct"/>
            <w:gridSpan w:val="2"/>
            <w:shd w:val="clear" w:color="auto" w:fill="auto"/>
            <w:noWrap/>
            <w:vAlign w:val="center"/>
          </w:tcPr>
          <w:p>
            <w:pPr>
              <w:jc w:val="center"/>
              <w:rPr>
                <w:rFonts w:ascii="黑体" w:hAnsi="黑体" w:eastAsia="黑体"/>
                <w:b/>
                <w:bCs/>
                <w:szCs w:val="21"/>
              </w:rPr>
            </w:pPr>
            <w:r>
              <w:rPr>
                <w:rFonts w:hint="eastAsia" w:ascii="黑体" w:hAnsi="黑体" w:eastAsia="黑体"/>
                <w:b/>
                <w:bCs/>
                <w:szCs w:val="21"/>
              </w:rPr>
              <w:t>指</w:t>
            </w:r>
            <w:r>
              <w:rPr>
                <w:rFonts w:ascii="黑体" w:hAnsi="黑体" w:eastAsia="黑体"/>
                <w:b/>
                <w:bCs/>
                <w:szCs w:val="21"/>
              </w:rPr>
              <w:t xml:space="preserve">   </w:t>
            </w:r>
            <w:r>
              <w:rPr>
                <w:rFonts w:hint="eastAsia" w:ascii="黑体" w:hAnsi="黑体" w:eastAsia="黑体"/>
                <w:b/>
                <w:bCs/>
                <w:szCs w:val="21"/>
              </w:rPr>
              <w:t>标</w:t>
            </w:r>
          </w:p>
        </w:tc>
        <w:tc>
          <w:tcPr>
            <w:tcW w:w="749" w:type="pct"/>
            <w:shd w:val="clear" w:color="auto" w:fill="auto"/>
            <w:vAlign w:val="center"/>
          </w:tcPr>
          <w:p>
            <w:pPr>
              <w:jc w:val="center"/>
              <w:rPr>
                <w:rFonts w:ascii="黑体" w:hAnsi="黑体" w:eastAsia="黑体"/>
                <w:b/>
                <w:bCs/>
                <w:szCs w:val="21"/>
              </w:rPr>
            </w:pPr>
            <w:r>
              <w:rPr>
                <w:rFonts w:hint="eastAsia" w:ascii="黑体" w:hAnsi="黑体" w:eastAsia="黑体"/>
                <w:b/>
                <w:bCs/>
                <w:szCs w:val="21"/>
              </w:rPr>
              <w:t>至</w:t>
            </w:r>
            <w:r>
              <w:rPr>
                <w:rFonts w:ascii="黑体" w:hAnsi="黑体" w:eastAsia="黑体"/>
                <w:b/>
                <w:bCs/>
                <w:szCs w:val="21"/>
              </w:rPr>
              <w:t>2020</w:t>
            </w:r>
            <w:r>
              <w:rPr>
                <w:rFonts w:hint="eastAsia" w:ascii="黑体" w:hAnsi="黑体" w:eastAsia="黑体"/>
                <w:b/>
                <w:bCs/>
                <w:szCs w:val="21"/>
              </w:rPr>
              <w:t>年规划目标</w:t>
            </w:r>
          </w:p>
        </w:tc>
        <w:tc>
          <w:tcPr>
            <w:tcW w:w="759" w:type="pct"/>
            <w:shd w:val="clear" w:color="auto" w:fill="auto"/>
            <w:vAlign w:val="center"/>
          </w:tcPr>
          <w:p>
            <w:pPr>
              <w:jc w:val="center"/>
              <w:rPr>
                <w:rFonts w:ascii="黑体" w:hAnsi="黑体" w:eastAsia="黑体"/>
                <w:b/>
                <w:bCs/>
                <w:szCs w:val="21"/>
              </w:rPr>
            </w:pPr>
            <w:r>
              <w:rPr>
                <w:rFonts w:ascii="黑体" w:hAnsi="黑体" w:eastAsia="黑体"/>
                <w:b/>
                <w:bCs/>
                <w:szCs w:val="21"/>
              </w:rPr>
              <w:t>2020</w:t>
            </w:r>
            <w:r>
              <w:rPr>
                <w:rFonts w:hint="eastAsia" w:ascii="黑体" w:hAnsi="黑体" w:eastAsia="黑体"/>
                <w:b/>
                <w:bCs/>
                <w:szCs w:val="21"/>
              </w:rPr>
              <w:t>年完成情况</w:t>
            </w:r>
          </w:p>
        </w:tc>
        <w:tc>
          <w:tcPr>
            <w:tcW w:w="1017" w:type="pct"/>
            <w:shd w:val="clear" w:color="auto" w:fill="auto"/>
            <w:noWrap/>
            <w:vAlign w:val="center"/>
          </w:tcPr>
          <w:p>
            <w:pPr>
              <w:jc w:val="center"/>
              <w:rPr>
                <w:rFonts w:ascii="黑体" w:hAnsi="黑体" w:eastAsia="黑体"/>
                <w:b/>
                <w:bCs/>
                <w:szCs w:val="21"/>
              </w:rPr>
            </w:pPr>
            <w:r>
              <w:rPr>
                <w:rFonts w:hint="eastAsia" w:ascii="黑体" w:hAnsi="黑体" w:eastAsia="黑体"/>
                <w:b/>
                <w:bCs/>
                <w:szCs w:val="21"/>
              </w:rPr>
              <w:t>规划目标</w:t>
            </w:r>
          </w:p>
          <w:p>
            <w:pPr>
              <w:jc w:val="center"/>
              <w:rPr>
                <w:rFonts w:ascii="黑体" w:hAnsi="黑体" w:eastAsia="黑体"/>
                <w:b/>
                <w:bCs/>
                <w:szCs w:val="21"/>
              </w:rPr>
            </w:pPr>
            <w:r>
              <w:rPr>
                <w:rFonts w:hint="eastAsia" w:ascii="黑体" w:hAnsi="黑体" w:eastAsia="黑体"/>
                <w:b/>
                <w:bCs/>
                <w:szCs w:val="21"/>
              </w:rPr>
              <w:t>完成率(</w:t>
            </w:r>
            <w:r>
              <w:rPr>
                <w:rFonts w:ascii="黑体" w:hAnsi="黑体" w:eastAsia="黑体"/>
                <w:b/>
                <w:bCs/>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895" w:type="pct"/>
            <w:vMerge w:val="restart"/>
            <w:vAlign w:val="center"/>
          </w:tcPr>
          <w:p>
            <w:pPr>
              <w:jc w:val="center"/>
              <w:rPr>
                <w:rFonts w:ascii="仿宋_GB2312" w:eastAsia="仿宋_GB2312"/>
                <w:szCs w:val="21"/>
              </w:rPr>
            </w:pPr>
            <w:r>
              <w:rPr>
                <w:rFonts w:hint="eastAsia" w:ascii="仿宋_GB2312" w:eastAsia="仿宋_GB2312"/>
                <w:szCs w:val="21"/>
              </w:rPr>
              <w:t>重要矿产年开采总量</w:t>
            </w:r>
          </w:p>
        </w:tc>
        <w:tc>
          <w:tcPr>
            <w:tcW w:w="1580" w:type="pct"/>
            <w:shd w:val="clear" w:color="auto" w:fill="auto"/>
            <w:vAlign w:val="center"/>
          </w:tcPr>
          <w:p>
            <w:pPr>
              <w:rPr>
                <w:rFonts w:ascii="仿宋_GB2312" w:eastAsia="仿宋_GB2312"/>
                <w:szCs w:val="21"/>
              </w:rPr>
            </w:pPr>
            <w:r>
              <w:rPr>
                <w:rFonts w:hint="eastAsia" w:ascii="仿宋_GB2312" w:hAnsi="宋体" w:eastAsia="仿宋_GB2312" w:cs="宋体"/>
                <w:kern w:val="0"/>
                <w:szCs w:val="21"/>
              </w:rPr>
              <w:t>金矿(矿石量 万吨)</w:t>
            </w:r>
          </w:p>
        </w:tc>
        <w:tc>
          <w:tcPr>
            <w:tcW w:w="749" w:type="pct"/>
            <w:shd w:val="clear" w:color="auto" w:fill="auto"/>
          </w:tcPr>
          <w:p>
            <w:pPr>
              <w:jc w:val="center"/>
              <w:rPr>
                <w:rFonts w:ascii="仿宋_GB2312" w:eastAsia="仿宋_GB2312"/>
                <w:szCs w:val="21"/>
              </w:rPr>
            </w:pPr>
            <w:r>
              <w:rPr>
                <w:rFonts w:ascii="仿宋_GB2312" w:eastAsia="仿宋_GB2312"/>
                <w:szCs w:val="21"/>
              </w:rPr>
              <w:t>3</w:t>
            </w:r>
          </w:p>
        </w:tc>
        <w:tc>
          <w:tcPr>
            <w:tcW w:w="759" w:type="pct"/>
            <w:shd w:val="clear" w:color="auto" w:fill="auto"/>
            <w:noWrap/>
            <w:vAlign w:val="bottom"/>
          </w:tcPr>
          <w:p>
            <w:pPr>
              <w:jc w:val="center"/>
              <w:rPr>
                <w:rFonts w:ascii="仿宋_GB2312" w:eastAsia="仿宋_GB2312"/>
                <w:szCs w:val="21"/>
              </w:rPr>
            </w:pPr>
            <w:r>
              <w:rPr>
                <w:rFonts w:hint="eastAsia" w:ascii="仿宋_GB2312" w:eastAsia="仿宋_GB2312"/>
                <w:szCs w:val="21"/>
              </w:rPr>
              <w:t>0</w:t>
            </w:r>
            <w:r>
              <w:rPr>
                <w:rFonts w:ascii="仿宋_GB2312" w:eastAsia="仿宋_GB2312"/>
                <w:szCs w:val="21"/>
              </w:rPr>
              <w:t>.7</w:t>
            </w:r>
          </w:p>
        </w:tc>
        <w:tc>
          <w:tcPr>
            <w:tcW w:w="1017" w:type="pct"/>
            <w:shd w:val="clear" w:color="auto" w:fill="auto"/>
            <w:noWrap/>
            <w:vAlign w:val="center"/>
          </w:tcPr>
          <w:p>
            <w:pPr>
              <w:jc w:val="center"/>
              <w:rPr>
                <w:rFonts w:ascii="仿宋_GB2312" w:eastAsia="仿宋_GB2312"/>
                <w:szCs w:val="21"/>
              </w:rPr>
            </w:pPr>
            <w:r>
              <w:rPr>
                <w:rFonts w:ascii="仿宋_GB2312" w:eastAsia="仿宋_GB2312"/>
                <w:szCs w:val="21"/>
              </w:rPr>
              <w:t>23.33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895" w:type="pct"/>
            <w:vMerge w:val="continue"/>
            <w:vAlign w:val="center"/>
          </w:tcPr>
          <w:p>
            <w:pPr>
              <w:jc w:val="center"/>
              <w:rPr>
                <w:rFonts w:ascii="仿宋_GB2312" w:eastAsia="仿宋_GB2312"/>
                <w:szCs w:val="21"/>
              </w:rPr>
            </w:pPr>
          </w:p>
        </w:tc>
        <w:tc>
          <w:tcPr>
            <w:tcW w:w="1580" w:type="pct"/>
            <w:shd w:val="clear" w:color="auto" w:fill="auto"/>
            <w:vAlign w:val="center"/>
          </w:tcPr>
          <w:p>
            <w:pPr>
              <w:rPr>
                <w:rFonts w:ascii="仿宋_GB2312" w:eastAsia="仿宋_GB2312"/>
                <w:szCs w:val="21"/>
              </w:rPr>
            </w:pPr>
            <w:r>
              <w:rPr>
                <w:rFonts w:hint="eastAsia" w:ascii="仿宋_GB2312" w:hAnsi="宋体" w:eastAsia="仿宋_GB2312"/>
                <w:snapToGrid w:val="0"/>
                <w:kern w:val="0"/>
                <w:szCs w:val="21"/>
              </w:rPr>
              <w:t>饰面大</w:t>
            </w:r>
            <w:r>
              <w:rPr>
                <w:rFonts w:hint="eastAsia" w:ascii="仿宋_GB2312" w:hAnsi="宋体" w:eastAsia="仿宋_GB2312"/>
                <w:kern w:val="0"/>
                <w:szCs w:val="21"/>
              </w:rPr>
              <w:t>理岩</w:t>
            </w:r>
            <w:r>
              <w:rPr>
                <w:rFonts w:hint="eastAsia" w:ascii="仿宋_GB2312" w:hAnsi="宋体" w:eastAsia="仿宋_GB2312" w:cs="宋体"/>
                <w:kern w:val="0"/>
                <w:szCs w:val="21"/>
              </w:rPr>
              <w:t>(矿石量 万m</w:t>
            </w:r>
            <w:r>
              <w:rPr>
                <w:rFonts w:hint="eastAsia" w:ascii="仿宋_GB2312" w:hAnsi="宋体" w:eastAsia="仿宋_GB2312" w:cs="宋体"/>
                <w:kern w:val="0"/>
                <w:szCs w:val="21"/>
                <w:vertAlign w:val="superscript"/>
              </w:rPr>
              <w:t>3</w:t>
            </w:r>
            <w:r>
              <w:rPr>
                <w:rFonts w:hint="eastAsia" w:ascii="仿宋_GB2312" w:hAnsi="宋体" w:eastAsia="仿宋_GB2312" w:cs="宋体"/>
                <w:kern w:val="0"/>
                <w:szCs w:val="21"/>
              </w:rPr>
              <w:t>)</w:t>
            </w:r>
          </w:p>
        </w:tc>
        <w:tc>
          <w:tcPr>
            <w:tcW w:w="749" w:type="pct"/>
            <w:shd w:val="clear" w:color="auto" w:fill="auto"/>
          </w:tcPr>
          <w:p>
            <w:pPr>
              <w:jc w:val="center"/>
              <w:rPr>
                <w:rFonts w:ascii="仿宋_GB2312" w:eastAsia="仿宋_GB2312"/>
                <w:szCs w:val="21"/>
              </w:rPr>
            </w:pPr>
            <w:r>
              <w:rPr>
                <w:rFonts w:ascii="仿宋_GB2312" w:eastAsia="仿宋_GB2312"/>
                <w:szCs w:val="21"/>
              </w:rPr>
              <w:t>3</w:t>
            </w:r>
          </w:p>
        </w:tc>
        <w:tc>
          <w:tcPr>
            <w:tcW w:w="759" w:type="pct"/>
            <w:shd w:val="clear" w:color="auto" w:fill="auto"/>
            <w:noWrap/>
            <w:vAlign w:val="bottom"/>
          </w:tcPr>
          <w:p>
            <w:pPr>
              <w:jc w:val="center"/>
              <w:rPr>
                <w:rFonts w:ascii="仿宋_GB2312" w:eastAsia="仿宋_GB2312"/>
                <w:szCs w:val="21"/>
              </w:rPr>
            </w:pPr>
            <w:r>
              <w:rPr>
                <w:rFonts w:hint="eastAsia" w:ascii="仿宋_GB2312" w:eastAsia="仿宋_GB2312"/>
                <w:szCs w:val="21"/>
              </w:rPr>
              <w:t>-</w:t>
            </w:r>
          </w:p>
        </w:tc>
        <w:tc>
          <w:tcPr>
            <w:tcW w:w="1017" w:type="pct"/>
            <w:shd w:val="clear" w:color="auto" w:fill="auto"/>
            <w:noWrap/>
            <w:vAlign w:val="bottom"/>
          </w:tcPr>
          <w:p>
            <w:pPr>
              <w:jc w:val="center"/>
              <w:rPr>
                <w:rFonts w:ascii="仿宋_GB2312" w:eastAsia="仿宋_GB2312"/>
                <w:szCs w:val="21"/>
              </w:rPr>
            </w:pPr>
            <w:r>
              <w:rPr>
                <w:rFonts w:hint="eastAsia" w:ascii="仿宋_GB2312" w:eastAsia="仿宋_GB2312"/>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895" w:type="pct"/>
            <w:vMerge w:val="continue"/>
            <w:vAlign w:val="center"/>
          </w:tcPr>
          <w:p>
            <w:pPr>
              <w:jc w:val="center"/>
              <w:rPr>
                <w:rFonts w:ascii="仿宋_GB2312" w:eastAsia="仿宋_GB2312"/>
                <w:szCs w:val="21"/>
              </w:rPr>
            </w:pPr>
          </w:p>
        </w:tc>
        <w:tc>
          <w:tcPr>
            <w:tcW w:w="1580" w:type="pct"/>
            <w:shd w:val="clear" w:color="auto" w:fill="auto"/>
            <w:vAlign w:val="center"/>
          </w:tcPr>
          <w:p>
            <w:pPr>
              <w:rPr>
                <w:rFonts w:ascii="仿宋_GB2312" w:eastAsia="仿宋_GB2312"/>
                <w:szCs w:val="21"/>
              </w:rPr>
            </w:pPr>
            <w:r>
              <w:rPr>
                <w:rFonts w:hint="eastAsia" w:ascii="仿宋_GB2312" w:hAnsi="宋体" w:eastAsia="仿宋_GB2312"/>
                <w:snapToGrid w:val="0"/>
                <w:kern w:val="0"/>
                <w:szCs w:val="21"/>
              </w:rPr>
              <w:t>硅灰石矿</w:t>
            </w:r>
            <w:r>
              <w:rPr>
                <w:rFonts w:hint="eastAsia" w:ascii="仿宋_GB2312" w:hAnsi="宋体" w:eastAsia="仿宋_GB2312" w:cs="宋体"/>
                <w:kern w:val="0"/>
                <w:szCs w:val="21"/>
              </w:rPr>
              <w:t>(矿石量 万吨)</w:t>
            </w:r>
          </w:p>
        </w:tc>
        <w:tc>
          <w:tcPr>
            <w:tcW w:w="749" w:type="pct"/>
            <w:shd w:val="clear" w:color="auto" w:fill="auto"/>
          </w:tcPr>
          <w:p>
            <w:pPr>
              <w:jc w:val="center"/>
              <w:rPr>
                <w:rFonts w:ascii="仿宋_GB2312" w:eastAsia="仿宋_GB2312"/>
                <w:szCs w:val="21"/>
              </w:rPr>
            </w:pPr>
            <w:r>
              <w:rPr>
                <w:rFonts w:ascii="仿宋_GB2312" w:eastAsia="仿宋_GB2312"/>
                <w:szCs w:val="21"/>
              </w:rPr>
              <w:t>3</w:t>
            </w:r>
          </w:p>
        </w:tc>
        <w:tc>
          <w:tcPr>
            <w:tcW w:w="759" w:type="pct"/>
            <w:shd w:val="clear" w:color="auto" w:fill="auto"/>
            <w:noWrap/>
            <w:vAlign w:val="bottom"/>
          </w:tcPr>
          <w:p>
            <w:pPr>
              <w:jc w:val="center"/>
              <w:rPr>
                <w:rFonts w:ascii="仿宋_GB2312" w:eastAsia="仿宋_GB2312"/>
                <w:szCs w:val="21"/>
              </w:rPr>
            </w:pPr>
            <w:r>
              <w:rPr>
                <w:rFonts w:hint="eastAsia" w:ascii="仿宋_GB2312" w:eastAsia="仿宋_GB2312"/>
                <w:szCs w:val="21"/>
              </w:rPr>
              <w:t>-</w:t>
            </w:r>
          </w:p>
        </w:tc>
        <w:tc>
          <w:tcPr>
            <w:tcW w:w="1017" w:type="pct"/>
            <w:shd w:val="clear" w:color="auto" w:fill="auto"/>
            <w:noWrap/>
            <w:vAlign w:val="bottom"/>
          </w:tcPr>
          <w:p>
            <w:pPr>
              <w:jc w:val="center"/>
              <w:rPr>
                <w:rFonts w:ascii="仿宋_GB2312" w:eastAsia="仿宋_GB2312"/>
                <w:szCs w:val="21"/>
              </w:rPr>
            </w:pPr>
            <w:r>
              <w:rPr>
                <w:rFonts w:hint="eastAsia" w:ascii="仿宋_GB2312" w:eastAsia="仿宋_GB2312"/>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895" w:type="pct"/>
            <w:vMerge w:val="continue"/>
            <w:vAlign w:val="center"/>
          </w:tcPr>
          <w:p>
            <w:pPr>
              <w:jc w:val="center"/>
              <w:rPr>
                <w:rFonts w:ascii="仿宋_GB2312" w:eastAsia="仿宋_GB2312"/>
                <w:szCs w:val="21"/>
              </w:rPr>
            </w:pPr>
          </w:p>
        </w:tc>
        <w:tc>
          <w:tcPr>
            <w:tcW w:w="1580" w:type="pct"/>
            <w:shd w:val="clear" w:color="auto" w:fill="auto"/>
            <w:vAlign w:val="center"/>
          </w:tcPr>
          <w:p>
            <w:pPr>
              <w:rPr>
                <w:rFonts w:ascii="仿宋_GB2312" w:eastAsia="仿宋_GB2312"/>
                <w:szCs w:val="21"/>
              </w:rPr>
            </w:pPr>
            <w:r>
              <w:rPr>
                <w:rFonts w:hint="eastAsia" w:ascii="仿宋_GB2312" w:hAnsi="宋体" w:eastAsia="仿宋_GB2312" w:cs="宋体"/>
                <w:kern w:val="0"/>
                <w:szCs w:val="21"/>
              </w:rPr>
              <w:t>玄武岩(矿石量  万m</w:t>
            </w:r>
            <w:r>
              <w:rPr>
                <w:rFonts w:hint="eastAsia" w:ascii="仿宋_GB2312" w:hAnsi="宋体" w:eastAsia="仿宋_GB2312" w:cs="宋体"/>
                <w:kern w:val="0"/>
                <w:szCs w:val="21"/>
                <w:vertAlign w:val="superscript"/>
              </w:rPr>
              <w:t>3</w:t>
            </w:r>
            <w:r>
              <w:rPr>
                <w:rFonts w:hint="eastAsia" w:ascii="仿宋_GB2312" w:hAnsi="宋体" w:eastAsia="仿宋_GB2312" w:cs="宋体"/>
                <w:kern w:val="0"/>
                <w:szCs w:val="21"/>
              </w:rPr>
              <w:t>)</w:t>
            </w:r>
          </w:p>
        </w:tc>
        <w:tc>
          <w:tcPr>
            <w:tcW w:w="749" w:type="pct"/>
            <w:shd w:val="clear" w:color="auto" w:fill="auto"/>
          </w:tcPr>
          <w:p>
            <w:pPr>
              <w:jc w:val="center"/>
              <w:rPr>
                <w:rFonts w:ascii="仿宋_GB2312" w:eastAsia="仿宋_GB2312"/>
                <w:szCs w:val="21"/>
              </w:rPr>
            </w:pPr>
            <w:r>
              <w:rPr>
                <w:rFonts w:ascii="仿宋_GB2312" w:eastAsia="仿宋_GB2312"/>
                <w:szCs w:val="21"/>
              </w:rPr>
              <w:t>3</w:t>
            </w:r>
          </w:p>
        </w:tc>
        <w:tc>
          <w:tcPr>
            <w:tcW w:w="759" w:type="pct"/>
            <w:shd w:val="clear" w:color="auto" w:fill="auto"/>
            <w:noWrap/>
            <w:vAlign w:val="bottom"/>
          </w:tcPr>
          <w:p>
            <w:pPr>
              <w:jc w:val="center"/>
              <w:rPr>
                <w:rFonts w:ascii="仿宋_GB2312" w:eastAsia="仿宋_GB2312"/>
                <w:szCs w:val="21"/>
              </w:rPr>
            </w:pPr>
            <w:r>
              <w:rPr>
                <w:rFonts w:hint="eastAsia" w:ascii="仿宋_GB2312" w:eastAsia="仿宋_GB2312"/>
                <w:szCs w:val="21"/>
              </w:rPr>
              <w:t>-</w:t>
            </w:r>
          </w:p>
        </w:tc>
        <w:tc>
          <w:tcPr>
            <w:tcW w:w="1017" w:type="pct"/>
            <w:shd w:val="clear" w:color="auto" w:fill="auto"/>
            <w:noWrap/>
            <w:vAlign w:val="bottom"/>
          </w:tcPr>
          <w:p>
            <w:pPr>
              <w:jc w:val="center"/>
              <w:rPr>
                <w:rFonts w:ascii="仿宋_GB2312" w:eastAsia="仿宋_GB2312"/>
                <w:szCs w:val="21"/>
              </w:rPr>
            </w:pPr>
            <w:r>
              <w:rPr>
                <w:rFonts w:hint="eastAsia" w:ascii="仿宋_GB2312" w:eastAsia="仿宋_GB2312"/>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895" w:type="pct"/>
            <w:vMerge w:val="restart"/>
            <w:shd w:val="clear" w:color="auto" w:fill="auto"/>
            <w:noWrap/>
            <w:vAlign w:val="center"/>
          </w:tcPr>
          <w:p>
            <w:pPr>
              <w:jc w:val="center"/>
              <w:rPr>
                <w:rFonts w:ascii="仿宋_GB2312" w:eastAsia="仿宋_GB2312"/>
                <w:szCs w:val="21"/>
              </w:rPr>
            </w:pPr>
            <w:r>
              <w:rPr>
                <w:rFonts w:hint="eastAsia" w:ascii="仿宋_GB2312" w:eastAsia="仿宋_GB2312"/>
                <w:szCs w:val="21"/>
              </w:rPr>
              <w:t>矿产资源节约与综合利用</w:t>
            </w:r>
          </w:p>
        </w:tc>
        <w:tc>
          <w:tcPr>
            <w:tcW w:w="1580" w:type="pct"/>
            <w:shd w:val="clear" w:color="auto" w:fill="auto"/>
            <w:vAlign w:val="center"/>
          </w:tcPr>
          <w:p>
            <w:pPr>
              <w:rPr>
                <w:rFonts w:ascii="仿宋_GB2312" w:hAnsi="宋体" w:eastAsia="仿宋_GB2312" w:cs="宋体"/>
                <w:kern w:val="0"/>
                <w:szCs w:val="21"/>
              </w:rPr>
            </w:pPr>
            <w:r>
              <w:rPr>
                <w:rFonts w:hint="eastAsia" w:ascii="仿宋_GB2312" w:hAnsi="宋体" w:eastAsia="仿宋_GB2312" w:cs="宋体"/>
                <w:kern w:val="0"/>
                <w:szCs w:val="21"/>
              </w:rPr>
              <w:t>开采回采率（%）</w:t>
            </w:r>
          </w:p>
        </w:tc>
        <w:tc>
          <w:tcPr>
            <w:tcW w:w="749" w:type="pct"/>
            <w:shd w:val="clear" w:color="auto" w:fill="auto"/>
            <w:vAlign w:val="center"/>
          </w:tcPr>
          <w:p>
            <w:pPr>
              <w:jc w:val="center"/>
              <w:rPr>
                <w:rFonts w:ascii="仿宋_GB2312" w:eastAsia="仿宋_GB2312"/>
                <w:szCs w:val="21"/>
              </w:rPr>
            </w:pPr>
            <w:r>
              <w:rPr>
                <w:rFonts w:hint="eastAsia" w:ascii="仿宋_GB2312" w:eastAsia="仿宋_GB2312"/>
                <w:szCs w:val="21"/>
              </w:rPr>
              <w:t>90</w:t>
            </w:r>
          </w:p>
        </w:tc>
        <w:tc>
          <w:tcPr>
            <w:tcW w:w="759" w:type="pct"/>
            <w:shd w:val="clear" w:color="auto" w:fill="auto"/>
            <w:noWrap/>
            <w:vAlign w:val="bottom"/>
          </w:tcPr>
          <w:p>
            <w:pPr>
              <w:jc w:val="center"/>
              <w:rPr>
                <w:rFonts w:ascii="仿宋_GB2312" w:eastAsia="仿宋_GB2312"/>
                <w:color w:val="000000"/>
                <w:szCs w:val="21"/>
              </w:rPr>
            </w:pPr>
            <w:r>
              <w:rPr>
                <w:rFonts w:ascii="仿宋_GB2312" w:eastAsia="仿宋_GB2312"/>
                <w:color w:val="000000"/>
                <w:szCs w:val="21"/>
              </w:rPr>
              <w:t>85</w:t>
            </w:r>
          </w:p>
        </w:tc>
        <w:tc>
          <w:tcPr>
            <w:tcW w:w="1017" w:type="pct"/>
            <w:shd w:val="clear" w:color="auto" w:fill="auto"/>
            <w:noWrap/>
            <w:vAlign w:val="bottom"/>
          </w:tcPr>
          <w:p>
            <w:pPr>
              <w:jc w:val="center"/>
              <w:rPr>
                <w:rFonts w:ascii="仿宋_GB2312" w:eastAsia="仿宋_GB2312"/>
                <w:color w:val="000000"/>
                <w:szCs w:val="21"/>
              </w:rPr>
            </w:pPr>
            <w:r>
              <w:rPr>
                <w:rFonts w:ascii="仿宋_GB2312" w:eastAsia="仿宋_GB2312"/>
                <w:color w:val="000000"/>
                <w:szCs w:val="21"/>
              </w:rPr>
              <w:t>94.44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895" w:type="pct"/>
            <w:vMerge w:val="continue"/>
            <w:shd w:val="clear" w:color="auto" w:fill="auto"/>
            <w:vAlign w:val="center"/>
          </w:tcPr>
          <w:p>
            <w:pPr>
              <w:rPr>
                <w:rFonts w:ascii="仿宋_GB2312" w:eastAsia="仿宋_GB2312"/>
                <w:szCs w:val="21"/>
              </w:rPr>
            </w:pPr>
          </w:p>
        </w:tc>
        <w:tc>
          <w:tcPr>
            <w:tcW w:w="1580" w:type="pct"/>
            <w:shd w:val="clear" w:color="auto" w:fill="auto"/>
            <w:noWrap/>
            <w:vAlign w:val="center"/>
          </w:tcPr>
          <w:p>
            <w:pPr>
              <w:rPr>
                <w:rFonts w:ascii="仿宋_GB2312" w:hAnsi="宋体" w:eastAsia="仿宋_GB2312" w:cs="宋体"/>
                <w:kern w:val="0"/>
                <w:szCs w:val="21"/>
              </w:rPr>
            </w:pPr>
            <w:r>
              <w:rPr>
                <w:rFonts w:hint="eastAsia" w:ascii="仿宋_GB2312" w:hAnsi="宋体" w:eastAsia="仿宋_GB2312" w:cs="宋体"/>
                <w:kern w:val="0"/>
                <w:szCs w:val="21"/>
              </w:rPr>
              <w:t>选矿回收率（%）</w:t>
            </w:r>
          </w:p>
        </w:tc>
        <w:tc>
          <w:tcPr>
            <w:tcW w:w="749" w:type="pct"/>
            <w:shd w:val="clear" w:color="auto" w:fill="auto"/>
            <w:vAlign w:val="center"/>
          </w:tcPr>
          <w:p>
            <w:pPr>
              <w:jc w:val="center"/>
              <w:rPr>
                <w:rFonts w:ascii="仿宋_GB2312" w:eastAsia="仿宋_GB2312"/>
                <w:szCs w:val="21"/>
              </w:rPr>
            </w:pPr>
            <w:r>
              <w:rPr>
                <w:rFonts w:hint="eastAsia" w:ascii="仿宋_GB2312" w:eastAsia="仿宋_GB2312"/>
                <w:szCs w:val="21"/>
              </w:rPr>
              <w:t>85</w:t>
            </w:r>
          </w:p>
        </w:tc>
        <w:tc>
          <w:tcPr>
            <w:tcW w:w="759" w:type="pct"/>
            <w:shd w:val="clear" w:color="auto" w:fill="auto"/>
            <w:noWrap/>
            <w:vAlign w:val="bottom"/>
          </w:tcPr>
          <w:p>
            <w:pPr>
              <w:jc w:val="center"/>
              <w:rPr>
                <w:rFonts w:ascii="仿宋_GB2312" w:eastAsia="仿宋_GB2312"/>
                <w:color w:val="000000"/>
                <w:szCs w:val="21"/>
              </w:rPr>
            </w:pPr>
            <w:r>
              <w:rPr>
                <w:rFonts w:ascii="仿宋_GB2312" w:eastAsia="仿宋_GB2312"/>
                <w:color w:val="000000"/>
                <w:szCs w:val="21"/>
              </w:rPr>
              <w:t>86.02</w:t>
            </w:r>
          </w:p>
        </w:tc>
        <w:tc>
          <w:tcPr>
            <w:tcW w:w="1017" w:type="pct"/>
            <w:shd w:val="clear" w:color="auto" w:fill="auto"/>
            <w:noWrap/>
            <w:vAlign w:val="bottom"/>
          </w:tcPr>
          <w:p>
            <w:pPr>
              <w:jc w:val="center"/>
              <w:rPr>
                <w:rFonts w:ascii="仿宋_GB2312" w:eastAsia="仿宋_GB2312"/>
                <w:color w:val="000000"/>
                <w:szCs w:val="21"/>
              </w:rPr>
            </w:pPr>
            <w:r>
              <w:rPr>
                <w:rFonts w:ascii="仿宋_GB2312" w:eastAsia="仿宋_GB2312"/>
                <w:color w:val="000000"/>
                <w:szCs w:val="21"/>
              </w:rPr>
              <w:t>101.2</w:t>
            </w:r>
          </w:p>
        </w:tc>
      </w:tr>
    </w:tbl>
    <w:p>
      <w:pPr>
        <w:spacing w:line="360" w:lineRule="exact"/>
        <w:ind w:firstLine="420"/>
        <w:rPr>
          <w:rFonts w:ascii="仿宋_GB2312" w:eastAsia="仿宋_GB2312"/>
          <w:szCs w:val="21"/>
        </w:rPr>
      </w:pPr>
      <w:r>
        <w:rPr>
          <w:rFonts w:hint="eastAsia" w:ascii="仿宋_GB2312" w:eastAsia="仿宋_GB2312"/>
          <w:szCs w:val="21"/>
        </w:rPr>
        <w:t>注：数据为2020年储量统计和开发利用统计</w:t>
      </w:r>
    </w:p>
    <w:p>
      <w:pPr>
        <w:pStyle w:val="21"/>
        <w:spacing w:after="0"/>
        <w:ind w:left="0" w:leftChars="0" w:firstLine="562" w:firstLineChars="175"/>
        <w:rPr>
          <w:rFonts w:ascii="仿宋_GB2312" w:eastAsia="仿宋_GB2312"/>
          <w:sz w:val="32"/>
          <w:szCs w:val="32"/>
        </w:rPr>
      </w:pPr>
      <w:r>
        <w:rPr>
          <w:rFonts w:hint="eastAsia" w:ascii="仿宋_GB2312" w:eastAsia="仿宋_GB2312"/>
          <w:b/>
          <w:bCs/>
          <w:sz w:val="32"/>
          <w:szCs w:val="32"/>
        </w:rPr>
        <w:t>绿色勘查开发理念得到进一步践行。</w:t>
      </w:r>
      <w:r>
        <w:rPr>
          <w:rFonts w:hint="eastAsia" w:ascii="仿宋_GB2312" w:eastAsia="仿宋_GB2312"/>
          <w:sz w:val="32"/>
          <w:szCs w:val="32"/>
        </w:rPr>
        <w:t>“十三五”期间，小金县围绕“生态优先，绿色高质量发展”为核心，积极调整或有序退出涉及生态红线、永久基本农田、自然保护地等限制、禁止勘查开发区的矿业权，依法退出一批浪费资源、不符合产业政策的小矿山，矿产资源勘查开发布局发生根本转变，矿产资源开发利用布局和结构得到优化提升。</w:t>
      </w:r>
    </w:p>
    <w:p>
      <w:pPr>
        <w:spacing w:line="360" w:lineRule="auto"/>
        <w:ind w:firstLine="643" w:firstLineChars="200"/>
        <w:rPr>
          <w:rFonts w:ascii="仿宋_GB2312" w:eastAsia="仿宋_GB2312"/>
          <w:sz w:val="32"/>
          <w:szCs w:val="32"/>
        </w:rPr>
      </w:pPr>
      <w:r>
        <w:rPr>
          <w:rFonts w:hint="eastAsia" w:ascii="仿宋_GB2312" w:eastAsia="仿宋_GB2312"/>
          <w:b/>
          <w:bCs/>
          <w:sz w:val="32"/>
          <w:szCs w:val="32"/>
        </w:rPr>
        <w:t>钨、钼、金等矿产资源勘查取得一定成果。</w:t>
      </w:r>
      <w:r>
        <w:rPr>
          <w:rFonts w:hint="eastAsia" w:ascii="仿宋_GB2312" w:eastAsia="仿宋_GB2312"/>
          <w:sz w:val="32"/>
          <w:szCs w:val="32"/>
        </w:rPr>
        <w:t>“十三五”期间</w:t>
      </w:r>
      <w:r>
        <w:rPr>
          <w:rFonts w:hint="eastAsia" w:ascii="仿宋_GB2312" w:eastAsia="仿宋_GB2312"/>
          <w:color w:val="000000" w:themeColor="text1"/>
          <w:sz w:val="32"/>
          <w:szCs w:val="32"/>
        </w:rPr>
        <w:t>，小金县勘查新增</w:t>
      </w:r>
      <w:r>
        <w:rPr>
          <w:rFonts w:hint="eastAsia" w:ascii="仿宋_GB2312" w:hAnsi="宋体" w:eastAsia="仿宋_GB2312"/>
          <w:color w:val="000000" w:themeColor="text1"/>
          <w:sz w:val="32"/>
          <w:szCs w:val="32"/>
        </w:rPr>
        <w:t>WO</w:t>
      </w:r>
      <w:r>
        <w:rPr>
          <w:rFonts w:hint="eastAsia" w:ascii="仿宋_GB2312" w:hAnsi="宋体" w:eastAsia="仿宋_GB2312"/>
          <w:color w:val="000000" w:themeColor="text1"/>
          <w:sz w:val="32"/>
          <w:szCs w:val="32"/>
          <w:vertAlign w:val="subscript"/>
        </w:rPr>
        <w:t>3</w:t>
      </w:r>
      <w:r>
        <w:rPr>
          <w:rFonts w:hint="eastAsia" w:ascii="仿宋_GB2312" w:hAnsi="宋体" w:eastAsia="仿宋_GB2312"/>
          <w:color w:val="000000" w:themeColor="text1"/>
          <w:sz w:val="32"/>
          <w:szCs w:val="32"/>
        </w:rPr>
        <w:t>资源量91861吨，Mo资源量11126吨，</w:t>
      </w:r>
      <w:r>
        <w:rPr>
          <w:rFonts w:hint="eastAsia" w:ascii="仿宋_GB2312" w:eastAsia="仿宋_GB2312"/>
          <w:color w:val="000000" w:themeColor="text1"/>
          <w:sz w:val="32"/>
          <w:szCs w:val="32"/>
        </w:rPr>
        <w:t>Au资源量</w:t>
      </w:r>
      <w:bookmarkStart w:id="21" w:name="_Hlk118725426"/>
      <w:r>
        <w:rPr>
          <w:rFonts w:ascii="仿宋_GB2312" w:hAnsi="仿宋" w:eastAsia="仿宋_GB2312"/>
          <w:color w:val="000000" w:themeColor="text1"/>
          <w:sz w:val="32"/>
          <w:szCs w:val="32"/>
        </w:rPr>
        <w:t>3188</w:t>
      </w:r>
      <w:bookmarkEnd w:id="21"/>
      <w:r>
        <w:rPr>
          <w:rFonts w:hint="eastAsia" w:ascii="仿宋_GB2312" w:hAnsi="仿宋" w:eastAsia="仿宋_GB2312"/>
          <w:color w:val="000000" w:themeColor="text1"/>
          <w:sz w:val="32"/>
          <w:szCs w:val="32"/>
        </w:rPr>
        <w:t>千克</w:t>
      </w:r>
      <w:r>
        <w:rPr>
          <w:rFonts w:hint="eastAsia" w:ascii="仿宋_GB2312" w:eastAsia="仿宋_GB2312"/>
          <w:color w:val="000000" w:themeColor="text1"/>
          <w:sz w:val="32"/>
          <w:szCs w:val="32"/>
        </w:rPr>
        <w:t>，主要矿产资源量明显增长，为保障国家资源安全、摸清资源家底贡献了小金</w:t>
      </w:r>
      <w:r>
        <w:rPr>
          <w:rFonts w:hint="eastAsia" w:ascii="仿宋_GB2312" w:eastAsia="仿宋_GB2312"/>
          <w:sz w:val="32"/>
          <w:szCs w:val="32"/>
        </w:rPr>
        <w:t>力量。</w:t>
      </w:r>
    </w:p>
    <w:p>
      <w:pPr>
        <w:spacing w:line="360" w:lineRule="auto"/>
        <w:ind w:firstLine="643" w:firstLineChars="200"/>
        <w:rPr>
          <w:rFonts w:ascii="仿宋_GB2312" w:eastAsia="仿宋_GB2312"/>
          <w:sz w:val="32"/>
          <w:szCs w:val="32"/>
        </w:rPr>
      </w:pPr>
      <w:r>
        <w:rPr>
          <w:rFonts w:hint="eastAsia" w:ascii="仿宋_GB2312" w:eastAsia="仿宋_GB2312"/>
          <w:b/>
          <w:bCs/>
          <w:sz w:val="32"/>
          <w:szCs w:val="32"/>
        </w:rPr>
        <w:t>矿山生态修复工作有序推进。</w:t>
      </w:r>
      <w:r>
        <w:rPr>
          <w:rFonts w:hint="eastAsia" w:ascii="仿宋_GB2312" w:eastAsia="仿宋_GB2312"/>
          <w:sz w:val="32"/>
          <w:szCs w:val="32"/>
        </w:rPr>
        <w:t>“十三五”期间，矿山企业按照相关政策法规编制《矿山地质环境保护与土地复垦方案》，并据此开展矿山生态修复工作；各探矿权在勘查工作过程中对生态环境造成的扰动、破坏也进行了相应的修复，矿山生态地质环境逐步得到改善。</w:t>
      </w:r>
    </w:p>
    <w:p>
      <w:pPr>
        <w:spacing w:line="360" w:lineRule="auto"/>
        <w:ind w:firstLine="643" w:firstLineChars="200"/>
        <w:rPr>
          <w:rFonts w:ascii="仿宋_GB2312" w:eastAsia="仿宋_GB2312"/>
          <w:sz w:val="28"/>
          <w:szCs w:val="28"/>
        </w:rPr>
      </w:pPr>
      <w:r>
        <w:rPr>
          <w:rFonts w:hint="eastAsia" w:ascii="仿宋_GB2312" w:eastAsia="仿宋_GB2312"/>
          <w:b/>
          <w:bCs/>
          <w:sz w:val="32"/>
          <w:szCs w:val="32"/>
        </w:rPr>
        <w:t>矿产资源管理水平进一步提高。</w:t>
      </w:r>
      <w:r>
        <w:rPr>
          <w:rFonts w:hint="eastAsia" w:ascii="仿宋_GB2312" w:eastAsia="仿宋_GB2312"/>
          <w:sz w:val="32"/>
          <w:szCs w:val="32"/>
        </w:rPr>
        <w:t>“十三五”期间，小金县积极落实矿业权人勘查开采信息公示制度，督促矿业权人对其基本信息和履行法定义务信息等进行公示，在县级自然资源主管部门监管的同时，强化了社会监督作用，促进了矿业权人诚信自律。按年度组织实施矿山储量动态检测工作，加强了矿山储量动态管理。县级自然资源主管部门定期或不定期对生产矿山进行检查，加强了对矿山的日常监管。积极贯彻《自然资源部关于推进矿产资源管理改革若干事项的意见(试行)》（自然资规〔2019〕7号）和省、州相关文件精神，矿政管理“放管服”改革进一步落实。</w:t>
      </w:r>
    </w:p>
    <w:p>
      <w:pPr>
        <w:spacing w:before="156" w:beforeLines="50" w:after="156" w:afterLines="50"/>
        <w:jc w:val="center"/>
        <w:outlineLvl w:val="1"/>
        <w:rPr>
          <w:rFonts w:ascii="黑体" w:hAnsi="黑体" w:eastAsia="黑体"/>
          <w:b/>
          <w:bCs/>
          <w:sz w:val="32"/>
          <w:szCs w:val="32"/>
        </w:rPr>
      </w:pPr>
      <w:bookmarkStart w:id="22" w:name="_Toc100824222"/>
      <w:bookmarkStart w:id="23" w:name="_Toc119246855"/>
      <w:bookmarkStart w:id="24" w:name="_Toc119246985"/>
      <w:bookmarkStart w:id="25" w:name="_Toc84672688"/>
      <w:r>
        <w:rPr>
          <w:rFonts w:hint="eastAsia" w:ascii="黑体" w:hAnsi="黑体" w:eastAsia="黑体"/>
          <w:b/>
          <w:bCs/>
          <w:sz w:val="32"/>
          <w:szCs w:val="32"/>
        </w:rPr>
        <w:t>第四节</w:t>
      </w:r>
      <w:r>
        <w:rPr>
          <w:rFonts w:hint="eastAsia" w:ascii="黑体" w:hAnsi="黑体" w:eastAsia="黑体"/>
          <w:b/>
          <w:bCs/>
          <w:sz w:val="32"/>
          <w:szCs w:val="32"/>
        </w:rPr>
        <w:tab/>
      </w:r>
      <w:r>
        <w:rPr>
          <w:rFonts w:hint="eastAsia" w:ascii="黑体" w:hAnsi="黑体" w:eastAsia="黑体"/>
          <w:b/>
          <w:bCs/>
          <w:sz w:val="32"/>
          <w:szCs w:val="32"/>
        </w:rPr>
        <w:t>面临问题及形势</w:t>
      </w:r>
      <w:bookmarkEnd w:id="22"/>
      <w:bookmarkEnd w:id="23"/>
      <w:bookmarkEnd w:id="24"/>
      <w:bookmarkEnd w:id="25"/>
    </w:p>
    <w:p>
      <w:pPr>
        <w:ind w:firstLine="643"/>
        <w:rPr>
          <w:rFonts w:ascii="仿宋_GB2312" w:hAnsi="黑体" w:eastAsia="仿宋_GB2312"/>
          <w:b/>
          <w:snapToGrid w:val="0"/>
          <w:kern w:val="0"/>
          <w:sz w:val="32"/>
          <w:szCs w:val="32"/>
        </w:rPr>
      </w:pPr>
      <w:r>
        <w:rPr>
          <w:rFonts w:hint="eastAsia" w:ascii="仿宋_GB2312" w:hAnsi="黑体" w:eastAsia="仿宋_GB2312"/>
          <w:b/>
          <w:snapToGrid w:val="0"/>
          <w:kern w:val="0"/>
          <w:sz w:val="32"/>
          <w:szCs w:val="32"/>
        </w:rPr>
        <w:t>一、存在问题</w:t>
      </w:r>
    </w:p>
    <w:p>
      <w:pPr>
        <w:ind w:firstLine="643"/>
        <w:rPr>
          <w:rFonts w:ascii="仿宋_GB2312" w:eastAsia="仿宋_GB2312"/>
          <w:sz w:val="32"/>
          <w:szCs w:val="32"/>
          <w:shd w:val="clear" w:color="auto" w:fill="FFFFFF"/>
        </w:rPr>
      </w:pPr>
      <w:r>
        <w:rPr>
          <w:rFonts w:hint="eastAsia" w:ascii="仿宋_GB2312" w:eastAsia="仿宋_GB2312"/>
          <w:b/>
          <w:bCs/>
          <w:sz w:val="32"/>
          <w:szCs w:val="28"/>
        </w:rPr>
        <w:t>矿产勘查工作程度总体较低。</w:t>
      </w:r>
      <w:r>
        <w:rPr>
          <w:rFonts w:hint="eastAsia" w:ascii="仿宋_GB2312" w:eastAsia="仿宋_GB2312"/>
          <w:sz w:val="32"/>
          <w:szCs w:val="28"/>
        </w:rPr>
        <w:t>小金县</w:t>
      </w:r>
      <w:r>
        <w:rPr>
          <w:rFonts w:hint="eastAsia" w:ascii="仿宋_GB2312" w:eastAsia="仿宋_GB2312"/>
          <w:bCs/>
          <w:snapToGrid w:val="0"/>
          <w:kern w:val="0"/>
          <w:sz w:val="32"/>
          <w:szCs w:val="32"/>
        </w:rPr>
        <w:t>是战略性矿产资源的重要成矿带，找矿潜力巨大，但受高原地理环境和社会稳定等因素影响，</w:t>
      </w:r>
      <w:r>
        <w:rPr>
          <w:rFonts w:hint="eastAsia" w:ascii="仿宋_GB2312" w:eastAsia="仿宋_GB2312"/>
          <w:sz w:val="32"/>
          <w:szCs w:val="32"/>
        </w:rPr>
        <w:t>县域范围内总体勘查投入偏少，商业性地勘工作进展缓慢，工作程度相对较低，与良好的成矿地质条作不匹配</w:t>
      </w:r>
      <w:r>
        <w:rPr>
          <w:rFonts w:hint="eastAsia" w:ascii="仿宋_GB2312" w:eastAsia="仿宋_GB2312"/>
          <w:sz w:val="32"/>
          <w:szCs w:val="32"/>
          <w:shd w:val="clear" w:color="auto" w:fill="FFFFFF"/>
        </w:rPr>
        <w:t>，</w:t>
      </w:r>
      <w:r>
        <w:rPr>
          <w:rFonts w:hint="eastAsia" w:ascii="仿宋_GB2312" w:eastAsia="仿宋_GB2312"/>
          <w:sz w:val="32"/>
          <w:szCs w:val="32"/>
        </w:rPr>
        <w:t>需加大找矿力度和资金投入，加强重要矿产调查研究，加快地质找矿步伐</w:t>
      </w:r>
      <w:r>
        <w:rPr>
          <w:rFonts w:hint="eastAsia" w:ascii="仿宋_GB2312" w:hAnsi="宋体" w:eastAsia="仿宋_GB2312"/>
          <w:bCs/>
          <w:snapToGrid w:val="0"/>
          <w:kern w:val="0"/>
          <w:sz w:val="32"/>
          <w:szCs w:val="32"/>
        </w:rPr>
        <w:t>。</w:t>
      </w:r>
    </w:p>
    <w:p>
      <w:pPr>
        <w:spacing w:line="360" w:lineRule="auto"/>
        <w:ind w:firstLine="643" w:firstLineChars="200"/>
        <w:rPr>
          <w:rFonts w:ascii="仿宋_GB2312" w:eastAsia="仿宋_GB2312"/>
          <w:sz w:val="32"/>
          <w:szCs w:val="32"/>
        </w:rPr>
      </w:pPr>
      <w:r>
        <w:rPr>
          <w:rFonts w:hint="eastAsia" w:ascii="仿宋_GB2312" w:hAnsi="仿宋" w:eastAsia="仿宋_GB2312"/>
          <w:b/>
          <w:sz w:val="32"/>
          <w:szCs w:val="32"/>
        </w:rPr>
        <w:t>资源勘查开发与生态保护协调发展任务艰巨。</w:t>
      </w:r>
      <w:r>
        <w:rPr>
          <w:rFonts w:hint="eastAsia" w:ascii="仿宋_GB2312" w:eastAsia="仿宋_GB2312"/>
          <w:sz w:val="32"/>
          <w:szCs w:val="32"/>
        </w:rPr>
        <w:t>小金县位于长江上游的“绿色生态屏障”、川滇森林及生物多样性生态功能区，生态环境脆弱，境内有“四川大熊猫栖息地世界自然遗产、四姑娘山国家级自然保护区、四姑娘山国家级风景名胜区、四姑娘山国家地质公园、梦笔山省级森林公园、夹金山国家级森林公园（小金部分）、宅垄猕猴自然保护区”等7个重要生态保护区域。县域内部分已设矿业权与生态红线、自然保护地等重要生态功能区重叠，故需从前期规划、产业政策、生态保护、节约集约等多方面着手，促进矿产资源开发与生态环境保护协调发展。</w:t>
      </w:r>
    </w:p>
    <w:p>
      <w:pPr>
        <w:ind w:firstLine="643"/>
        <w:rPr>
          <w:rFonts w:ascii="仿宋_GB2312" w:eastAsia="仿宋_GB2312"/>
          <w:sz w:val="32"/>
          <w:szCs w:val="32"/>
          <w:shd w:val="clear" w:color="auto" w:fill="FFFFFF"/>
        </w:rPr>
      </w:pPr>
      <w:r>
        <w:rPr>
          <w:rFonts w:hint="eastAsia" w:ascii="仿宋_GB2312" w:hAnsi="宋体" w:eastAsia="仿宋_GB2312"/>
          <w:b/>
          <w:bCs/>
          <w:snapToGrid w:val="0"/>
          <w:kern w:val="0"/>
          <w:sz w:val="32"/>
          <w:szCs w:val="32"/>
        </w:rPr>
        <w:t>矿产资源管理基础薄弱。</w:t>
      </w:r>
      <w:r>
        <w:rPr>
          <w:rFonts w:hint="eastAsia" w:ascii="仿宋_GB2312" w:eastAsia="仿宋_GB2312"/>
          <w:sz w:val="32"/>
          <w:szCs w:val="32"/>
          <w:shd w:val="clear" w:color="auto" w:fill="FFFFFF"/>
        </w:rPr>
        <w:t>主管部门缺少专业技术人员，在矿产资源评审备案、储量统计、储量数据库建设等方面需要加强，“三级”联网、信息化水平还有待提高。</w:t>
      </w:r>
    </w:p>
    <w:p>
      <w:pPr>
        <w:ind w:firstLine="643"/>
        <w:rPr>
          <w:rFonts w:ascii="仿宋_GB2312" w:hAnsi="黑体" w:eastAsia="仿宋_GB2312"/>
          <w:b/>
          <w:snapToGrid w:val="0"/>
          <w:kern w:val="0"/>
          <w:sz w:val="32"/>
          <w:szCs w:val="32"/>
        </w:rPr>
      </w:pPr>
      <w:r>
        <w:rPr>
          <w:rFonts w:hint="eastAsia" w:ascii="仿宋_GB2312" w:hAnsi="黑体" w:eastAsia="仿宋_GB2312"/>
          <w:b/>
          <w:snapToGrid w:val="0"/>
          <w:kern w:val="0"/>
          <w:sz w:val="32"/>
          <w:szCs w:val="32"/>
        </w:rPr>
        <w:t>二、面临形势</w:t>
      </w:r>
    </w:p>
    <w:p>
      <w:pPr>
        <w:adjustRightInd w:val="0"/>
        <w:snapToGrid w:val="0"/>
        <w:spacing w:line="576" w:lineRule="exact"/>
        <w:ind w:firstLine="560"/>
        <w:rPr>
          <w:rFonts w:ascii="仿宋_GB2312" w:eastAsia="仿宋_GB2312"/>
          <w:b/>
          <w:bCs/>
          <w:sz w:val="28"/>
          <w:szCs w:val="28"/>
        </w:rPr>
      </w:pPr>
      <w:r>
        <w:rPr>
          <w:rFonts w:hint="eastAsia" w:ascii="仿宋_GB2312" w:eastAsia="仿宋_GB2312"/>
          <w:b/>
          <w:bCs/>
          <w:sz w:val="32"/>
          <w:szCs w:val="32"/>
        </w:rPr>
        <w:t>国家、省、州重大发展战略带来新机遇。</w:t>
      </w:r>
      <w:r>
        <w:rPr>
          <w:rFonts w:hint="eastAsia" w:ascii="仿宋_GB2312" w:eastAsia="仿宋_GB2312" w:cs="仿宋_GB2312"/>
          <w:color w:val="000000"/>
          <w:sz w:val="32"/>
          <w:szCs w:val="32"/>
        </w:rPr>
        <w:t>国家推进“一带一路”建设、长江经济带发展、新时代西部大开发形成新格局等国家重大战略在小金交汇，将有效增强小金县经济社会发展的整体势能。中央第七次西藏工作座谈会和省委涉藏工作会议出台系列政策举措，继续支持涉藏地区发展，为小金县加快发展提供了重大政策保障。中央推动成渝地区双城经济圈建设，省委省政府深入实施“一干多支”发展战略，将川西北生态示范区建设作为成渝地区双城经济圈“强化毗邻合作和功能协作”的重要内容之一，为小金县夯实矿业高质量发展提供了方向指引和战略遵循。阿坝州州委提出“一州两区三家园”战略目标，为构建“一屏四带、全域生态”绿色发展新格局创造更为有利的条件。</w:t>
      </w:r>
    </w:p>
    <w:p>
      <w:pPr>
        <w:spacing w:line="360" w:lineRule="auto"/>
        <w:ind w:firstLine="643" w:firstLineChars="200"/>
        <w:rPr>
          <w:rFonts w:ascii="仿宋_GB2312" w:eastAsia="仿宋_GB2312"/>
          <w:sz w:val="32"/>
          <w:szCs w:val="32"/>
        </w:rPr>
      </w:pPr>
      <w:r>
        <w:rPr>
          <w:rFonts w:hint="eastAsia" w:ascii="仿宋_GB2312" w:eastAsia="仿宋_GB2312"/>
          <w:b/>
          <w:bCs/>
          <w:sz w:val="32"/>
          <w:szCs w:val="32"/>
        </w:rPr>
        <w:t>绿色低碳发展理念对矿产资源开发提出新要求。</w:t>
      </w:r>
      <w:r>
        <w:rPr>
          <w:rFonts w:hint="eastAsia" w:ascii="仿宋_GB2312" w:eastAsia="仿宋_GB2312"/>
          <w:sz w:val="32"/>
          <w:szCs w:val="28"/>
        </w:rPr>
        <w:t>目前“两山”理论和“碳达峰、碳中和”战略目标对矿产资源开发利用提出了新的更高要求，矿业结构迫切需要优化调整，需统筹谋划，精准施策，进一步优化矿业布局，集约节约高效利用资源。</w:t>
      </w:r>
      <w:r>
        <w:rPr>
          <w:rFonts w:hint="eastAsia" w:ascii="仿宋_GB2312" w:eastAsia="仿宋_GB2312"/>
          <w:sz w:val="32"/>
          <w:szCs w:val="32"/>
        </w:rPr>
        <w:t>矿山企业需要转变发展思维，从矿区环境、资源开发方式、资源综合利用、绿色低碳与节能减排、科技创新与智能矿山、企业管理与企业形象等各个方面对标建设，开创矿山领域绿色低碳发展新局面。</w:t>
      </w:r>
    </w:p>
    <w:p>
      <w:pPr>
        <w:widowControl/>
        <w:ind w:firstLine="622"/>
        <w:rPr>
          <w:rFonts w:ascii="仿宋_GB2312" w:eastAsia="仿宋_GB2312"/>
          <w:sz w:val="32"/>
          <w:szCs w:val="32"/>
        </w:rPr>
      </w:pPr>
      <w:r>
        <w:rPr>
          <w:rFonts w:ascii="仿宋_GB2312" w:hAnsi="宋体" w:eastAsia="仿宋_GB2312" w:cs="仿宋_GB2312"/>
          <w:b/>
          <w:kern w:val="0"/>
          <w:sz w:val="31"/>
          <w:szCs w:val="31"/>
          <w:lang w:bidi="ar"/>
        </w:rPr>
        <w:t>矿政管理体制</w:t>
      </w:r>
      <w:r>
        <w:rPr>
          <w:rFonts w:hint="eastAsia" w:ascii="仿宋_GB2312" w:hAnsi="宋体" w:eastAsia="仿宋_GB2312" w:cs="仿宋_GB2312"/>
          <w:b/>
          <w:kern w:val="0"/>
          <w:sz w:val="31"/>
          <w:szCs w:val="31"/>
          <w:lang w:bidi="ar"/>
        </w:rPr>
        <w:t>仍需</w:t>
      </w:r>
      <w:r>
        <w:rPr>
          <w:rFonts w:ascii="仿宋_GB2312" w:hAnsi="宋体" w:eastAsia="仿宋_GB2312" w:cs="仿宋_GB2312"/>
          <w:b/>
          <w:kern w:val="0"/>
          <w:sz w:val="31"/>
          <w:szCs w:val="31"/>
          <w:lang w:bidi="ar"/>
        </w:rPr>
        <w:t>改革创新</w:t>
      </w:r>
      <w:r>
        <w:rPr>
          <w:rFonts w:hint="eastAsia" w:ascii="仿宋_GB2312" w:hAnsi="宋体" w:eastAsia="仿宋_GB2312" w:cs="仿宋_GB2312"/>
          <w:b/>
          <w:kern w:val="0"/>
          <w:sz w:val="31"/>
          <w:szCs w:val="31"/>
          <w:lang w:bidi="ar"/>
        </w:rPr>
        <w:t>。</w:t>
      </w:r>
      <w:r>
        <w:rPr>
          <w:rFonts w:hint="eastAsia" w:ascii="仿宋_GB2312" w:eastAsia="仿宋_GB2312"/>
          <w:color w:val="000000"/>
          <w:sz w:val="32"/>
          <w:szCs w:val="28"/>
        </w:rPr>
        <w:t>通过深化小金矿政管理制度改革，加快落实《四川省自然资源厅关于贯彻落实〈自然资源</w:t>
      </w:r>
      <w:r>
        <w:rPr>
          <w:rFonts w:hint="eastAsia" w:ascii="仿宋_GB2312" w:eastAsia="仿宋_GB2312"/>
          <w:sz w:val="32"/>
          <w:szCs w:val="28"/>
        </w:rPr>
        <w:t>部关于推进矿产资源管理改革若干事项的意见（试行）〉精神若干事项的通知》（川自然资规〔2020〕9号），严格矿山最低开采规模、储量规模要求及矿业权出让制度，积极落实“净矿”出让工作</w:t>
      </w:r>
      <w:r>
        <w:rPr>
          <w:rFonts w:hint="eastAsia" w:ascii="仿宋_GB2312" w:eastAsia="仿宋_GB2312"/>
          <w:sz w:val="32"/>
          <w:szCs w:val="32"/>
        </w:rPr>
        <w:t>新模式，为有序高效开发矿业提供保障。</w:t>
      </w:r>
    </w:p>
    <w:p>
      <w:pPr>
        <w:spacing w:line="360" w:lineRule="auto"/>
        <w:ind w:firstLine="562" w:firstLineChars="200"/>
        <w:rPr>
          <w:rFonts w:ascii="仿宋_GB2312" w:eastAsia="仿宋_GB2312"/>
          <w:b/>
          <w:bCs/>
          <w:sz w:val="28"/>
          <w:szCs w:val="28"/>
        </w:rPr>
      </w:pPr>
    </w:p>
    <w:p>
      <w:pPr>
        <w:spacing w:line="360" w:lineRule="auto"/>
        <w:ind w:firstLine="562" w:firstLineChars="200"/>
        <w:rPr>
          <w:rFonts w:ascii="仿宋_GB2312" w:eastAsia="仿宋_GB2312"/>
          <w:b/>
          <w:bCs/>
          <w:sz w:val="28"/>
          <w:szCs w:val="28"/>
        </w:rPr>
        <w:sectPr>
          <w:pgSz w:w="11906" w:h="16838"/>
          <w:pgMar w:top="1440" w:right="1800" w:bottom="1440" w:left="1800" w:header="851" w:footer="992" w:gutter="0"/>
          <w:cols w:space="425" w:num="1"/>
          <w:docGrid w:type="lines" w:linePitch="312" w:charSpace="0"/>
        </w:sectPr>
      </w:pPr>
    </w:p>
    <w:p>
      <w:pPr>
        <w:pStyle w:val="20"/>
        <w:ind w:firstLine="0" w:firstLineChars="0"/>
        <w:rPr>
          <w:rFonts w:ascii="黑体" w:hAnsi="黑体" w:eastAsia="黑体"/>
          <w:sz w:val="36"/>
          <w:szCs w:val="36"/>
        </w:rPr>
      </w:pPr>
      <w:bookmarkStart w:id="26" w:name="_Toc84672689"/>
      <w:bookmarkStart w:id="27" w:name="_Toc119246856"/>
      <w:bookmarkStart w:id="28" w:name="_Toc119246986"/>
      <w:bookmarkStart w:id="29" w:name="_Toc100824223"/>
      <w:r>
        <w:rPr>
          <w:rFonts w:hint="eastAsia" w:ascii="黑体" w:hAnsi="黑体" w:eastAsia="黑体"/>
          <w:sz w:val="36"/>
          <w:szCs w:val="36"/>
        </w:rPr>
        <w:t>第二章</w:t>
      </w:r>
      <w:r>
        <w:rPr>
          <w:rFonts w:ascii="黑体" w:hAnsi="黑体" w:eastAsia="黑体"/>
          <w:sz w:val="36"/>
          <w:szCs w:val="36"/>
        </w:rPr>
        <w:t xml:space="preserve"> </w:t>
      </w:r>
      <w:r>
        <w:rPr>
          <w:rFonts w:hint="eastAsia" w:ascii="黑体" w:hAnsi="黑体" w:eastAsia="黑体"/>
          <w:sz w:val="36"/>
          <w:szCs w:val="36"/>
        </w:rPr>
        <w:t>指导思想、基本原则及规划目标</w:t>
      </w:r>
      <w:bookmarkEnd w:id="26"/>
      <w:bookmarkEnd w:id="27"/>
      <w:bookmarkEnd w:id="28"/>
      <w:bookmarkEnd w:id="29"/>
    </w:p>
    <w:p>
      <w:pPr>
        <w:spacing w:before="156" w:beforeLines="50" w:after="156" w:afterLines="50"/>
        <w:jc w:val="center"/>
        <w:outlineLvl w:val="1"/>
        <w:rPr>
          <w:rFonts w:ascii="黑体" w:hAnsi="黑体" w:eastAsia="黑体"/>
          <w:b/>
          <w:bCs/>
          <w:sz w:val="32"/>
          <w:szCs w:val="32"/>
        </w:rPr>
      </w:pPr>
      <w:bookmarkStart w:id="30" w:name="_Toc84672690"/>
      <w:bookmarkStart w:id="31" w:name="_Toc119246987"/>
      <w:bookmarkStart w:id="32" w:name="_Toc119246857"/>
      <w:bookmarkStart w:id="33" w:name="_Toc100824224"/>
      <w:r>
        <w:rPr>
          <w:rFonts w:hint="eastAsia" w:ascii="黑体" w:hAnsi="黑体" w:eastAsia="黑体"/>
          <w:b/>
          <w:bCs/>
          <w:sz w:val="32"/>
          <w:szCs w:val="32"/>
        </w:rPr>
        <w:t>第一节 指导思想</w:t>
      </w:r>
      <w:bookmarkEnd w:id="30"/>
      <w:bookmarkEnd w:id="31"/>
      <w:bookmarkEnd w:id="32"/>
      <w:bookmarkEnd w:id="33"/>
    </w:p>
    <w:p>
      <w:pPr>
        <w:spacing w:line="360" w:lineRule="auto"/>
        <w:ind w:firstLine="640" w:firstLineChars="200"/>
        <w:rPr>
          <w:rFonts w:ascii="仿宋_GB2312" w:eastAsia="仿宋_GB2312"/>
          <w:b/>
          <w:bCs/>
          <w:sz w:val="32"/>
          <w:szCs w:val="32"/>
        </w:rPr>
      </w:pPr>
      <w:r>
        <w:rPr>
          <w:rFonts w:hint="eastAsia" w:ascii="仿宋_GB2312" w:eastAsia="仿宋_GB2312"/>
          <w:sz w:val="32"/>
          <w:szCs w:val="32"/>
        </w:rPr>
        <w:t>坚持以习近平新时代中国特色社会主义思想为指导，深入贯彻党的二十大和十九届历次全会精神，全面贯彻习近平总书记对四川工作系列重要指示精神和关于涉藏工作的重要论述，认真践行生态“重在保护、要在治理、高质量发展”理念。按照省委省政府“一干多支、五区协同”“四向拓展、全域开放”、阿坝州委州政府“一州两区三家园”的战略部署，紧紧围绕小金建设“三县三地两区”的战略定位，按照建设“川西藏区高质量发展排头兵”的要求，根据“四力齐发、四业同升、四区并进”的发展任务要求，融入构建“4+N”生态工业体系，提升矿业高质量发展，优化矿产资源开发保护格局，强化资源保护和合理勘查开发利用，持续推动矿业绿色发展。</w:t>
      </w:r>
    </w:p>
    <w:p>
      <w:pPr>
        <w:spacing w:before="156" w:beforeLines="50" w:after="156" w:afterLines="50"/>
        <w:jc w:val="center"/>
        <w:outlineLvl w:val="1"/>
        <w:rPr>
          <w:rFonts w:ascii="黑体" w:hAnsi="黑体" w:eastAsia="黑体"/>
          <w:b/>
          <w:bCs/>
          <w:sz w:val="32"/>
          <w:szCs w:val="32"/>
        </w:rPr>
      </w:pPr>
      <w:bookmarkStart w:id="34" w:name="_Toc100824225"/>
      <w:bookmarkStart w:id="35" w:name="_Toc119246858"/>
      <w:bookmarkStart w:id="36" w:name="_Toc84672691"/>
      <w:bookmarkStart w:id="37" w:name="_Toc119246988"/>
      <w:r>
        <w:rPr>
          <w:rFonts w:hint="eastAsia" w:ascii="黑体" w:hAnsi="黑体" w:eastAsia="黑体"/>
          <w:b/>
          <w:bCs/>
          <w:sz w:val="32"/>
          <w:szCs w:val="32"/>
        </w:rPr>
        <w:t>第二节 基本原则</w:t>
      </w:r>
      <w:bookmarkEnd w:id="34"/>
      <w:bookmarkEnd w:id="35"/>
      <w:bookmarkEnd w:id="36"/>
      <w:bookmarkEnd w:id="37"/>
    </w:p>
    <w:p>
      <w:pPr>
        <w:spacing w:line="360" w:lineRule="auto"/>
        <w:ind w:firstLine="643" w:firstLineChars="200"/>
        <w:rPr>
          <w:rFonts w:ascii="仿宋_GB2312" w:eastAsia="仿宋_GB2312"/>
          <w:sz w:val="32"/>
          <w:szCs w:val="32"/>
        </w:rPr>
      </w:pPr>
      <w:r>
        <w:rPr>
          <w:rFonts w:hint="eastAsia" w:ascii="仿宋_GB2312" w:eastAsia="仿宋_GB2312"/>
          <w:b/>
          <w:bCs/>
          <w:sz w:val="32"/>
          <w:szCs w:val="32"/>
        </w:rPr>
        <w:t>坚持生态优先，促进绿色发展。</w:t>
      </w:r>
      <w:r>
        <w:rPr>
          <w:rFonts w:hint="eastAsia" w:ascii="仿宋_GB2312" w:eastAsia="仿宋_GB2312"/>
          <w:sz w:val="32"/>
          <w:szCs w:val="32"/>
        </w:rPr>
        <w:t>坚持“绿水青山就是金山银山”的科学发展理念，秉承生态优先，筑牢生态安全屏障。牢固树立矿业绿色发展的理念，努力构建绿色开发格局，发展绿色矿业、建设绿色矿山。加强矿产资源勘查开发利用管理，落实生态环境保护的理念和要求，全面推进矿产资源勘查开发与生态环境保护协调发展，更好地服务生态文明建设。</w:t>
      </w:r>
    </w:p>
    <w:p>
      <w:pPr>
        <w:spacing w:line="360" w:lineRule="auto"/>
        <w:ind w:firstLine="643" w:firstLineChars="200"/>
        <w:rPr>
          <w:rFonts w:ascii="仿宋_GB2312" w:eastAsia="仿宋_GB2312"/>
          <w:b/>
          <w:bCs/>
          <w:sz w:val="32"/>
          <w:szCs w:val="32"/>
        </w:rPr>
      </w:pPr>
      <w:r>
        <w:rPr>
          <w:rFonts w:hint="eastAsia" w:ascii="仿宋_GB2312" w:eastAsia="仿宋_GB2312"/>
          <w:b/>
          <w:bCs/>
          <w:sz w:val="32"/>
          <w:szCs w:val="32"/>
        </w:rPr>
        <w:t>加强矿产资源保护，节约集约高效开发。</w:t>
      </w:r>
      <w:r>
        <w:rPr>
          <w:rFonts w:hint="eastAsia" w:ascii="仿宋_GB2312" w:eastAsia="仿宋_GB2312"/>
          <w:sz w:val="32"/>
          <w:szCs w:val="32"/>
        </w:rPr>
        <w:t>明确矿产资源勘查开发调控方向和重点区域，合理调控矿产资源开发强度，优化调整矿产资源开发利用结构，强化资源开发利用全过程管理，落实高效利用就是节约的理念，引进先进技术，提高矿产资源节约集约利用水平，统一资源保护与合理利用关系，实现资源开发利用与社会经济需求相适应。坚持保护中开发、在开发中保护，做好矿产资源开发和矿区生态修复相结合，提高资源、经济和生态等综合效益。</w:t>
      </w:r>
    </w:p>
    <w:p>
      <w:pPr>
        <w:spacing w:line="360" w:lineRule="auto"/>
        <w:ind w:firstLine="643" w:firstLineChars="200"/>
        <w:rPr>
          <w:rFonts w:ascii="仿宋_GB2312" w:eastAsia="仿宋_GB2312"/>
          <w:sz w:val="32"/>
          <w:szCs w:val="32"/>
        </w:rPr>
      </w:pPr>
      <w:r>
        <w:rPr>
          <w:rFonts w:hint="eastAsia" w:ascii="仿宋_GB2312" w:eastAsia="仿宋_GB2312"/>
          <w:b/>
          <w:bCs/>
          <w:sz w:val="32"/>
          <w:szCs w:val="32"/>
        </w:rPr>
        <w:t>立足资源惠民，助力乡村振兴。</w:t>
      </w:r>
      <w:r>
        <w:rPr>
          <w:rFonts w:hint="eastAsia" w:ascii="仿宋_GB2312" w:eastAsia="仿宋_GB2312"/>
          <w:sz w:val="32"/>
          <w:szCs w:val="32"/>
        </w:rPr>
        <w:t>统筹资源开发和民生改善之间的关系，立足资源服务社会和改善民生，探索资源开发利益分配机制，分享资源红利。倡导矿山企业增强社会责任意识，推动当地基础设施完善, 改善当地居住环境、生产生活条件，增加稳定就业岗位，和谐矿地关系。鼓励矿山企业以工业反哺农业，为小金构建“5+N”现代农业产业体系添砖加瓦，助力乡村振兴，为全面建设社会主义现代化小金贡献力量。</w:t>
      </w:r>
    </w:p>
    <w:p>
      <w:pPr>
        <w:spacing w:before="156" w:beforeLines="50" w:after="156" w:afterLines="50"/>
        <w:jc w:val="center"/>
        <w:outlineLvl w:val="1"/>
        <w:rPr>
          <w:rFonts w:ascii="黑体" w:hAnsi="黑体" w:eastAsia="黑体"/>
          <w:b/>
          <w:bCs/>
          <w:sz w:val="32"/>
          <w:szCs w:val="32"/>
        </w:rPr>
      </w:pPr>
      <w:bookmarkStart w:id="38" w:name="_Toc84672692"/>
      <w:bookmarkStart w:id="39" w:name="_Toc100824226"/>
      <w:bookmarkStart w:id="40" w:name="_Toc119246859"/>
      <w:bookmarkStart w:id="41" w:name="_Toc119246989"/>
      <w:r>
        <w:rPr>
          <w:rFonts w:hint="eastAsia" w:ascii="黑体" w:hAnsi="黑体" w:eastAsia="黑体"/>
          <w:b/>
          <w:bCs/>
          <w:sz w:val="32"/>
          <w:szCs w:val="32"/>
        </w:rPr>
        <w:t>第三节 规划目标</w:t>
      </w:r>
      <w:bookmarkEnd w:id="38"/>
      <w:bookmarkEnd w:id="39"/>
      <w:bookmarkEnd w:id="40"/>
      <w:bookmarkEnd w:id="41"/>
    </w:p>
    <w:p>
      <w:pPr>
        <w:spacing w:line="360" w:lineRule="auto"/>
        <w:ind w:firstLine="643" w:firstLineChars="200"/>
        <w:rPr>
          <w:rFonts w:ascii="仿宋_GB2312" w:eastAsia="仿宋_GB2312"/>
          <w:sz w:val="32"/>
          <w:szCs w:val="32"/>
        </w:rPr>
      </w:pPr>
      <w:r>
        <w:rPr>
          <w:rFonts w:hint="eastAsia" w:ascii="仿宋_GB2312" w:eastAsia="仿宋_GB2312"/>
          <w:b/>
          <w:bCs/>
          <w:sz w:val="32"/>
          <w:szCs w:val="32"/>
        </w:rPr>
        <w:t>一、2025年目标</w:t>
      </w:r>
    </w:p>
    <w:p>
      <w:pPr>
        <w:spacing w:line="360" w:lineRule="auto"/>
        <w:ind w:firstLine="640" w:firstLineChars="200"/>
        <w:rPr>
          <w:rFonts w:ascii="仿宋_GB2312" w:eastAsia="仿宋_GB2312"/>
          <w:sz w:val="28"/>
          <w:szCs w:val="28"/>
        </w:rPr>
      </w:pPr>
      <w:r>
        <w:rPr>
          <w:rFonts w:hint="eastAsia" w:ascii="仿宋_GB2312" w:eastAsia="仿宋_GB2312"/>
          <w:sz w:val="32"/>
          <w:szCs w:val="32"/>
        </w:rPr>
        <w:t>到2025年，县域内优势矿产资源勘查评价程度进一步加强，矿产资源勘查开发与保护格局进一步优化，资源开发强度更加合理，资源开发利用结构更加优化，矿山准入条件更加完善，矿政管理能力进一步提高。矿产资源勘查开发与国民经济社会发展、生态环境保护协调发展新格局基本形成。</w:t>
      </w:r>
    </w:p>
    <w:tbl>
      <w:tblPr>
        <w:tblStyle w:val="2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9FD3A4"/>
        <w:tblLayout w:type="autofit"/>
        <w:tblCellMar>
          <w:top w:w="0" w:type="dxa"/>
          <w:left w:w="108" w:type="dxa"/>
          <w:bottom w:w="0" w:type="dxa"/>
          <w:right w:w="108" w:type="dxa"/>
        </w:tblCellMar>
      </w:tblPr>
      <w:tblGrid>
        <w:gridCol w:w="866"/>
        <w:gridCol w:w="1370"/>
        <w:gridCol w:w="2430"/>
        <w:gridCol w:w="1611"/>
        <w:gridCol w:w="1161"/>
        <w:gridCol w:w="10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9FD3A4"/>
          <w:tblCellMar>
            <w:top w:w="0" w:type="dxa"/>
            <w:left w:w="108" w:type="dxa"/>
            <w:bottom w:w="0" w:type="dxa"/>
            <w:right w:w="108" w:type="dxa"/>
          </w:tblCellMar>
        </w:tblPrEx>
        <w:trPr>
          <w:trHeight w:val="567" w:hRule="exact"/>
        </w:trPr>
        <w:tc>
          <w:tcPr>
            <w:tcW w:w="5000" w:type="pct"/>
            <w:gridSpan w:val="6"/>
            <w:shd w:val="clear" w:color="auto" w:fill="9FD3A4"/>
            <w:vAlign w:val="center"/>
          </w:tcPr>
          <w:p>
            <w:pPr>
              <w:adjustRightInd w:val="0"/>
              <w:snapToGrid w:val="0"/>
              <w:jc w:val="center"/>
              <w:rPr>
                <w:rFonts w:ascii="黑体" w:hAnsi="黑体" w:eastAsia="黑体"/>
                <w:b/>
              </w:rPr>
            </w:pPr>
            <w:r>
              <w:rPr>
                <w:rFonts w:hint="eastAsia" w:ascii="黑体" w:hAnsi="黑体" w:eastAsia="黑体"/>
                <w:b/>
                <w:snapToGrid w:val="0"/>
                <w:sz w:val="28"/>
                <w:szCs w:val="32"/>
              </w:rPr>
              <w:t>专栏</w:t>
            </w:r>
            <w:r>
              <w:rPr>
                <w:rFonts w:ascii="黑体" w:hAnsi="黑体" w:eastAsia="黑体"/>
                <w:b/>
                <w:snapToGrid w:val="0"/>
                <w:sz w:val="28"/>
                <w:szCs w:val="32"/>
              </w:rPr>
              <w:t>5</w:t>
            </w:r>
            <w:r>
              <w:rPr>
                <w:rFonts w:hint="eastAsia" w:ascii="黑体" w:hAnsi="黑体" w:eastAsia="黑体"/>
                <w:b/>
                <w:snapToGrid w:val="0"/>
                <w:sz w:val="28"/>
                <w:szCs w:val="32"/>
              </w:rPr>
              <w:t xml:space="preserve">    矿产资源规划主要目标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9FD3A4"/>
          <w:tblCellMar>
            <w:top w:w="0" w:type="dxa"/>
            <w:left w:w="108" w:type="dxa"/>
            <w:bottom w:w="0" w:type="dxa"/>
            <w:right w:w="108" w:type="dxa"/>
          </w:tblCellMar>
        </w:tblPrEx>
        <w:trPr>
          <w:trHeight w:val="435" w:hRule="atLeast"/>
        </w:trPr>
        <w:tc>
          <w:tcPr>
            <w:tcW w:w="508" w:type="pct"/>
            <w:shd w:val="clear" w:color="auto" w:fill="9FD3A4"/>
            <w:vAlign w:val="center"/>
          </w:tcPr>
          <w:p>
            <w:pPr>
              <w:adjustRightInd w:val="0"/>
              <w:snapToGrid w:val="0"/>
              <w:rPr>
                <w:rFonts w:ascii="黑体" w:hAnsi="黑体" w:eastAsia="黑体"/>
                <w:b/>
                <w:bCs/>
                <w:szCs w:val="21"/>
              </w:rPr>
            </w:pPr>
            <w:r>
              <w:rPr>
                <w:rFonts w:hint="eastAsia" w:ascii="黑体" w:hAnsi="黑体" w:eastAsia="黑体"/>
                <w:b/>
                <w:bCs/>
                <w:szCs w:val="21"/>
              </w:rPr>
              <w:t>类别</w:t>
            </w:r>
          </w:p>
        </w:tc>
        <w:tc>
          <w:tcPr>
            <w:tcW w:w="2230" w:type="pct"/>
            <w:gridSpan w:val="2"/>
            <w:shd w:val="clear" w:color="auto" w:fill="9FD3A4"/>
            <w:vAlign w:val="center"/>
          </w:tcPr>
          <w:p>
            <w:pPr>
              <w:adjustRightInd w:val="0"/>
              <w:snapToGrid w:val="0"/>
              <w:jc w:val="center"/>
              <w:rPr>
                <w:rFonts w:ascii="黑体" w:hAnsi="黑体" w:eastAsia="黑体"/>
                <w:b/>
                <w:bCs/>
                <w:szCs w:val="21"/>
              </w:rPr>
            </w:pPr>
            <w:r>
              <w:rPr>
                <w:rFonts w:hint="eastAsia" w:ascii="黑体" w:hAnsi="黑体" w:eastAsia="黑体"/>
                <w:b/>
                <w:bCs/>
                <w:szCs w:val="21"/>
              </w:rPr>
              <w:t>指标名称</w:t>
            </w:r>
          </w:p>
        </w:tc>
        <w:tc>
          <w:tcPr>
            <w:tcW w:w="945" w:type="pct"/>
            <w:shd w:val="clear" w:color="auto" w:fill="9FD3A4"/>
            <w:vAlign w:val="center"/>
          </w:tcPr>
          <w:p>
            <w:pPr>
              <w:adjustRightInd w:val="0"/>
              <w:snapToGrid w:val="0"/>
              <w:jc w:val="center"/>
              <w:rPr>
                <w:rFonts w:ascii="黑体" w:hAnsi="黑体" w:eastAsia="黑体"/>
                <w:b/>
                <w:bCs/>
                <w:szCs w:val="21"/>
              </w:rPr>
            </w:pPr>
            <w:r>
              <w:rPr>
                <w:rFonts w:hint="eastAsia" w:ascii="黑体" w:hAnsi="黑体" w:eastAsia="黑体"/>
                <w:b/>
                <w:bCs/>
                <w:szCs w:val="21"/>
              </w:rPr>
              <w:t>单位</w:t>
            </w:r>
          </w:p>
        </w:tc>
        <w:tc>
          <w:tcPr>
            <w:tcW w:w="681" w:type="pct"/>
            <w:shd w:val="clear" w:color="auto" w:fill="9FD3A4"/>
            <w:vAlign w:val="center"/>
          </w:tcPr>
          <w:p>
            <w:pPr>
              <w:adjustRightInd w:val="0"/>
              <w:snapToGrid w:val="0"/>
              <w:jc w:val="center"/>
              <w:rPr>
                <w:rFonts w:ascii="黑体" w:hAnsi="黑体" w:eastAsia="黑体"/>
                <w:b/>
                <w:bCs/>
                <w:szCs w:val="21"/>
              </w:rPr>
            </w:pPr>
            <w:r>
              <w:rPr>
                <w:rFonts w:hint="eastAsia" w:ascii="黑体" w:hAnsi="黑体" w:eastAsia="黑体"/>
                <w:b/>
                <w:bCs/>
                <w:szCs w:val="21"/>
              </w:rPr>
              <w:t>2025年</w:t>
            </w:r>
          </w:p>
        </w:tc>
        <w:tc>
          <w:tcPr>
            <w:tcW w:w="636" w:type="pct"/>
            <w:shd w:val="clear" w:color="auto" w:fill="9FD3A4"/>
            <w:vAlign w:val="center"/>
          </w:tcPr>
          <w:p>
            <w:pPr>
              <w:adjustRightInd w:val="0"/>
              <w:snapToGrid w:val="0"/>
              <w:jc w:val="center"/>
              <w:rPr>
                <w:rFonts w:ascii="黑体" w:hAnsi="黑体" w:eastAsia="黑体"/>
                <w:b/>
                <w:bCs/>
                <w:szCs w:val="21"/>
              </w:rPr>
            </w:pPr>
            <w:r>
              <w:rPr>
                <w:rFonts w:hint="eastAsia" w:ascii="黑体" w:hAnsi="黑体" w:eastAsia="黑体"/>
                <w:b/>
                <w:bCs/>
                <w:szCs w:val="21"/>
              </w:rPr>
              <w:t>属性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9FD3A4"/>
          <w:tblCellMar>
            <w:top w:w="0" w:type="dxa"/>
            <w:left w:w="108" w:type="dxa"/>
            <w:bottom w:w="0" w:type="dxa"/>
            <w:right w:w="108" w:type="dxa"/>
          </w:tblCellMar>
        </w:tblPrEx>
        <w:trPr>
          <w:trHeight w:val="419" w:hRule="atLeast"/>
        </w:trPr>
        <w:tc>
          <w:tcPr>
            <w:tcW w:w="508" w:type="pct"/>
            <w:vMerge w:val="restart"/>
            <w:shd w:val="clear" w:color="auto" w:fill="9FD3A4"/>
            <w:vAlign w:val="center"/>
          </w:tcPr>
          <w:p>
            <w:pPr>
              <w:adjustRightInd w:val="0"/>
              <w:snapToGrid w:val="0"/>
              <w:jc w:val="center"/>
              <w:rPr>
                <w:rFonts w:ascii="仿宋_GB2312" w:eastAsia="仿宋_GB2312"/>
                <w:sz w:val="22"/>
              </w:rPr>
            </w:pPr>
            <w:r>
              <w:rPr>
                <w:rFonts w:hint="eastAsia" w:ascii="仿宋_GB2312" w:eastAsia="仿宋_GB2312"/>
                <w:sz w:val="22"/>
              </w:rPr>
              <w:t>矿产资源勘查</w:t>
            </w:r>
          </w:p>
        </w:tc>
        <w:tc>
          <w:tcPr>
            <w:tcW w:w="804" w:type="pct"/>
            <w:vMerge w:val="restart"/>
            <w:shd w:val="clear" w:color="auto" w:fill="9FD3A4"/>
            <w:vAlign w:val="center"/>
          </w:tcPr>
          <w:p>
            <w:pPr>
              <w:adjustRightInd w:val="0"/>
              <w:snapToGrid w:val="0"/>
              <w:jc w:val="center"/>
              <w:rPr>
                <w:rFonts w:ascii="仿宋_GB2312" w:eastAsia="仿宋_GB2312"/>
                <w:sz w:val="22"/>
              </w:rPr>
            </w:pPr>
            <w:r>
              <w:rPr>
                <w:rFonts w:hint="eastAsia" w:ascii="仿宋_GB2312" w:eastAsia="仿宋_GB2312"/>
                <w:sz w:val="22"/>
              </w:rPr>
              <w:t>新增资源量</w:t>
            </w:r>
          </w:p>
        </w:tc>
        <w:tc>
          <w:tcPr>
            <w:tcW w:w="1426" w:type="pct"/>
            <w:shd w:val="clear" w:color="auto" w:fill="9FD3A4"/>
            <w:vAlign w:val="center"/>
          </w:tcPr>
          <w:p>
            <w:pPr>
              <w:jc w:val="center"/>
              <w:rPr>
                <w:rFonts w:ascii="仿宋_GB2312" w:eastAsia="仿宋_GB2312"/>
                <w:color w:val="000000" w:themeColor="text1"/>
                <w:sz w:val="22"/>
              </w:rPr>
            </w:pPr>
            <w:r>
              <w:rPr>
                <w:rFonts w:hint="eastAsia" w:ascii="仿宋_GB2312" w:eastAsia="仿宋_GB2312"/>
                <w:color w:val="000000" w:themeColor="text1"/>
                <w:sz w:val="22"/>
              </w:rPr>
              <w:t>钨</w:t>
            </w:r>
          </w:p>
        </w:tc>
        <w:tc>
          <w:tcPr>
            <w:tcW w:w="945" w:type="pct"/>
            <w:shd w:val="clear" w:color="auto" w:fill="9FD3A4"/>
            <w:vAlign w:val="center"/>
          </w:tcPr>
          <w:p>
            <w:pPr>
              <w:pStyle w:val="19"/>
              <w:spacing w:before="0" w:beforeAutospacing="0" w:after="0" w:afterAutospacing="0"/>
              <w:jc w:val="center"/>
              <w:rPr>
                <w:rFonts w:ascii="仿宋_GB2312" w:eastAsia="仿宋_GB2312"/>
                <w:color w:val="000000" w:themeColor="text1"/>
                <w:sz w:val="22"/>
                <w:szCs w:val="22"/>
              </w:rPr>
            </w:pPr>
            <w:r>
              <w:rPr>
                <w:rFonts w:ascii="仿宋_GB2312" w:eastAsia="仿宋_GB2312"/>
                <w:color w:val="000000" w:themeColor="text1"/>
                <w:sz w:val="22"/>
                <w:szCs w:val="22"/>
              </w:rPr>
              <w:t>WO</w:t>
            </w:r>
            <w:r>
              <w:rPr>
                <w:rFonts w:ascii="仿宋_GB2312" w:eastAsia="仿宋_GB2312"/>
                <w:color w:val="000000" w:themeColor="text1"/>
                <w:sz w:val="22"/>
                <w:szCs w:val="22"/>
                <w:vertAlign w:val="subscript"/>
              </w:rPr>
              <w:t>3</w:t>
            </w:r>
            <w:r>
              <w:rPr>
                <w:rFonts w:hint="eastAsia" w:ascii="仿宋_GB2312" w:eastAsia="仿宋_GB2312"/>
                <w:color w:val="000000" w:themeColor="text1"/>
                <w:sz w:val="22"/>
                <w:szCs w:val="22"/>
              </w:rPr>
              <w:t xml:space="preserve"> 万吨</w:t>
            </w:r>
          </w:p>
        </w:tc>
        <w:tc>
          <w:tcPr>
            <w:tcW w:w="681" w:type="pct"/>
            <w:shd w:val="clear" w:color="auto" w:fill="9FD3A4"/>
            <w:vAlign w:val="center"/>
          </w:tcPr>
          <w:p>
            <w:pPr>
              <w:adjustRightInd w:val="0"/>
              <w:snapToGrid w:val="0"/>
              <w:jc w:val="center"/>
              <w:rPr>
                <w:rFonts w:ascii="仿宋_GB2312" w:eastAsia="仿宋_GB2312"/>
                <w:color w:val="FF0000"/>
                <w:sz w:val="22"/>
              </w:rPr>
            </w:pPr>
            <w:r>
              <w:rPr>
                <w:rFonts w:hint="eastAsia" w:ascii="仿宋_GB2312" w:hAnsi="Times New Roman" w:eastAsia="仿宋_GB2312" w:cs="Times New Roman"/>
                <w:sz w:val="22"/>
              </w:rPr>
              <w:t>〔</w:t>
            </w:r>
            <w:r>
              <w:rPr>
                <w:rFonts w:ascii="仿宋_GB2312" w:eastAsia="仿宋_GB2312"/>
                <w:color w:val="000000" w:themeColor="text1"/>
                <w:sz w:val="22"/>
              </w:rPr>
              <w:t>2</w:t>
            </w:r>
            <w:r>
              <w:rPr>
                <w:rFonts w:hint="eastAsia" w:ascii="仿宋_GB2312" w:hAnsi="Times New Roman" w:eastAsia="仿宋_GB2312" w:cs="Times New Roman"/>
                <w:sz w:val="22"/>
              </w:rPr>
              <w:t>〕</w:t>
            </w:r>
          </w:p>
        </w:tc>
        <w:tc>
          <w:tcPr>
            <w:tcW w:w="636" w:type="pct"/>
            <w:vMerge w:val="restart"/>
            <w:shd w:val="clear" w:color="auto" w:fill="9FD3A4"/>
            <w:vAlign w:val="center"/>
          </w:tcPr>
          <w:p>
            <w:pPr>
              <w:adjustRightInd w:val="0"/>
              <w:snapToGrid w:val="0"/>
              <w:jc w:val="center"/>
              <w:rPr>
                <w:rFonts w:ascii="仿宋_GB2312" w:eastAsia="仿宋_GB2312"/>
                <w:sz w:val="22"/>
              </w:rPr>
            </w:pPr>
            <w:r>
              <w:rPr>
                <w:rFonts w:hint="eastAsia" w:ascii="仿宋_GB2312" w:eastAsia="仿宋_GB2312"/>
                <w:sz w:val="22"/>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9FD3A4"/>
          <w:tblCellMar>
            <w:top w:w="0" w:type="dxa"/>
            <w:left w:w="108" w:type="dxa"/>
            <w:bottom w:w="0" w:type="dxa"/>
            <w:right w:w="108" w:type="dxa"/>
          </w:tblCellMar>
        </w:tblPrEx>
        <w:trPr>
          <w:trHeight w:val="283" w:hRule="atLeast"/>
        </w:trPr>
        <w:tc>
          <w:tcPr>
            <w:tcW w:w="508" w:type="pct"/>
            <w:vMerge w:val="continue"/>
            <w:shd w:val="clear" w:color="auto" w:fill="9FD3A4"/>
            <w:vAlign w:val="center"/>
          </w:tcPr>
          <w:p>
            <w:pPr>
              <w:adjustRightInd w:val="0"/>
              <w:snapToGrid w:val="0"/>
              <w:jc w:val="center"/>
              <w:rPr>
                <w:rFonts w:ascii="仿宋_GB2312" w:eastAsia="仿宋_GB2312"/>
                <w:sz w:val="22"/>
              </w:rPr>
            </w:pPr>
          </w:p>
        </w:tc>
        <w:tc>
          <w:tcPr>
            <w:tcW w:w="804" w:type="pct"/>
            <w:vMerge w:val="continue"/>
            <w:shd w:val="clear" w:color="auto" w:fill="9FD3A4"/>
            <w:vAlign w:val="center"/>
          </w:tcPr>
          <w:p>
            <w:pPr>
              <w:adjustRightInd w:val="0"/>
              <w:snapToGrid w:val="0"/>
              <w:jc w:val="center"/>
              <w:rPr>
                <w:rFonts w:ascii="仿宋_GB2312" w:eastAsia="仿宋_GB2312"/>
                <w:sz w:val="22"/>
              </w:rPr>
            </w:pPr>
          </w:p>
        </w:tc>
        <w:tc>
          <w:tcPr>
            <w:tcW w:w="1426" w:type="pct"/>
            <w:shd w:val="clear" w:color="auto" w:fill="9FD3A4"/>
            <w:vAlign w:val="center"/>
          </w:tcPr>
          <w:p>
            <w:pPr>
              <w:jc w:val="center"/>
              <w:rPr>
                <w:rFonts w:ascii="仿宋_GB2312" w:eastAsia="仿宋_GB2312"/>
                <w:color w:val="000000" w:themeColor="text1"/>
                <w:sz w:val="22"/>
              </w:rPr>
            </w:pPr>
            <w:r>
              <w:rPr>
                <w:rFonts w:hint="eastAsia" w:ascii="仿宋_GB2312" w:eastAsia="仿宋_GB2312"/>
                <w:color w:val="000000" w:themeColor="text1"/>
                <w:sz w:val="22"/>
              </w:rPr>
              <w:t>钼</w:t>
            </w:r>
          </w:p>
        </w:tc>
        <w:tc>
          <w:tcPr>
            <w:tcW w:w="945" w:type="pct"/>
            <w:shd w:val="clear" w:color="auto" w:fill="9FD3A4"/>
            <w:vAlign w:val="center"/>
          </w:tcPr>
          <w:p>
            <w:pPr>
              <w:pStyle w:val="19"/>
              <w:spacing w:before="0" w:beforeAutospacing="0" w:after="0" w:afterAutospacing="0"/>
              <w:jc w:val="center"/>
              <w:rPr>
                <w:rFonts w:ascii="仿宋_GB2312" w:eastAsia="仿宋_GB2312"/>
                <w:color w:val="000000" w:themeColor="text1"/>
                <w:sz w:val="22"/>
                <w:szCs w:val="22"/>
              </w:rPr>
            </w:pPr>
            <w:r>
              <w:rPr>
                <w:rFonts w:hint="eastAsia" w:ascii="仿宋_GB2312" w:eastAsia="仿宋_GB2312"/>
                <w:color w:val="000000" w:themeColor="text1"/>
                <w:sz w:val="22"/>
                <w:szCs w:val="22"/>
              </w:rPr>
              <w:t>M</w:t>
            </w:r>
            <w:r>
              <w:rPr>
                <w:rFonts w:ascii="仿宋_GB2312" w:eastAsia="仿宋_GB2312"/>
                <w:color w:val="000000" w:themeColor="text1"/>
                <w:sz w:val="22"/>
                <w:szCs w:val="22"/>
              </w:rPr>
              <w:t>o</w:t>
            </w:r>
            <w:r>
              <w:rPr>
                <w:rFonts w:hint="eastAsia" w:ascii="仿宋_GB2312" w:eastAsia="仿宋_GB2312"/>
                <w:color w:val="000000" w:themeColor="text1"/>
                <w:sz w:val="22"/>
                <w:szCs w:val="22"/>
              </w:rPr>
              <w:t xml:space="preserve"> 万吨</w:t>
            </w:r>
          </w:p>
        </w:tc>
        <w:tc>
          <w:tcPr>
            <w:tcW w:w="681" w:type="pct"/>
            <w:shd w:val="clear" w:color="auto" w:fill="9FD3A4"/>
            <w:vAlign w:val="center"/>
          </w:tcPr>
          <w:p>
            <w:pPr>
              <w:adjustRightInd w:val="0"/>
              <w:snapToGrid w:val="0"/>
              <w:jc w:val="center"/>
              <w:rPr>
                <w:rFonts w:ascii="仿宋_GB2312" w:hAnsi="Times New Roman" w:eastAsia="仿宋_GB2312" w:cs="Times New Roman"/>
                <w:sz w:val="22"/>
              </w:rPr>
            </w:pPr>
            <w:r>
              <w:rPr>
                <w:rFonts w:hint="eastAsia" w:ascii="仿宋_GB2312" w:hAnsi="Times New Roman" w:eastAsia="仿宋_GB2312" w:cs="Times New Roman"/>
                <w:sz w:val="22"/>
              </w:rPr>
              <w:t>〔</w:t>
            </w:r>
            <w:r>
              <w:rPr>
                <w:rFonts w:ascii="仿宋_GB2312" w:hAnsi="Times New Roman" w:eastAsia="仿宋_GB2312" w:cs="Times New Roman"/>
                <w:sz w:val="22"/>
              </w:rPr>
              <w:t>1</w:t>
            </w:r>
            <w:r>
              <w:rPr>
                <w:rFonts w:hint="eastAsia" w:ascii="仿宋_GB2312" w:hAnsi="Times New Roman" w:eastAsia="仿宋_GB2312" w:cs="Times New Roman"/>
                <w:sz w:val="22"/>
              </w:rPr>
              <w:t>〕</w:t>
            </w:r>
          </w:p>
        </w:tc>
        <w:tc>
          <w:tcPr>
            <w:tcW w:w="636" w:type="pct"/>
            <w:vMerge w:val="continue"/>
            <w:shd w:val="clear" w:color="auto" w:fill="9FD3A4"/>
            <w:vAlign w:val="center"/>
          </w:tcPr>
          <w:p>
            <w:pPr>
              <w:adjustRightInd w:val="0"/>
              <w:snapToGrid w:val="0"/>
              <w:jc w:val="center"/>
              <w:rPr>
                <w:rFonts w:ascii="仿宋_GB2312" w:eastAsia="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9FD3A4"/>
          <w:tblCellMar>
            <w:top w:w="0" w:type="dxa"/>
            <w:left w:w="108" w:type="dxa"/>
            <w:bottom w:w="0" w:type="dxa"/>
            <w:right w:w="108" w:type="dxa"/>
          </w:tblCellMar>
        </w:tblPrEx>
        <w:trPr>
          <w:trHeight w:val="402" w:hRule="atLeast"/>
        </w:trPr>
        <w:tc>
          <w:tcPr>
            <w:tcW w:w="508" w:type="pct"/>
            <w:vMerge w:val="restart"/>
            <w:shd w:val="clear" w:color="auto" w:fill="9FD3A4"/>
            <w:vAlign w:val="center"/>
          </w:tcPr>
          <w:p>
            <w:pPr>
              <w:adjustRightInd w:val="0"/>
              <w:snapToGrid w:val="0"/>
              <w:jc w:val="center"/>
              <w:rPr>
                <w:rFonts w:ascii="仿宋_GB2312" w:eastAsia="仿宋_GB2312"/>
                <w:sz w:val="22"/>
              </w:rPr>
            </w:pPr>
            <w:r>
              <w:rPr>
                <w:rFonts w:hint="eastAsia" w:ascii="仿宋_GB2312" w:eastAsia="仿宋_GB2312"/>
                <w:sz w:val="22"/>
              </w:rPr>
              <w:t>矿产资源开发利用与保护</w:t>
            </w:r>
          </w:p>
        </w:tc>
        <w:tc>
          <w:tcPr>
            <w:tcW w:w="804" w:type="pct"/>
            <w:vMerge w:val="restart"/>
            <w:shd w:val="clear" w:color="auto" w:fill="9FD3A4"/>
            <w:vAlign w:val="center"/>
          </w:tcPr>
          <w:p>
            <w:pPr>
              <w:adjustRightInd w:val="0"/>
              <w:snapToGrid w:val="0"/>
              <w:jc w:val="center"/>
              <w:rPr>
                <w:rFonts w:ascii="仿宋_GB2312" w:eastAsia="仿宋_GB2312"/>
                <w:sz w:val="22"/>
              </w:rPr>
            </w:pPr>
            <w:r>
              <w:rPr>
                <w:rFonts w:hint="eastAsia" w:ascii="仿宋_GB2312" w:eastAsia="仿宋_GB2312"/>
                <w:sz w:val="22"/>
              </w:rPr>
              <w:t>年开采总量</w:t>
            </w:r>
          </w:p>
        </w:tc>
        <w:tc>
          <w:tcPr>
            <w:tcW w:w="1426" w:type="pct"/>
            <w:shd w:val="clear" w:color="auto" w:fill="9FD3A4"/>
            <w:vAlign w:val="center"/>
          </w:tcPr>
          <w:p>
            <w:pPr>
              <w:pStyle w:val="19"/>
              <w:spacing w:before="0" w:beforeAutospacing="0" w:after="0" w:afterAutospacing="0"/>
              <w:jc w:val="center"/>
              <w:rPr>
                <w:rFonts w:ascii="仿宋_GB2312" w:eastAsia="仿宋_GB2312"/>
                <w:color w:val="000000" w:themeColor="text1"/>
                <w:sz w:val="22"/>
                <w:szCs w:val="22"/>
              </w:rPr>
            </w:pPr>
            <w:r>
              <w:rPr>
                <w:rFonts w:hint="eastAsia" w:ascii="仿宋_GB2312" w:eastAsia="仿宋_GB2312"/>
                <w:color w:val="000000" w:themeColor="text1"/>
                <w:sz w:val="22"/>
                <w:szCs w:val="22"/>
              </w:rPr>
              <w:t>钨</w:t>
            </w:r>
          </w:p>
        </w:tc>
        <w:tc>
          <w:tcPr>
            <w:tcW w:w="945" w:type="pct"/>
            <w:shd w:val="clear" w:color="auto" w:fill="9FD3A4"/>
            <w:vAlign w:val="center"/>
          </w:tcPr>
          <w:p>
            <w:pPr>
              <w:pStyle w:val="19"/>
              <w:spacing w:before="0" w:beforeAutospacing="0" w:after="0" w:afterAutospacing="0"/>
              <w:jc w:val="center"/>
              <w:rPr>
                <w:rFonts w:ascii="仿宋_GB2312" w:eastAsia="仿宋_GB2312"/>
                <w:color w:val="000000" w:themeColor="text1"/>
                <w:sz w:val="22"/>
                <w:szCs w:val="22"/>
              </w:rPr>
            </w:pPr>
            <w:r>
              <w:rPr>
                <w:rFonts w:hint="eastAsia" w:ascii="仿宋_GB2312" w:eastAsia="仿宋_GB2312"/>
                <w:color w:val="000000" w:themeColor="text1"/>
                <w:sz w:val="22"/>
                <w:szCs w:val="22"/>
              </w:rPr>
              <w:t>矿石 万吨</w:t>
            </w:r>
          </w:p>
        </w:tc>
        <w:tc>
          <w:tcPr>
            <w:tcW w:w="681" w:type="pct"/>
            <w:shd w:val="clear" w:color="auto" w:fill="9FD3A4"/>
            <w:vAlign w:val="center"/>
          </w:tcPr>
          <w:p>
            <w:pPr>
              <w:adjustRightInd w:val="0"/>
              <w:snapToGrid w:val="0"/>
              <w:jc w:val="center"/>
              <w:rPr>
                <w:rFonts w:ascii="仿宋_GB2312" w:eastAsia="仿宋_GB2312"/>
                <w:color w:val="000000" w:themeColor="text1"/>
                <w:sz w:val="22"/>
              </w:rPr>
            </w:pPr>
            <w:r>
              <w:rPr>
                <w:rFonts w:ascii="仿宋_GB2312" w:eastAsia="仿宋_GB2312"/>
                <w:color w:val="000000" w:themeColor="text1"/>
                <w:sz w:val="22"/>
              </w:rPr>
              <w:t>360</w:t>
            </w:r>
          </w:p>
        </w:tc>
        <w:tc>
          <w:tcPr>
            <w:tcW w:w="636" w:type="pct"/>
            <w:vMerge w:val="restart"/>
            <w:shd w:val="clear" w:color="auto" w:fill="9FD3A4"/>
            <w:vAlign w:val="center"/>
          </w:tcPr>
          <w:p>
            <w:pPr>
              <w:adjustRightInd w:val="0"/>
              <w:snapToGrid w:val="0"/>
              <w:jc w:val="center"/>
              <w:rPr>
                <w:rFonts w:ascii="仿宋_GB2312" w:eastAsia="仿宋_GB2312"/>
                <w:sz w:val="22"/>
              </w:rPr>
            </w:pPr>
            <w:r>
              <w:rPr>
                <w:rFonts w:hint="eastAsia" w:ascii="仿宋_GB2312" w:eastAsia="仿宋_GB2312"/>
                <w:sz w:val="22"/>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9FD3A4"/>
          <w:tblCellMar>
            <w:top w:w="0" w:type="dxa"/>
            <w:left w:w="108" w:type="dxa"/>
            <w:bottom w:w="0" w:type="dxa"/>
            <w:right w:w="108" w:type="dxa"/>
          </w:tblCellMar>
        </w:tblPrEx>
        <w:trPr>
          <w:trHeight w:val="402" w:hRule="atLeast"/>
        </w:trPr>
        <w:tc>
          <w:tcPr>
            <w:tcW w:w="508" w:type="pct"/>
            <w:vMerge w:val="continue"/>
            <w:shd w:val="clear" w:color="auto" w:fill="9FD3A4"/>
            <w:vAlign w:val="center"/>
          </w:tcPr>
          <w:p>
            <w:pPr>
              <w:adjustRightInd w:val="0"/>
              <w:snapToGrid w:val="0"/>
              <w:jc w:val="center"/>
              <w:rPr>
                <w:rFonts w:ascii="仿宋_GB2312" w:eastAsia="仿宋_GB2312"/>
                <w:sz w:val="22"/>
              </w:rPr>
            </w:pPr>
          </w:p>
        </w:tc>
        <w:tc>
          <w:tcPr>
            <w:tcW w:w="804" w:type="pct"/>
            <w:vMerge w:val="continue"/>
            <w:shd w:val="clear" w:color="auto" w:fill="9FD3A4"/>
            <w:vAlign w:val="center"/>
          </w:tcPr>
          <w:p>
            <w:pPr>
              <w:adjustRightInd w:val="0"/>
              <w:snapToGrid w:val="0"/>
              <w:jc w:val="center"/>
              <w:rPr>
                <w:rFonts w:ascii="仿宋_GB2312" w:eastAsia="仿宋_GB2312"/>
                <w:sz w:val="22"/>
              </w:rPr>
            </w:pPr>
          </w:p>
        </w:tc>
        <w:tc>
          <w:tcPr>
            <w:tcW w:w="1426" w:type="pct"/>
            <w:shd w:val="clear" w:color="auto" w:fill="9FD3A4"/>
            <w:vAlign w:val="center"/>
          </w:tcPr>
          <w:p>
            <w:pPr>
              <w:pStyle w:val="19"/>
              <w:spacing w:before="0" w:beforeAutospacing="0" w:after="0" w:afterAutospacing="0"/>
              <w:jc w:val="center"/>
              <w:rPr>
                <w:rFonts w:ascii="仿宋_GB2312" w:eastAsia="仿宋_GB2312"/>
                <w:color w:val="000000" w:themeColor="text1"/>
                <w:sz w:val="22"/>
                <w:szCs w:val="22"/>
              </w:rPr>
            </w:pPr>
            <w:r>
              <w:rPr>
                <w:rFonts w:hint="eastAsia" w:ascii="仿宋_GB2312" w:eastAsia="仿宋_GB2312"/>
                <w:color w:val="000000" w:themeColor="text1"/>
                <w:sz w:val="22"/>
              </w:rPr>
              <w:t>钼</w:t>
            </w:r>
          </w:p>
        </w:tc>
        <w:tc>
          <w:tcPr>
            <w:tcW w:w="945" w:type="pct"/>
            <w:shd w:val="clear" w:color="auto" w:fill="9FD3A4"/>
            <w:vAlign w:val="center"/>
          </w:tcPr>
          <w:p>
            <w:pPr>
              <w:pStyle w:val="19"/>
              <w:spacing w:before="0" w:beforeAutospacing="0" w:after="0" w:afterAutospacing="0"/>
              <w:jc w:val="center"/>
              <w:rPr>
                <w:rFonts w:ascii="仿宋_GB2312" w:eastAsia="仿宋_GB2312"/>
                <w:color w:val="000000" w:themeColor="text1"/>
                <w:sz w:val="22"/>
                <w:szCs w:val="22"/>
              </w:rPr>
            </w:pPr>
            <w:r>
              <w:rPr>
                <w:rFonts w:hint="eastAsia" w:ascii="仿宋_GB2312" w:eastAsia="仿宋_GB2312"/>
                <w:color w:val="000000" w:themeColor="text1"/>
                <w:sz w:val="22"/>
                <w:szCs w:val="22"/>
              </w:rPr>
              <w:t>矿石 万吨</w:t>
            </w:r>
          </w:p>
        </w:tc>
        <w:tc>
          <w:tcPr>
            <w:tcW w:w="681" w:type="pct"/>
            <w:shd w:val="clear" w:color="auto" w:fill="9FD3A4"/>
            <w:vAlign w:val="center"/>
          </w:tcPr>
          <w:p>
            <w:pPr>
              <w:adjustRightInd w:val="0"/>
              <w:snapToGrid w:val="0"/>
              <w:jc w:val="center"/>
              <w:rPr>
                <w:rFonts w:ascii="仿宋_GB2312" w:eastAsia="仿宋_GB2312"/>
                <w:color w:val="000000" w:themeColor="text1"/>
                <w:sz w:val="22"/>
              </w:rPr>
            </w:pPr>
            <w:r>
              <w:rPr>
                <w:rFonts w:ascii="仿宋_GB2312" w:eastAsia="仿宋_GB2312"/>
                <w:color w:val="000000" w:themeColor="text1"/>
                <w:sz w:val="22"/>
              </w:rPr>
              <w:t>360</w:t>
            </w:r>
          </w:p>
        </w:tc>
        <w:tc>
          <w:tcPr>
            <w:tcW w:w="636" w:type="pct"/>
            <w:vMerge w:val="continue"/>
            <w:shd w:val="clear" w:color="auto" w:fill="9FD3A4"/>
            <w:vAlign w:val="center"/>
          </w:tcPr>
          <w:p>
            <w:pPr>
              <w:adjustRightInd w:val="0"/>
              <w:snapToGrid w:val="0"/>
              <w:jc w:val="center"/>
              <w:rPr>
                <w:rFonts w:ascii="仿宋_GB2312" w:eastAsia="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9FD3A4"/>
          <w:tblCellMar>
            <w:top w:w="0" w:type="dxa"/>
            <w:left w:w="108" w:type="dxa"/>
            <w:bottom w:w="0" w:type="dxa"/>
            <w:right w:w="108" w:type="dxa"/>
          </w:tblCellMar>
        </w:tblPrEx>
        <w:trPr>
          <w:trHeight w:val="424" w:hRule="atLeast"/>
        </w:trPr>
        <w:tc>
          <w:tcPr>
            <w:tcW w:w="508" w:type="pct"/>
            <w:vMerge w:val="continue"/>
            <w:shd w:val="clear" w:color="auto" w:fill="9FD3A4"/>
            <w:vAlign w:val="center"/>
          </w:tcPr>
          <w:p>
            <w:pPr>
              <w:adjustRightInd w:val="0"/>
              <w:snapToGrid w:val="0"/>
              <w:jc w:val="center"/>
              <w:rPr>
                <w:rFonts w:ascii="仿宋_GB2312" w:eastAsia="仿宋_GB2312"/>
                <w:sz w:val="22"/>
              </w:rPr>
            </w:pPr>
          </w:p>
        </w:tc>
        <w:tc>
          <w:tcPr>
            <w:tcW w:w="804" w:type="pct"/>
            <w:vMerge w:val="continue"/>
            <w:shd w:val="clear" w:color="auto" w:fill="9FD3A4"/>
            <w:vAlign w:val="center"/>
          </w:tcPr>
          <w:p>
            <w:pPr>
              <w:adjustRightInd w:val="0"/>
              <w:snapToGrid w:val="0"/>
              <w:jc w:val="center"/>
              <w:rPr>
                <w:rFonts w:ascii="仿宋_GB2312" w:eastAsia="仿宋_GB2312"/>
                <w:sz w:val="22"/>
              </w:rPr>
            </w:pPr>
          </w:p>
        </w:tc>
        <w:tc>
          <w:tcPr>
            <w:tcW w:w="1426" w:type="pct"/>
            <w:shd w:val="clear" w:color="auto" w:fill="9FD3A4"/>
            <w:vAlign w:val="center"/>
          </w:tcPr>
          <w:p>
            <w:pPr>
              <w:pStyle w:val="19"/>
              <w:spacing w:before="0" w:beforeAutospacing="0" w:after="0" w:afterAutospacing="0"/>
              <w:jc w:val="center"/>
              <w:rPr>
                <w:rFonts w:ascii="仿宋_GB2312" w:eastAsia="仿宋_GB2312"/>
                <w:color w:val="000000" w:themeColor="text1"/>
                <w:sz w:val="22"/>
                <w:szCs w:val="22"/>
              </w:rPr>
            </w:pPr>
            <w:r>
              <w:rPr>
                <w:rFonts w:hint="eastAsia" w:ascii="仿宋_GB2312" w:eastAsia="仿宋_GB2312"/>
                <w:color w:val="000000" w:themeColor="text1"/>
                <w:sz w:val="22"/>
                <w:szCs w:val="22"/>
              </w:rPr>
              <w:t>金</w:t>
            </w:r>
          </w:p>
        </w:tc>
        <w:tc>
          <w:tcPr>
            <w:tcW w:w="945" w:type="pct"/>
            <w:shd w:val="clear" w:color="auto" w:fill="9FD3A4"/>
            <w:vAlign w:val="center"/>
          </w:tcPr>
          <w:p>
            <w:pPr>
              <w:pStyle w:val="19"/>
              <w:spacing w:before="0" w:beforeAutospacing="0" w:after="0" w:afterAutospacing="0"/>
              <w:jc w:val="center"/>
              <w:rPr>
                <w:rFonts w:ascii="仿宋_GB2312" w:eastAsia="仿宋_GB2312"/>
                <w:color w:val="000000" w:themeColor="text1"/>
                <w:sz w:val="22"/>
                <w:szCs w:val="22"/>
              </w:rPr>
            </w:pPr>
            <w:r>
              <w:rPr>
                <w:rFonts w:hint="eastAsia" w:ascii="仿宋_GB2312" w:eastAsia="仿宋_GB2312"/>
                <w:color w:val="000000" w:themeColor="text1"/>
                <w:sz w:val="22"/>
                <w:szCs w:val="22"/>
              </w:rPr>
              <w:t>矿石 万吨</w:t>
            </w:r>
          </w:p>
        </w:tc>
        <w:tc>
          <w:tcPr>
            <w:tcW w:w="681" w:type="pct"/>
            <w:shd w:val="clear" w:color="auto" w:fill="9FD3A4"/>
            <w:vAlign w:val="center"/>
          </w:tcPr>
          <w:p>
            <w:pPr>
              <w:adjustRightInd w:val="0"/>
              <w:snapToGrid w:val="0"/>
              <w:jc w:val="center"/>
              <w:rPr>
                <w:rFonts w:ascii="仿宋_GB2312" w:eastAsia="仿宋_GB2312"/>
                <w:color w:val="000000" w:themeColor="text1"/>
                <w:sz w:val="22"/>
              </w:rPr>
            </w:pPr>
            <w:r>
              <w:rPr>
                <w:rFonts w:hint="eastAsia" w:ascii="仿宋_GB2312" w:eastAsia="仿宋_GB2312"/>
                <w:color w:val="000000" w:themeColor="text1"/>
                <w:sz w:val="22"/>
              </w:rPr>
              <w:t>7.5</w:t>
            </w:r>
          </w:p>
        </w:tc>
        <w:tc>
          <w:tcPr>
            <w:tcW w:w="636" w:type="pct"/>
            <w:vMerge w:val="continue"/>
            <w:shd w:val="clear" w:color="auto" w:fill="9FD3A4"/>
            <w:vAlign w:val="center"/>
          </w:tcPr>
          <w:p>
            <w:pPr>
              <w:adjustRightInd w:val="0"/>
              <w:snapToGrid w:val="0"/>
              <w:jc w:val="center"/>
              <w:rPr>
                <w:rFonts w:ascii="仿宋_GB2312" w:eastAsia="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9FD3A4"/>
          <w:tblCellMar>
            <w:top w:w="0" w:type="dxa"/>
            <w:left w:w="108" w:type="dxa"/>
            <w:bottom w:w="0" w:type="dxa"/>
            <w:right w:w="108" w:type="dxa"/>
          </w:tblCellMar>
        </w:tblPrEx>
        <w:trPr>
          <w:trHeight w:val="401" w:hRule="atLeast"/>
        </w:trPr>
        <w:tc>
          <w:tcPr>
            <w:tcW w:w="508" w:type="pct"/>
            <w:vMerge w:val="continue"/>
            <w:shd w:val="clear" w:color="auto" w:fill="9FD3A4"/>
            <w:vAlign w:val="center"/>
          </w:tcPr>
          <w:p>
            <w:pPr>
              <w:adjustRightInd w:val="0"/>
              <w:snapToGrid w:val="0"/>
              <w:jc w:val="center"/>
              <w:rPr>
                <w:rFonts w:ascii="仿宋_GB2312" w:eastAsia="仿宋_GB2312"/>
                <w:sz w:val="22"/>
              </w:rPr>
            </w:pPr>
          </w:p>
        </w:tc>
        <w:tc>
          <w:tcPr>
            <w:tcW w:w="804" w:type="pct"/>
            <w:vMerge w:val="continue"/>
            <w:shd w:val="clear" w:color="auto" w:fill="9FD3A4"/>
            <w:vAlign w:val="center"/>
          </w:tcPr>
          <w:p>
            <w:pPr>
              <w:adjustRightInd w:val="0"/>
              <w:snapToGrid w:val="0"/>
              <w:jc w:val="center"/>
              <w:rPr>
                <w:rFonts w:ascii="仿宋_GB2312" w:eastAsia="仿宋_GB2312"/>
                <w:sz w:val="22"/>
              </w:rPr>
            </w:pPr>
          </w:p>
        </w:tc>
        <w:tc>
          <w:tcPr>
            <w:tcW w:w="1426" w:type="pct"/>
            <w:shd w:val="clear" w:color="auto" w:fill="9FD3A4"/>
            <w:vAlign w:val="center"/>
          </w:tcPr>
          <w:p>
            <w:pPr>
              <w:pStyle w:val="19"/>
              <w:spacing w:before="0" w:beforeAutospacing="0" w:after="0" w:afterAutospacing="0"/>
              <w:jc w:val="center"/>
              <w:rPr>
                <w:rFonts w:ascii="仿宋_GB2312" w:eastAsia="仿宋_GB2312"/>
                <w:color w:val="000000" w:themeColor="text1"/>
                <w:sz w:val="22"/>
                <w:szCs w:val="22"/>
              </w:rPr>
            </w:pPr>
            <w:r>
              <w:rPr>
                <w:rFonts w:hint="eastAsia" w:ascii="仿宋_GB2312" w:eastAsia="仿宋_GB2312"/>
                <w:color w:val="000000" w:themeColor="text1"/>
                <w:sz w:val="22"/>
                <w:szCs w:val="22"/>
              </w:rPr>
              <w:t>大理岩（饰面用）</w:t>
            </w:r>
          </w:p>
        </w:tc>
        <w:tc>
          <w:tcPr>
            <w:tcW w:w="945" w:type="pct"/>
            <w:shd w:val="clear" w:color="auto" w:fill="9FD3A4"/>
            <w:vAlign w:val="center"/>
          </w:tcPr>
          <w:p>
            <w:pPr>
              <w:pStyle w:val="19"/>
              <w:spacing w:before="0" w:beforeAutospacing="0" w:after="0" w:afterAutospacing="0"/>
              <w:jc w:val="center"/>
              <w:rPr>
                <w:rFonts w:ascii="仿宋_GB2312" w:eastAsia="仿宋_GB2312"/>
                <w:color w:val="000000" w:themeColor="text1"/>
                <w:sz w:val="22"/>
                <w:szCs w:val="22"/>
              </w:rPr>
            </w:pPr>
            <w:r>
              <w:rPr>
                <w:rFonts w:hint="eastAsia" w:ascii="仿宋_GB2312" w:eastAsia="仿宋_GB2312"/>
                <w:color w:val="000000" w:themeColor="text1"/>
                <w:sz w:val="22"/>
                <w:szCs w:val="22"/>
              </w:rPr>
              <w:t>万立方米</w:t>
            </w:r>
          </w:p>
        </w:tc>
        <w:tc>
          <w:tcPr>
            <w:tcW w:w="681" w:type="pct"/>
            <w:shd w:val="clear" w:color="auto" w:fill="9FD3A4"/>
            <w:vAlign w:val="center"/>
          </w:tcPr>
          <w:p>
            <w:pPr>
              <w:adjustRightInd w:val="0"/>
              <w:snapToGrid w:val="0"/>
              <w:jc w:val="center"/>
              <w:rPr>
                <w:rFonts w:ascii="仿宋_GB2312" w:eastAsia="仿宋_GB2312"/>
                <w:color w:val="000000" w:themeColor="text1"/>
                <w:sz w:val="22"/>
              </w:rPr>
            </w:pPr>
            <w:r>
              <w:rPr>
                <w:rFonts w:hint="eastAsia" w:ascii="仿宋_GB2312" w:eastAsia="仿宋_GB2312"/>
                <w:color w:val="000000" w:themeColor="text1"/>
                <w:sz w:val="22"/>
              </w:rPr>
              <w:t>3</w:t>
            </w:r>
          </w:p>
        </w:tc>
        <w:tc>
          <w:tcPr>
            <w:tcW w:w="636" w:type="pct"/>
            <w:vMerge w:val="continue"/>
            <w:shd w:val="clear" w:color="auto" w:fill="9FD3A4"/>
            <w:vAlign w:val="center"/>
          </w:tcPr>
          <w:p>
            <w:pPr>
              <w:adjustRightInd w:val="0"/>
              <w:snapToGrid w:val="0"/>
              <w:jc w:val="center"/>
              <w:rPr>
                <w:rFonts w:ascii="仿宋_GB2312" w:eastAsia="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9FD3A4"/>
          <w:tblCellMar>
            <w:top w:w="0" w:type="dxa"/>
            <w:left w:w="108" w:type="dxa"/>
            <w:bottom w:w="0" w:type="dxa"/>
            <w:right w:w="108" w:type="dxa"/>
          </w:tblCellMar>
        </w:tblPrEx>
        <w:trPr>
          <w:trHeight w:val="421" w:hRule="atLeast"/>
        </w:trPr>
        <w:tc>
          <w:tcPr>
            <w:tcW w:w="508" w:type="pct"/>
            <w:vMerge w:val="continue"/>
            <w:shd w:val="clear" w:color="auto" w:fill="9FD3A4"/>
            <w:vAlign w:val="center"/>
          </w:tcPr>
          <w:p>
            <w:pPr>
              <w:adjustRightInd w:val="0"/>
              <w:snapToGrid w:val="0"/>
              <w:jc w:val="center"/>
              <w:rPr>
                <w:rFonts w:ascii="仿宋_GB2312" w:eastAsia="仿宋_GB2312"/>
                <w:sz w:val="22"/>
              </w:rPr>
            </w:pPr>
          </w:p>
        </w:tc>
        <w:tc>
          <w:tcPr>
            <w:tcW w:w="804" w:type="pct"/>
            <w:shd w:val="clear" w:color="auto" w:fill="9FD3A4"/>
            <w:vAlign w:val="center"/>
          </w:tcPr>
          <w:p>
            <w:pPr>
              <w:adjustRightInd w:val="0"/>
              <w:snapToGrid w:val="0"/>
              <w:jc w:val="center"/>
              <w:rPr>
                <w:rFonts w:ascii="仿宋_GB2312" w:eastAsia="仿宋_GB2312"/>
                <w:sz w:val="22"/>
              </w:rPr>
            </w:pPr>
            <w:r>
              <w:rPr>
                <w:rFonts w:hint="eastAsia" w:ascii="仿宋_GB2312" w:eastAsia="仿宋_GB2312"/>
                <w:sz w:val="22"/>
              </w:rPr>
              <w:t>矿山数量</w:t>
            </w:r>
          </w:p>
        </w:tc>
        <w:tc>
          <w:tcPr>
            <w:tcW w:w="1426" w:type="pct"/>
            <w:shd w:val="clear" w:color="auto" w:fill="9FD3A4"/>
            <w:vAlign w:val="center"/>
          </w:tcPr>
          <w:p>
            <w:pPr>
              <w:adjustRightInd w:val="0"/>
              <w:snapToGrid w:val="0"/>
              <w:jc w:val="center"/>
              <w:rPr>
                <w:rFonts w:ascii="仿宋_GB2312" w:eastAsia="仿宋_GB2312"/>
                <w:color w:val="000000" w:themeColor="text1"/>
                <w:sz w:val="22"/>
              </w:rPr>
            </w:pPr>
            <w:r>
              <w:rPr>
                <w:rFonts w:hint="eastAsia" w:ascii="仿宋_GB2312" w:eastAsia="仿宋_GB2312"/>
                <w:color w:val="000000" w:themeColor="text1"/>
                <w:sz w:val="22"/>
              </w:rPr>
              <w:t>矿山总数</w:t>
            </w:r>
          </w:p>
        </w:tc>
        <w:tc>
          <w:tcPr>
            <w:tcW w:w="945" w:type="pct"/>
            <w:shd w:val="clear" w:color="auto" w:fill="9FD3A4"/>
            <w:vAlign w:val="center"/>
          </w:tcPr>
          <w:p>
            <w:pPr>
              <w:adjustRightInd w:val="0"/>
              <w:snapToGrid w:val="0"/>
              <w:jc w:val="center"/>
              <w:rPr>
                <w:rFonts w:ascii="仿宋_GB2312" w:eastAsia="仿宋_GB2312"/>
                <w:color w:val="000000" w:themeColor="text1"/>
                <w:sz w:val="22"/>
              </w:rPr>
            </w:pPr>
            <w:r>
              <w:rPr>
                <w:rFonts w:hint="eastAsia" w:ascii="仿宋_GB2312" w:eastAsia="仿宋_GB2312"/>
                <w:color w:val="000000" w:themeColor="text1"/>
                <w:sz w:val="22"/>
              </w:rPr>
              <w:t>个</w:t>
            </w:r>
          </w:p>
        </w:tc>
        <w:tc>
          <w:tcPr>
            <w:tcW w:w="681" w:type="pct"/>
            <w:shd w:val="clear" w:color="auto" w:fill="9FD3A4"/>
            <w:vAlign w:val="center"/>
          </w:tcPr>
          <w:p>
            <w:pPr>
              <w:adjustRightInd w:val="0"/>
              <w:snapToGrid w:val="0"/>
              <w:jc w:val="center"/>
              <w:rPr>
                <w:rFonts w:ascii="仿宋_GB2312" w:eastAsia="仿宋_GB2312"/>
                <w:color w:val="000000" w:themeColor="text1"/>
                <w:sz w:val="22"/>
              </w:rPr>
            </w:pPr>
            <w:r>
              <w:rPr>
                <w:rFonts w:ascii="仿宋_GB2312" w:eastAsia="仿宋_GB2312"/>
                <w:color w:val="000000" w:themeColor="text1"/>
                <w:sz w:val="22"/>
              </w:rPr>
              <w:t>7</w:t>
            </w:r>
          </w:p>
        </w:tc>
        <w:tc>
          <w:tcPr>
            <w:tcW w:w="636" w:type="pct"/>
            <w:shd w:val="clear" w:color="auto" w:fill="9FD3A4"/>
            <w:vAlign w:val="center"/>
          </w:tcPr>
          <w:p>
            <w:pPr>
              <w:adjustRightInd w:val="0"/>
              <w:snapToGrid w:val="0"/>
              <w:jc w:val="center"/>
              <w:rPr>
                <w:rFonts w:ascii="仿宋_GB2312" w:eastAsia="仿宋_GB2312"/>
                <w:sz w:val="22"/>
              </w:rPr>
            </w:pPr>
            <w:r>
              <w:rPr>
                <w:rFonts w:hint="eastAsia" w:ascii="仿宋_GB2312" w:eastAsia="仿宋_GB2312"/>
                <w:sz w:val="22"/>
              </w:rPr>
              <w:t>约束性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9FD3A4"/>
          <w:tblCellMar>
            <w:top w:w="0" w:type="dxa"/>
            <w:left w:w="108" w:type="dxa"/>
            <w:bottom w:w="0" w:type="dxa"/>
            <w:right w:w="108" w:type="dxa"/>
          </w:tblCellMar>
        </w:tblPrEx>
        <w:trPr>
          <w:trHeight w:val="426" w:hRule="atLeast"/>
        </w:trPr>
        <w:tc>
          <w:tcPr>
            <w:tcW w:w="508" w:type="pct"/>
            <w:vMerge w:val="continue"/>
            <w:shd w:val="clear" w:color="auto" w:fill="9FD3A4"/>
            <w:vAlign w:val="center"/>
          </w:tcPr>
          <w:p>
            <w:pPr>
              <w:adjustRightInd w:val="0"/>
              <w:snapToGrid w:val="0"/>
              <w:jc w:val="center"/>
              <w:rPr>
                <w:rFonts w:ascii="仿宋_GB2312" w:eastAsia="仿宋_GB2312"/>
                <w:sz w:val="22"/>
              </w:rPr>
            </w:pPr>
          </w:p>
        </w:tc>
        <w:tc>
          <w:tcPr>
            <w:tcW w:w="2230" w:type="pct"/>
            <w:gridSpan w:val="2"/>
            <w:shd w:val="clear" w:color="auto" w:fill="9FD3A4"/>
            <w:vAlign w:val="center"/>
          </w:tcPr>
          <w:p>
            <w:pPr>
              <w:adjustRightInd w:val="0"/>
              <w:snapToGrid w:val="0"/>
              <w:jc w:val="center"/>
              <w:rPr>
                <w:rFonts w:ascii="仿宋_GB2312" w:eastAsia="仿宋_GB2312"/>
                <w:color w:val="000000" w:themeColor="text1"/>
                <w:sz w:val="22"/>
              </w:rPr>
            </w:pPr>
            <w:r>
              <w:rPr>
                <w:rFonts w:hint="eastAsia" w:ascii="仿宋_GB2312" w:eastAsia="仿宋_GB2312"/>
                <w:color w:val="000000" w:themeColor="text1"/>
                <w:sz w:val="22"/>
              </w:rPr>
              <w:t>大中型矿山比例</w:t>
            </w:r>
          </w:p>
        </w:tc>
        <w:tc>
          <w:tcPr>
            <w:tcW w:w="945" w:type="pct"/>
            <w:shd w:val="clear" w:color="auto" w:fill="9FD3A4"/>
            <w:vAlign w:val="center"/>
          </w:tcPr>
          <w:p>
            <w:pPr>
              <w:adjustRightInd w:val="0"/>
              <w:snapToGrid w:val="0"/>
              <w:jc w:val="center"/>
              <w:rPr>
                <w:rFonts w:ascii="仿宋_GB2312" w:eastAsia="仿宋_GB2312"/>
                <w:color w:val="000000" w:themeColor="text1"/>
                <w:sz w:val="22"/>
              </w:rPr>
            </w:pPr>
            <w:r>
              <w:rPr>
                <w:rFonts w:hint="eastAsia" w:ascii="仿宋_GB2312" w:eastAsia="仿宋_GB2312"/>
                <w:color w:val="000000" w:themeColor="text1"/>
                <w:sz w:val="22"/>
              </w:rPr>
              <w:t>%</w:t>
            </w:r>
          </w:p>
        </w:tc>
        <w:tc>
          <w:tcPr>
            <w:tcW w:w="681" w:type="pct"/>
            <w:shd w:val="clear" w:color="auto" w:fill="9FD3A4"/>
            <w:vAlign w:val="center"/>
          </w:tcPr>
          <w:p>
            <w:pPr>
              <w:adjustRightInd w:val="0"/>
              <w:snapToGrid w:val="0"/>
              <w:jc w:val="center"/>
              <w:rPr>
                <w:rFonts w:ascii="仿宋_GB2312" w:eastAsia="仿宋_GB2312"/>
                <w:color w:val="000000" w:themeColor="text1"/>
                <w:sz w:val="22"/>
              </w:rPr>
            </w:pPr>
            <w:r>
              <w:rPr>
                <w:rFonts w:ascii="仿宋_GB2312" w:eastAsia="仿宋_GB2312"/>
                <w:color w:val="000000" w:themeColor="text1"/>
                <w:sz w:val="22"/>
              </w:rPr>
              <w:t>15</w:t>
            </w:r>
          </w:p>
        </w:tc>
        <w:tc>
          <w:tcPr>
            <w:tcW w:w="636" w:type="pct"/>
            <w:shd w:val="clear" w:color="auto" w:fill="9FD3A4"/>
            <w:vAlign w:val="center"/>
          </w:tcPr>
          <w:p>
            <w:pPr>
              <w:adjustRightInd w:val="0"/>
              <w:snapToGrid w:val="0"/>
              <w:jc w:val="center"/>
              <w:rPr>
                <w:rFonts w:ascii="仿宋_GB2312" w:eastAsia="仿宋_GB2312"/>
                <w:sz w:val="22"/>
              </w:rPr>
            </w:pPr>
            <w:r>
              <w:rPr>
                <w:rFonts w:hint="eastAsia" w:ascii="仿宋_GB2312" w:eastAsia="仿宋_GB2312"/>
                <w:sz w:val="22"/>
              </w:rPr>
              <w:t>预期性</w:t>
            </w:r>
          </w:p>
        </w:tc>
      </w:tr>
    </w:tbl>
    <w:p>
      <w:pPr>
        <w:pStyle w:val="7"/>
        <w:spacing w:after="0"/>
        <w:rPr>
          <w:rFonts w:ascii="仿宋_GB2312" w:eastAsia="仿宋_GB2312"/>
          <w:color w:val="000000"/>
          <w:sz w:val="22"/>
          <w:szCs w:val="21"/>
        </w:rPr>
      </w:pPr>
      <w:r>
        <w:rPr>
          <w:rFonts w:hint="eastAsia" w:ascii="仿宋_GB2312" w:eastAsia="仿宋_GB2312"/>
          <w:color w:val="000000"/>
          <w:sz w:val="22"/>
          <w:szCs w:val="21"/>
        </w:rPr>
        <w:t>注：〔〕为</w:t>
      </w:r>
      <w:r>
        <w:rPr>
          <w:rFonts w:ascii="仿宋_GB2312" w:eastAsia="仿宋_GB2312"/>
          <w:color w:val="000000"/>
          <w:sz w:val="22"/>
          <w:szCs w:val="21"/>
        </w:rPr>
        <w:t>5年累计</w:t>
      </w:r>
    </w:p>
    <w:p>
      <w:pPr>
        <w:spacing w:line="360" w:lineRule="auto"/>
        <w:ind w:firstLine="643" w:firstLineChars="200"/>
        <w:rPr>
          <w:rFonts w:ascii="仿宋_GB2312" w:eastAsia="仿宋_GB2312"/>
          <w:sz w:val="32"/>
          <w:szCs w:val="32"/>
        </w:rPr>
      </w:pPr>
      <w:r>
        <w:rPr>
          <w:rFonts w:hint="eastAsia" w:ascii="仿宋_GB2312" w:eastAsia="仿宋_GB2312"/>
          <w:b/>
          <w:bCs/>
          <w:sz w:val="32"/>
          <w:szCs w:val="32"/>
        </w:rPr>
        <w:t>矿产资源综合利用水平进一步提高。</w:t>
      </w:r>
      <w:r>
        <w:rPr>
          <w:rFonts w:hint="eastAsia" w:ascii="仿宋_GB2312" w:eastAsia="仿宋_GB2312"/>
          <w:sz w:val="32"/>
          <w:szCs w:val="32"/>
        </w:rPr>
        <w:t>合理调控开发利用强度和采矿权总数，提高矿山规模化集约化程度，矿产资源开发利用布局不断优化，矿业集中度有序提升，改进采矿技术设备及工艺，提高“三率”水平。到202</w:t>
      </w:r>
      <w:r>
        <w:rPr>
          <w:rFonts w:hint="eastAsia" w:ascii="仿宋_GB2312" w:eastAsia="仿宋_GB2312"/>
          <w:color w:val="000000" w:themeColor="text1"/>
          <w:sz w:val="32"/>
          <w:szCs w:val="32"/>
        </w:rPr>
        <w:t>5年，矿山数量增加至</w:t>
      </w:r>
      <w:r>
        <w:rPr>
          <w:rFonts w:ascii="仿宋_GB2312" w:eastAsia="仿宋_GB2312"/>
          <w:color w:val="000000" w:themeColor="text1"/>
          <w:sz w:val="32"/>
          <w:szCs w:val="32"/>
        </w:rPr>
        <w:t>7</w:t>
      </w:r>
      <w:r>
        <w:rPr>
          <w:rFonts w:hint="eastAsia" w:ascii="仿宋_GB2312" w:eastAsia="仿宋_GB2312"/>
          <w:color w:val="000000" w:themeColor="text1"/>
          <w:sz w:val="32"/>
          <w:szCs w:val="32"/>
        </w:rPr>
        <w:t>个左右，大中型矿山比例提高至</w:t>
      </w:r>
      <w:r>
        <w:rPr>
          <w:rFonts w:ascii="仿宋_GB2312" w:eastAsia="仿宋_GB2312"/>
          <w:color w:val="000000" w:themeColor="text1"/>
          <w:sz w:val="32"/>
          <w:szCs w:val="32"/>
        </w:rPr>
        <w:t>15</w:t>
      </w:r>
      <w:r>
        <w:rPr>
          <w:rFonts w:hint="eastAsia" w:ascii="仿宋_GB2312" w:eastAsia="仿宋_GB2312"/>
          <w:color w:val="000000" w:themeColor="text1"/>
          <w:sz w:val="32"/>
          <w:szCs w:val="32"/>
        </w:rPr>
        <w:t>%，矿山节约与高效利用水平显著提升，矿</w:t>
      </w:r>
      <w:r>
        <w:rPr>
          <w:rFonts w:hint="eastAsia" w:ascii="仿宋_GB2312" w:eastAsia="仿宋_GB2312"/>
          <w:sz w:val="32"/>
          <w:szCs w:val="32"/>
        </w:rPr>
        <w:t>业提质增效和转型升级取得实质性进展。</w:t>
      </w:r>
    </w:p>
    <w:p>
      <w:pPr>
        <w:pStyle w:val="7"/>
        <w:spacing w:after="0" w:line="360" w:lineRule="auto"/>
        <w:ind w:firstLine="643" w:firstLineChars="200"/>
        <w:rPr>
          <w:rFonts w:ascii="仿宋_GB2312" w:eastAsia="仿宋_GB2312" w:hAnsiTheme="minorHAnsi" w:cstheme="minorBidi"/>
          <w:sz w:val="32"/>
          <w:szCs w:val="32"/>
        </w:rPr>
      </w:pPr>
      <w:r>
        <w:rPr>
          <w:rFonts w:hint="eastAsia" w:ascii="仿宋_GB2312" w:eastAsia="仿宋_GB2312" w:hAnsiTheme="minorHAnsi" w:cstheme="minorBidi"/>
          <w:b/>
          <w:bCs/>
          <w:sz w:val="32"/>
          <w:szCs w:val="32"/>
        </w:rPr>
        <w:t>矿区生态保护环境得到有效改善。</w:t>
      </w:r>
      <w:r>
        <w:rPr>
          <w:rStyle w:val="40"/>
          <w:rFonts w:hint="default"/>
        </w:rPr>
        <w:t>严格执行矿山地质环境治理恢复基金制度，保障在建和生产矿山生态修复全面实施</w:t>
      </w:r>
      <w:r>
        <w:rPr>
          <w:rFonts w:hint="eastAsia" w:ascii="仿宋_GB2312" w:eastAsia="仿宋_GB2312" w:hAnsiTheme="minorHAnsi" w:cstheme="minorBidi"/>
          <w:sz w:val="32"/>
          <w:szCs w:val="32"/>
        </w:rPr>
        <w:t>，“边开采、边复垦”得到有效实施和监督。加强矿山生态修复的动态监督与管理，逐步规范化、信息化矿山生态修复工作。</w:t>
      </w:r>
    </w:p>
    <w:p>
      <w:pPr>
        <w:pStyle w:val="7"/>
        <w:spacing w:after="0"/>
        <w:ind w:firstLine="643"/>
        <w:rPr>
          <w:rFonts w:ascii="仿宋_GB2312" w:hAnsi="仿宋" w:eastAsia="仿宋_GB2312"/>
          <w:sz w:val="32"/>
          <w:szCs w:val="32"/>
        </w:rPr>
      </w:pPr>
      <w:r>
        <w:rPr>
          <w:rFonts w:hint="eastAsia" w:ascii="仿宋_GB2312" w:hAnsi="仿宋" w:eastAsia="仿宋_GB2312"/>
          <w:b/>
          <w:bCs/>
          <w:sz w:val="32"/>
          <w:szCs w:val="32"/>
        </w:rPr>
        <w:t>绿色矿山建设取得明显进展。</w:t>
      </w:r>
      <w:r>
        <w:rPr>
          <w:rFonts w:hint="eastAsia" w:ascii="仿宋_GB2312" w:hAnsi="仿宋" w:eastAsia="仿宋_GB2312"/>
          <w:sz w:val="32"/>
          <w:szCs w:val="32"/>
        </w:rPr>
        <w:t>按照国家、省有关绿色矿山建设要求，分类有序推进绿色矿山建设，对已建生产矿山推动企业进行升级改造和绿色化建设，对新建矿山应进行绿色矿山建设标准同步规划、设计、建设、营运。到2</w:t>
      </w:r>
      <w:r>
        <w:rPr>
          <w:rFonts w:ascii="仿宋_GB2312" w:hAnsi="仿宋" w:eastAsia="仿宋_GB2312"/>
          <w:sz w:val="32"/>
          <w:szCs w:val="32"/>
        </w:rPr>
        <w:t>025</w:t>
      </w:r>
      <w:r>
        <w:rPr>
          <w:rFonts w:hint="eastAsia" w:ascii="仿宋_GB2312" w:hAnsi="仿宋" w:eastAsia="仿宋_GB2312"/>
          <w:sz w:val="32"/>
          <w:szCs w:val="32"/>
        </w:rPr>
        <w:t>年，矿产资源开发利用效率明显提高，开采方式更加科学，矿产资源开发利用与经济社会发展生态环境保护更加协调。</w:t>
      </w:r>
    </w:p>
    <w:p>
      <w:pPr>
        <w:pStyle w:val="7"/>
        <w:spacing w:after="0" w:line="360" w:lineRule="auto"/>
        <w:ind w:firstLine="643" w:firstLineChars="200"/>
        <w:rPr>
          <w:rFonts w:ascii="仿宋_GB2312" w:eastAsia="仿宋_GB2312" w:hAnsiTheme="minorHAnsi" w:cstheme="minorBidi"/>
          <w:sz w:val="32"/>
          <w:szCs w:val="32"/>
        </w:rPr>
      </w:pPr>
      <w:r>
        <w:rPr>
          <w:rFonts w:hint="eastAsia" w:ascii="仿宋_GB2312" w:hAnsi="宋体" w:eastAsia="仿宋_GB2312" w:cs="仿宋"/>
          <w:b/>
          <w:sz w:val="32"/>
          <w:szCs w:val="32"/>
        </w:rPr>
        <w:t>矿政管理与服务水平不断提升。</w:t>
      </w:r>
      <w:r>
        <w:rPr>
          <w:rFonts w:hint="eastAsia" w:ascii="仿宋_GB2312" w:eastAsia="仿宋_GB2312" w:hAnsiTheme="minorHAnsi" w:cstheme="minorBidi"/>
          <w:sz w:val="32"/>
          <w:szCs w:val="32"/>
        </w:rPr>
        <w:t>全面推进矿产资源管理体制机制改革，行政审批效率进一步提高。推进矿产资源信息化程度，做好矿产资源储量数据库管理，加强矿山储量动态监管，配合做好矿业权勘查开采信息公示和矿业权实地核查工作。大力推进“净矿”出让，掌握辖区内矿产资源情况，做好辖区内矿业权出让前期准备工作。</w:t>
      </w:r>
    </w:p>
    <w:p>
      <w:pPr>
        <w:spacing w:line="360" w:lineRule="auto"/>
        <w:ind w:firstLine="643" w:firstLineChars="200"/>
        <w:rPr>
          <w:rFonts w:ascii="仿宋_GB2312" w:eastAsia="仿宋_GB2312"/>
          <w:b/>
          <w:bCs/>
          <w:sz w:val="32"/>
          <w:szCs w:val="32"/>
        </w:rPr>
      </w:pPr>
      <w:r>
        <w:rPr>
          <w:rFonts w:hint="eastAsia" w:ascii="仿宋_GB2312" w:eastAsia="仿宋_GB2312"/>
          <w:b/>
          <w:bCs/>
          <w:sz w:val="32"/>
          <w:szCs w:val="32"/>
        </w:rPr>
        <w:t>二、2035年展望</w:t>
      </w:r>
    </w:p>
    <w:p>
      <w:pPr>
        <w:spacing w:line="360" w:lineRule="auto"/>
        <w:ind w:firstLine="640" w:firstLineChars="200"/>
        <w:rPr>
          <w:rFonts w:eastAsia="仿宋"/>
          <w:sz w:val="36"/>
          <w:szCs w:val="36"/>
        </w:rPr>
      </w:pPr>
      <w:r>
        <w:rPr>
          <w:rFonts w:hint="eastAsia" w:ascii="仿宋_GB2312" w:eastAsia="仿宋_GB2312"/>
          <w:sz w:val="32"/>
          <w:szCs w:val="32"/>
        </w:rPr>
        <w:t>到2035年，矿产资源开发利用结构和空间布局进一步优化，资源利用效率进一步提升，矿政管理机制更加完善，资源开发与环境保护协调发展，绿色矿业格局全面形成。</w:t>
      </w:r>
    </w:p>
    <w:p>
      <w:pPr>
        <w:spacing w:line="360" w:lineRule="auto"/>
        <w:ind w:firstLine="640" w:firstLineChars="200"/>
        <w:rPr>
          <w:rFonts w:eastAsia="仿宋"/>
          <w:sz w:val="32"/>
          <w:szCs w:val="32"/>
        </w:rPr>
        <w:sectPr>
          <w:pgSz w:w="11906" w:h="16838"/>
          <w:pgMar w:top="1440" w:right="1800" w:bottom="1440" w:left="1800" w:header="851" w:footer="992" w:gutter="0"/>
          <w:cols w:space="425" w:num="1"/>
          <w:docGrid w:type="lines" w:linePitch="312" w:charSpace="0"/>
        </w:sectPr>
      </w:pPr>
    </w:p>
    <w:p>
      <w:pPr>
        <w:pStyle w:val="20"/>
        <w:ind w:firstLine="0" w:firstLineChars="0"/>
        <w:rPr>
          <w:rFonts w:ascii="黑体" w:hAnsi="黑体" w:eastAsia="黑体"/>
          <w:sz w:val="36"/>
          <w:szCs w:val="36"/>
        </w:rPr>
      </w:pPr>
      <w:bookmarkStart w:id="42" w:name="_Toc84672693"/>
      <w:bookmarkStart w:id="43" w:name="_Toc119246990"/>
      <w:bookmarkStart w:id="44" w:name="_Toc100824227"/>
      <w:bookmarkStart w:id="45" w:name="_Toc119246860"/>
      <w:r>
        <w:rPr>
          <w:rFonts w:hint="eastAsia" w:ascii="黑体" w:hAnsi="黑体" w:eastAsia="黑体"/>
          <w:sz w:val="36"/>
          <w:szCs w:val="36"/>
        </w:rPr>
        <w:t>第三章 矿产资源勘查开发与保护布局</w:t>
      </w:r>
      <w:bookmarkEnd w:id="42"/>
      <w:bookmarkEnd w:id="43"/>
      <w:bookmarkEnd w:id="44"/>
      <w:bookmarkEnd w:id="45"/>
    </w:p>
    <w:p>
      <w:pPr>
        <w:spacing w:before="156" w:beforeLines="50" w:after="156" w:afterLines="50"/>
        <w:jc w:val="center"/>
        <w:outlineLvl w:val="1"/>
        <w:rPr>
          <w:rFonts w:ascii="黑体" w:hAnsi="黑体" w:eastAsia="黑体"/>
          <w:b/>
          <w:bCs/>
          <w:sz w:val="32"/>
          <w:szCs w:val="32"/>
        </w:rPr>
      </w:pPr>
      <w:bookmarkStart w:id="46" w:name="_Toc105598152"/>
      <w:bookmarkStart w:id="47" w:name="_Toc106884657"/>
      <w:bookmarkStart w:id="48" w:name="_Toc119246991"/>
      <w:bookmarkStart w:id="49" w:name="_Toc119246861"/>
      <w:bookmarkStart w:id="50" w:name="_Toc84672694"/>
      <w:bookmarkStart w:id="51" w:name="_Toc100824228"/>
      <w:r>
        <w:rPr>
          <w:rFonts w:hint="eastAsia" w:ascii="黑体" w:hAnsi="黑体" w:eastAsia="黑体"/>
          <w:b/>
          <w:bCs/>
          <w:sz w:val="32"/>
          <w:szCs w:val="32"/>
        </w:rPr>
        <w:t>第一节</w:t>
      </w:r>
      <w:r>
        <w:rPr>
          <w:rFonts w:ascii="黑体" w:hAnsi="黑体" w:eastAsia="黑体"/>
          <w:b/>
          <w:bCs/>
          <w:sz w:val="32"/>
          <w:szCs w:val="32"/>
        </w:rPr>
        <w:t xml:space="preserve"> </w:t>
      </w:r>
      <w:bookmarkEnd w:id="46"/>
      <w:bookmarkStart w:id="52" w:name="_Hlk106890151"/>
      <w:r>
        <w:rPr>
          <w:rFonts w:hint="eastAsia" w:ascii="黑体" w:hAnsi="黑体" w:eastAsia="黑体"/>
          <w:b/>
          <w:bCs/>
          <w:sz w:val="32"/>
          <w:szCs w:val="32"/>
        </w:rPr>
        <w:t>优化勘查开发保护格局</w:t>
      </w:r>
      <w:bookmarkEnd w:id="47"/>
      <w:bookmarkEnd w:id="48"/>
      <w:bookmarkEnd w:id="49"/>
      <w:bookmarkEnd w:id="52"/>
    </w:p>
    <w:p>
      <w:pPr>
        <w:pStyle w:val="7"/>
        <w:spacing w:after="0" w:line="360" w:lineRule="auto"/>
        <w:ind w:firstLine="643" w:firstLineChars="200"/>
        <w:rPr>
          <w:rFonts w:ascii="仿宋_GB2312" w:eastAsia="仿宋_GB2312"/>
          <w:b/>
          <w:bCs/>
          <w:sz w:val="32"/>
          <w:szCs w:val="32"/>
        </w:rPr>
      </w:pPr>
      <w:r>
        <w:rPr>
          <w:rFonts w:hint="eastAsia" w:ascii="仿宋_GB2312" w:eastAsia="仿宋_GB2312"/>
          <w:b/>
          <w:bCs/>
          <w:sz w:val="32"/>
          <w:szCs w:val="32"/>
        </w:rPr>
        <w:t>一、生态保护与矿产资源勘查开发协调发展</w:t>
      </w:r>
    </w:p>
    <w:p>
      <w:pPr>
        <w:autoSpaceDE w:val="0"/>
        <w:autoSpaceDN w:val="0"/>
        <w:spacing w:line="360" w:lineRule="auto"/>
        <w:ind w:firstLine="640" w:firstLineChars="200"/>
        <w:textAlignment w:val="baseline"/>
        <w:rPr>
          <w:rFonts w:ascii="仿宋_GB2312" w:hAnsi="仿宋_GB2312" w:eastAsia="仿宋_GB2312"/>
          <w:sz w:val="32"/>
          <w:szCs w:val="32"/>
        </w:rPr>
      </w:pPr>
      <w:r>
        <w:rPr>
          <w:rFonts w:hint="eastAsia" w:ascii="仿宋_GB2312" w:hAnsi="仿宋_GB2312" w:eastAsia="仿宋_GB2312"/>
          <w:sz w:val="32"/>
          <w:szCs w:val="32"/>
          <w:lang w:val="zh-CN"/>
        </w:rPr>
        <w:t>坚定贯彻习近平生态文明思想，持续深化</w:t>
      </w:r>
      <w:r>
        <w:rPr>
          <w:rFonts w:hint="eastAsia" w:ascii="仿宋_GB2312" w:hAnsi="仿宋_GB2312" w:eastAsia="仿宋_GB2312"/>
          <w:sz w:val="32"/>
          <w:szCs w:val="32"/>
        </w:rPr>
        <w:t>“</w:t>
      </w:r>
      <w:r>
        <w:rPr>
          <w:rFonts w:hint="eastAsia" w:ascii="仿宋_GB2312" w:hAnsi="仿宋_GB2312" w:eastAsia="仿宋_GB2312"/>
          <w:sz w:val="32"/>
          <w:szCs w:val="32"/>
          <w:lang w:val="zh-CN"/>
        </w:rPr>
        <w:t>一屏四带、全域生态</w:t>
      </w:r>
      <w:r>
        <w:rPr>
          <w:rFonts w:hint="eastAsia" w:ascii="仿宋_GB2312" w:hAnsi="仿宋_GB2312" w:eastAsia="仿宋_GB2312"/>
          <w:sz w:val="32"/>
          <w:szCs w:val="32"/>
        </w:rPr>
        <w:t>”</w:t>
      </w:r>
      <w:r>
        <w:rPr>
          <w:rFonts w:hint="eastAsia" w:ascii="仿宋_GB2312" w:hAnsi="仿宋_GB2312" w:eastAsia="仿宋_GB2312"/>
          <w:sz w:val="32"/>
          <w:szCs w:val="32"/>
          <w:lang w:val="zh-CN"/>
        </w:rPr>
        <w:t>战略，大力推进</w:t>
      </w:r>
      <w:r>
        <w:rPr>
          <w:rFonts w:hint="eastAsia" w:ascii="仿宋_GB2312" w:hAnsi="仿宋_GB2312" w:eastAsia="仿宋_GB2312"/>
          <w:sz w:val="32"/>
          <w:szCs w:val="32"/>
        </w:rPr>
        <w:t>“</w:t>
      </w:r>
      <w:r>
        <w:rPr>
          <w:rFonts w:hint="eastAsia" w:ascii="仿宋_GB2312" w:hAnsi="仿宋_GB2312" w:eastAsia="仿宋_GB2312"/>
          <w:sz w:val="32"/>
          <w:szCs w:val="32"/>
          <w:lang w:val="zh-CN"/>
        </w:rPr>
        <w:t>一增一减</w:t>
      </w:r>
      <w:r>
        <w:rPr>
          <w:rFonts w:hint="eastAsia" w:ascii="仿宋_GB2312" w:hAnsi="仿宋_GB2312" w:eastAsia="仿宋_GB2312"/>
          <w:sz w:val="32"/>
          <w:szCs w:val="32"/>
        </w:rPr>
        <w:t>”</w:t>
      </w:r>
      <w:r>
        <w:rPr>
          <w:rFonts w:hint="eastAsia" w:ascii="仿宋_GB2312" w:hAnsi="仿宋_GB2312" w:eastAsia="仿宋_GB2312"/>
          <w:sz w:val="32"/>
          <w:szCs w:val="32"/>
          <w:lang w:val="zh-CN"/>
        </w:rPr>
        <w:t>措施，筑牢长江游生态安全屏障，建成国家生态文明建设示范区，促进生态保护与矿产资源勘查开发协调发展。</w:t>
      </w:r>
    </w:p>
    <w:p>
      <w:pPr>
        <w:spacing w:line="360" w:lineRule="auto"/>
        <w:ind w:firstLine="643" w:firstLineChars="200"/>
        <w:rPr>
          <w:rFonts w:ascii="仿宋_GB2312" w:eastAsia="仿宋_GB2312"/>
          <w:sz w:val="32"/>
          <w:szCs w:val="32"/>
        </w:rPr>
      </w:pPr>
      <w:r>
        <w:rPr>
          <w:rFonts w:hint="eastAsia" w:ascii="仿宋_GB2312" w:eastAsia="仿宋_GB2312"/>
          <w:b/>
          <w:bCs/>
          <w:sz w:val="32"/>
          <w:szCs w:val="32"/>
        </w:rPr>
        <w:t>严守重要生态功能区保护底线。</w:t>
      </w:r>
      <w:r>
        <w:rPr>
          <w:rFonts w:hint="eastAsia" w:ascii="仿宋_GB2312" w:eastAsia="仿宋_GB2312"/>
          <w:sz w:val="32"/>
          <w:szCs w:val="32"/>
        </w:rPr>
        <w:t>在“四川大熊猫栖息地世界自然遗产、四姑娘山国家级自然保护区、四姑娘山国家级风景名胜区、四姑娘山国家地质公园、梦笔山省级森林公园、夹金山国家级森林公园（小金部分）、宅垄猕猴自然保护区”等7个自然保护地内，严格按照各自然保护地相关法律、法规政策执行，突出生态环境保护和绿色矿业发展，严守重要生态功能区保护底线，强化资源惠民和矿地和谐。</w:t>
      </w:r>
    </w:p>
    <w:p>
      <w:pPr>
        <w:pStyle w:val="7"/>
        <w:spacing w:after="0" w:line="360" w:lineRule="auto"/>
        <w:ind w:firstLine="643" w:firstLineChars="200"/>
        <w:rPr>
          <w:rFonts w:ascii="仿宋_GB2312" w:eastAsia="仿宋_GB2312"/>
          <w:sz w:val="32"/>
          <w:szCs w:val="32"/>
        </w:rPr>
      </w:pPr>
      <w:r>
        <w:rPr>
          <w:rFonts w:hint="eastAsia" w:ascii="仿宋_GB2312" w:eastAsia="仿宋_GB2312"/>
          <w:b/>
          <w:bCs/>
          <w:sz w:val="32"/>
          <w:szCs w:val="32"/>
        </w:rPr>
        <w:t>严格落实国土空间规划布局管控要求。</w:t>
      </w:r>
      <w:r>
        <w:rPr>
          <w:rFonts w:hint="eastAsia" w:ascii="仿宋_GB2312" w:eastAsia="仿宋_GB2312"/>
          <w:sz w:val="32"/>
          <w:szCs w:val="32"/>
        </w:rPr>
        <w:t>矿产资源勘查开发要严格遵守生态保护红线、永久基本农田、城镇开发边界三条控制线的管控要求，生态红线范围内，不允许矿产资源勘查开发；在严格保护永久基本农田的原则下，做好矿产资源勘查开发;城镇开发边界内，要统筹考虑矿产资源禀赋状况与城镇建设发展需要，充分论证，协调好矿产开发与城乡建设的空间关系。法律法规对勘查开采活动有其它禁止、限制性要求的，应严格遵守相关规定。</w:t>
      </w:r>
    </w:p>
    <w:p>
      <w:pPr>
        <w:pStyle w:val="7"/>
        <w:spacing w:after="0" w:line="360" w:lineRule="auto"/>
        <w:ind w:firstLine="643" w:firstLineChars="200"/>
        <w:rPr>
          <w:rFonts w:ascii="仿宋_GB2312" w:eastAsia="仿宋_GB2312"/>
          <w:sz w:val="28"/>
          <w:szCs w:val="28"/>
        </w:rPr>
      </w:pPr>
      <w:r>
        <w:rPr>
          <w:rFonts w:hint="eastAsia" w:ascii="仿宋_GB2312" w:eastAsia="仿宋_GB2312"/>
          <w:b/>
          <w:bCs/>
          <w:sz w:val="32"/>
          <w:szCs w:val="32"/>
        </w:rPr>
        <w:t>严格不同矿种与国家公益林和基本草原征（占）用管理。</w:t>
      </w:r>
      <w:r>
        <w:rPr>
          <w:rFonts w:hint="eastAsia" w:ascii="仿宋_GB2312" w:eastAsia="仿宋_GB2312"/>
          <w:sz w:val="32"/>
          <w:szCs w:val="32"/>
        </w:rPr>
        <w:t>深入贯彻《国家林业和草原局关于印发&lt;草原征占用审核审批管理规范&gt;的通知》（林草规〔2020〕2号）、《国家林业和草原局关于&lt;建设项目使用林地审核审批管理规范&gt;的通知》林资规〔2021〕5号文件要求。矿产勘查开采严禁占用国家一级公益林，三类矿产开发利用原则上不得占用国家二级以上公益林，除三类矿产以外的矿产勘查开采需办理林地占用手续。矿产勘查开采需办理占用草原的手续。落实上级规划，做好矿山生态修复工作，切实筑牢长江上游生态屏障。</w:t>
      </w:r>
    </w:p>
    <w:p>
      <w:pPr>
        <w:spacing w:line="360" w:lineRule="auto"/>
        <w:ind w:firstLine="643" w:firstLineChars="200"/>
        <w:rPr>
          <w:rFonts w:ascii="仿宋_GB2312" w:hAnsi="Times New Roman" w:eastAsia="仿宋_GB2312" w:cs="Times New Roman"/>
          <w:b/>
          <w:bCs/>
          <w:sz w:val="32"/>
          <w:szCs w:val="32"/>
        </w:rPr>
      </w:pPr>
      <w:r>
        <w:rPr>
          <w:rFonts w:hint="eastAsia" w:ascii="仿宋_GB2312" w:hAnsi="Times New Roman" w:eastAsia="仿宋_GB2312" w:cs="Times New Roman"/>
          <w:b/>
          <w:bCs/>
          <w:sz w:val="32"/>
          <w:szCs w:val="32"/>
        </w:rPr>
        <w:t>二、布局矿产资源产业重点发展区域</w:t>
      </w:r>
    </w:p>
    <w:p>
      <w:pPr>
        <w:spacing w:line="360" w:lineRule="auto"/>
        <w:ind w:firstLine="640" w:firstLineChars="200"/>
        <w:rPr>
          <w:rFonts w:ascii="仿宋_GB2312" w:eastAsia="仿宋_GB2312"/>
          <w:sz w:val="32"/>
          <w:szCs w:val="32"/>
        </w:rPr>
      </w:pPr>
      <w:r>
        <w:rPr>
          <w:rFonts w:hint="eastAsia" w:ascii="仿宋_GB2312" w:eastAsia="仿宋_GB2312"/>
          <w:sz w:val="32"/>
          <w:szCs w:val="32"/>
        </w:rPr>
        <w:t>结合小金县国民经济和社会发展相关产业空间布局，综合考虑经济社会发展、资源禀赋、开发现状、产业转型和资源环境承载力等特点，优化矿产资源产业布局，推进矿产资源开发与区域发展、产业升级、生态保护、城乡建设相协调，促进矿业高质量发展。</w:t>
      </w:r>
    </w:p>
    <w:p>
      <w:pPr>
        <w:spacing w:line="360" w:lineRule="auto"/>
        <w:ind w:firstLine="643" w:firstLineChars="200"/>
        <w:rPr>
          <w:rFonts w:eastAsia="仿宋"/>
          <w:sz w:val="32"/>
          <w:szCs w:val="32"/>
        </w:rPr>
      </w:pPr>
      <w:r>
        <w:rPr>
          <w:rFonts w:hint="eastAsia" w:ascii="仿宋_GB2312" w:eastAsia="仿宋_GB2312" w:cs="仿宋_GB2312"/>
          <w:b/>
          <w:kern w:val="0"/>
          <w:sz w:val="32"/>
          <w:szCs w:val="32"/>
        </w:rPr>
        <w:t>北西部钨、钼战略性矿产资源重点发展区。</w:t>
      </w:r>
      <w:r>
        <w:rPr>
          <w:rFonts w:hint="eastAsia" w:ascii="仿宋_GB2312" w:eastAsia="仿宋_GB2312"/>
          <w:sz w:val="32"/>
          <w:szCs w:val="32"/>
        </w:rPr>
        <w:t>主要包括县域北西部水海子、干海子、小草坝等区域，已设置多个钨、钼等重要战略性矿产资源矿业权，按照“生态优先、绿色发展”原则，在妥善处理矿产资源勘查开发与生态环境保护的前提下，绿色、低碳地开展矿产资源勘查工作，集约节约开发利用已探明的矿产资源，为国家重要战略性矿产资源安全保障做出贡献。</w:t>
      </w:r>
    </w:p>
    <w:p>
      <w:pPr>
        <w:spacing w:line="360" w:lineRule="auto"/>
        <w:ind w:firstLine="643" w:firstLineChars="200"/>
        <w:rPr>
          <w:rFonts w:ascii="仿宋_GB2312" w:eastAsia="仿宋_GB2312"/>
          <w:sz w:val="32"/>
          <w:szCs w:val="32"/>
        </w:rPr>
      </w:pPr>
      <w:r>
        <w:rPr>
          <w:rFonts w:hint="eastAsia" w:ascii="仿宋_GB2312" w:eastAsia="仿宋_GB2312" w:cs="仿宋_GB2312"/>
          <w:b/>
          <w:kern w:val="0"/>
          <w:sz w:val="32"/>
          <w:szCs w:val="32"/>
        </w:rPr>
        <w:t>南西部有色、贵金属-建材矿产资源重点发展区。</w:t>
      </w:r>
      <w:r>
        <w:rPr>
          <w:rFonts w:hint="eastAsia" w:ascii="仿宋_GB2312" w:eastAsia="仿宋_GB2312"/>
          <w:sz w:val="32"/>
          <w:szCs w:val="32"/>
        </w:rPr>
        <w:t>主要包括县域南西部董家沟-落河硐-门子沟一带，已设置多个金矿、饰面用大理岩矿业权，是县域内已设生产矿山的主要集中区域。引导矿山企业加强对该区域已设矿业权的延伸勘查，增加矿区资源储量，推进矿山规模化开采。同时，引导矿山企业引进先进设备、技术、工艺，提高开采回采率、选矿回收率和综合利用率，促进资源综合利用，推进节能减排降耗，大力发展绿色低碳经济。</w:t>
      </w:r>
    </w:p>
    <w:p>
      <w:pPr>
        <w:spacing w:before="156" w:beforeLines="50" w:after="156" w:afterLines="50"/>
        <w:jc w:val="center"/>
        <w:outlineLvl w:val="1"/>
        <w:rPr>
          <w:rFonts w:ascii="黑体" w:hAnsi="黑体" w:eastAsia="黑体"/>
          <w:b/>
          <w:bCs/>
          <w:sz w:val="32"/>
          <w:szCs w:val="32"/>
        </w:rPr>
      </w:pPr>
      <w:bookmarkStart w:id="53" w:name="_Toc105598151"/>
      <w:bookmarkStart w:id="54" w:name="_Toc106884658"/>
      <w:bookmarkStart w:id="55" w:name="_Toc119246992"/>
      <w:bookmarkStart w:id="56" w:name="_Toc119246862"/>
      <w:r>
        <w:rPr>
          <w:rFonts w:hint="eastAsia" w:ascii="黑体" w:hAnsi="黑体" w:eastAsia="黑体"/>
          <w:b/>
          <w:bCs/>
          <w:sz w:val="32"/>
          <w:szCs w:val="32"/>
        </w:rPr>
        <w:t>第二节</w:t>
      </w:r>
      <w:r>
        <w:rPr>
          <w:rFonts w:ascii="黑体" w:hAnsi="黑体" w:eastAsia="黑体"/>
          <w:b/>
          <w:bCs/>
          <w:sz w:val="32"/>
          <w:szCs w:val="32"/>
        </w:rPr>
        <w:t xml:space="preserve"> </w:t>
      </w:r>
      <w:r>
        <w:rPr>
          <w:rFonts w:hint="eastAsia" w:ascii="黑体" w:hAnsi="黑体" w:eastAsia="黑体"/>
          <w:b/>
          <w:bCs/>
          <w:sz w:val="32"/>
          <w:szCs w:val="32"/>
        </w:rPr>
        <w:t>落实上级规划总体布局</w:t>
      </w:r>
      <w:bookmarkEnd w:id="53"/>
      <w:bookmarkEnd w:id="54"/>
      <w:bookmarkEnd w:id="55"/>
      <w:bookmarkEnd w:id="56"/>
    </w:p>
    <w:p>
      <w:pPr>
        <w:autoSpaceDE w:val="0"/>
        <w:autoSpaceDN w:val="0"/>
        <w:spacing w:line="360" w:lineRule="auto"/>
        <w:ind w:firstLine="640" w:firstLineChars="200"/>
        <w:textAlignment w:val="baseline"/>
        <w:rPr>
          <w:rFonts w:ascii="仿宋_GB2312" w:hAnsi="仿宋_GB2312" w:eastAsia="仿宋_GB2312"/>
          <w:sz w:val="32"/>
          <w:szCs w:val="24"/>
        </w:rPr>
      </w:pPr>
      <w:bookmarkStart w:id="57" w:name="_Toc74178569"/>
      <w:bookmarkStart w:id="58" w:name="_Toc459305042"/>
      <w:bookmarkStart w:id="59" w:name="_Toc106884659"/>
      <w:bookmarkStart w:id="60" w:name="_Toc439859803"/>
      <w:bookmarkStart w:id="61" w:name="_Toc74177795"/>
      <w:r>
        <w:rPr>
          <w:rFonts w:hint="eastAsia" w:ascii="仿宋_GB2312" w:hAnsi="仿宋_GB2312" w:eastAsia="仿宋_GB2312"/>
          <w:sz w:val="32"/>
          <w:szCs w:val="24"/>
        </w:rPr>
        <w:t>进一步加强与中央、地方公益性地质矿产调查工作的衔接，开展1∶5 万-1∶2.5 万矿产地质调查和资源潜力评价工作，圈定找矿靶区和新发现矿产地，引导商业性找矿勘查工作。</w:t>
      </w:r>
      <w:r>
        <w:rPr>
          <w:rFonts w:hint="eastAsia" w:ascii="仿宋_GB2312" w:hAnsi="仿宋_GB2312" w:eastAsia="仿宋_GB2312"/>
          <w:sz w:val="32"/>
          <w:szCs w:val="24"/>
          <w:lang w:val="zh-CN"/>
        </w:rPr>
        <w:t>落实上级规划川西地区地热资源调查评价重点矿种矿产资源调查工程，</w:t>
      </w:r>
      <w:r>
        <w:rPr>
          <w:rFonts w:hint="eastAsia" w:ascii="仿宋_GB2312" w:hAnsi="仿宋_GB2312" w:eastAsia="仿宋_GB2312"/>
          <w:sz w:val="32"/>
          <w:szCs w:val="32"/>
          <w:lang w:val="zh-CN"/>
        </w:rPr>
        <w:t>积极衔接上级规划，争取财政配套资金，力争发现一批可开发利用中高温地热资源地，推动其探矿权出让，引导社会勘查资金投入</w:t>
      </w:r>
      <w:r>
        <w:rPr>
          <w:rFonts w:hint="eastAsia" w:ascii="仿宋_GB2312" w:hAnsi="仿宋_GB2312" w:eastAsia="仿宋_GB2312"/>
          <w:sz w:val="32"/>
          <w:szCs w:val="24"/>
          <w:lang w:val="zh-CN"/>
        </w:rPr>
        <w:t>。</w:t>
      </w:r>
    </w:p>
    <w:p>
      <w:pPr>
        <w:spacing w:before="156" w:beforeLines="50" w:after="156" w:afterLines="50"/>
        <w:jc w:val="center"/>
        <w:outlineLvl w:val="1"/>
        <w:rPr>
          <w:rFonts w:ascii="黑体" w:hAnsi="黑体" w:eastAsia="黑体"/>
          <w:b/>
          <w:bCs/>
          <w:sz w:val="32"/>
          <w:szCs w:val="32"/>
        </w:rPr>
      </w:pPr>
      <w:bookmarkStart w:id="62" w:name="_Toc119246863"/>
      <w:bookmarkStart w:id="63" w:name="_Toc119246993"/>
      <w:r>
        <w:rPr>
          <w:rFonts w:hint="eastAsia" w:ascii="黑体" w:hAnsi="黑体" w:eastAsia="黑体"/>
          <w:b/>
          <w:bCs/>
          <w:sz w:val="32"/>
          <w:szCs w:val="32"/>
        </w:rPr>
        <w:t>第三节 矿产资源勘查开发调控方向</w:t>
      </w:r>
      <w:bookmarkEnd w:id="57"/>
      <w:bookmarkEnd w:id="58"/>
      <w:bookmarkEnd w:id="59"/>
      <w:bookmarkEnd w:id="60"/>
      <w:bookmarkEnd w:id="61"/>
      <w:bookmarkEnd w:id="62"/>
      <w:bookmarkEnd w:id="63"/>
    </w:p>
    <w:p>
      <w:pPr>
        <w:spacing w:line="360" w:lineRule="auto"/>
        <w:ind w:firstLine="643" w:firstLineChars="200"/>
        <w:rPr>
          <w:rFonts w:ascii="仿宋_GB2312" w:eastAsia="仿宋_GB2312"/>
          <w:sz w:val="32"/>
          <w:szCs w:val="32"/>
        </w:rPr>
      </w:pPr>
      <w:bookmarkStart w:id="64" w:name="_Toc106884660"/>
      <w:bookmarkStart w:id="65" w:name="_Toc5453"/>
      <w:bookmarkStart w:id="66" w:name="_Toc515888180"/>
      <w:r>
        <w:rPr>
          <w:rFonts w:hint="eastAsia" w:ascii="仿宋_GB2312" w:eastAsia="仿宋_GB2312"/>
          <w:b/>
          <w:bCs/>
          <w:sz w:val="32"/>
          <w:szCs w:val="32"/>
        </w:rPr>
        <w:t>重点勘查矿种。</w:t>
      </w:r>
      <w:r>
        <w:rPr>
          <w:rFonts w:hint="eastAsia" w:ascii="仿宋_GB2312" w:eastAsia="仿宋_GB2312"/>
          <w:sz w:val="32"/>
          <w:szCs w:val="32"/>
        </w:rPr>
        <w:t>落实州规划要求，结合实际情况，立足现有矿业权，重点勘查钨、钼等矿产，</w:t>
      </w:r>
      <w:r>
        <w:rPr>
          <w:rFonts w:hint="eastAsia" w:ascii="仿宋_GB2312" w:hAnsi="宋体" w:eastAsia="仿宋_GB2312"/>
          <w:bCs/>
          <w:snapToGrid w:val="0"/>
          <w:kern w:val="0"/>
          <w:sz w:val="32"/>
          <w:szCs w:val="32"/>
        </w:rPr>
        <w:t>配套旅游产业重点勘查地热（矿泉水）。</w:t>
      </w:r>
      <w:r>
        <w:rPr>
          <w:rFonts w:hint="eastAsia" w:ascii="仿宋_GB2312" w:eastAsia="仿宋_GB2312"/>
          <w:sz w:val="32"/>
          <w:szCs w:val="32"/>
        </w:rPr>
        <w:t>通过督促矿业权人加大勘查投入、采用先进的勘查技术和勘查手段等措施加快资源勘查，摸清钨矿、钼矿、地热等重点矿种资源家底。</w:t>
      </w:r>
    </w:p>
    <w:p>
      <w:pPr>
        <w:widowControl/>
        <w:ind w:firstLine="643"/>
        <w:jc w:val="left"/>
        <w:rPr>
          <w:rFonts w:ascii="仿宋_GB2312" w:hAnsi="宋体" w:eastAsia="仿宋_GB2312"/>
          <w:bCs/>
          <w:snapToGrid w:val="0"/>
          <w:kern w:val="0"/>
          <w:sz w:val="32"/>
          <w:szCs w:val="32"/>
        </w:rPr>
      </w:pPr>
      <w:r>
        <w:rPr>
          <w:rFonts w:hint="eastAsia" w:ascii="仿宋_GB2312" w:hAnsi="宋体" w:eastAsia="仿宋_GB2312"/>
          <w:b/>
          <w:bCs/>
          <w:snapToGrid w:val="0"/>
          <w:kern w:val="0"/>
          <w:sz w:val="32"/>
          <w:szCs w:val="32"/>
        </w:rPr>
        <w:t>禁止勘查矿种。</w:t>
      </w:r>
      <w:r>
        <w:rPr>
          <w:rFonts w:hint="eastAsia" w:ascii="仿宋_GB2312" w:hAnsi="宋体" w:eastAsia="仿宋_GB2312"/>
          <w:bCs/>
          <w:snapToGrid w:val="0"/>
          <w:kern w:val="0"/>
          <w:sz w:val="32"/>
          <w:szCs w:val="32"/>
        </w:rPr>
        <w:t>禁止勘查</w:t>
      </w:r>
      <w:r>
        <w:rPr>
          <w:rFonts w:ascii="仿宋_GB2312" w:hAnsi="宋体" w:eastAsia="仿宋_GB2312" w:cs="仿宋_GB2312"/>
          <w:kern w:val="0"/>
          <w:sz w:val="31"/>
          <w:szCs w:val="31"/>
          <w:lang w:bidi="ar"/>
        </w:rPr>
        <w:t>硫铁矿</w:t>
      </w:r>
      <w:r>
        <w:rPr>
          <w:rFonts w:hint="eastAsia" w:ascii="仿宋_GB2312" w:hAnsi="宋体" w:eastAsia="仿宋_GB2312" w:cs="仿宋_GB2312"/>
          <w:kern w:val="0"/>
          <w:sz w:val="31"/>
          <w:szCs w:val="31"/>
          <w:lang w:bidi="ar"/>
        </w:rPr>
        <w:t>、泥炭等</w:t>
      </w:r>
      <w:r>
        <w:rPr>
          <w:rFonts w:hint="eastAsia" w:ascii="仿宋_GB2312" w:hAnsi="宋体" w:eastAsia="仿宋_GB2312"/>
          <w:bCs/>
          <w:snapToGrid w:val="0"/>
          <w:kern w:val="0"/>
          <w:sz w:val="32"/>
          <w:szCs w:val="32"/>
        </w:rPr>
        <w:t>产能过剩、对生态环境影响较大、受国家产业政策限制的矿产。</w:t>
      </w:r>
    </w:p>
    <w:p>
      <w:pPr>
        <w:spacing w:line="360" w:lineRule="auto"/>
        <w:ind w:firstLine="643" w:firstLineChars="200"/>
        <w:rPr>
          <w:rFonts w:ascii="仿宋_GB2312" w:eastAsia="仿宋_GB2312"/>
          <w:sz w:val="32"/>
          <w:szCs w:val="32"/>
        </w:rPr>
      </w:pPr>
      <w:r>
        <w:rPr>
          <w:rFonts w:hint="eastAsia" w:ascii="仿宋_GB2312" w:eastAsia="仿宋_GB2312"/>
          <w:b/>
          <w:bCs/>
          <w:sz w:val="32"/>
          <w:szCs w:val="32"/>
        </w:rPr>
        <w:t>重点开采矿种。</w:t>
      </w:r>
      <w:r>
        <w:rPr>
          <w:rFonts w:hint="eastAsia" w:ascii="仿宋_GB2312" w:eastAsia="仿宋_GB2312"/>
          <w:sz w:val="32"/>
          <w:szCs w:val="32"/>
        </w:rPr>
        <w:t>钨矿、钼矿、金矿。在确保生态、安全等前提下，督促小草坝矿业权人进行矿山生产建设，投入生产。</w:t>
      </w:r>
    </w:p>
    <w:p>
      <w:pPr>
        <w:ind w:firstLine="643"/>
        <w:rPr>
          <w:rFonts w:ascii="仿宋_GB2312" w:hAnsi="宋体" w:eastAsia="仿宋_GB2312"/>
          <w:bCs/>
          <w:snapToGrid w:val="0"/>
          <w:kern w:val="0"/>
          <w:sz w:val="32"/>
          <w:szCs w:val="32"/>
        </w:rPr>
      </w:pPr>
      <w:r>
        <w:rPr>
          <w:rFonts w:hint="eastAsia" w:ascii="仿宋_GB2312" w:hAnsi="宋体" w:eastAsia="仿宋_GB2312"/>
          <w:b/>
          <w:bCs/>
          <w:snapToGrid w:val="0"/>
          <w:kern w:val="0"/>
          <w:sz w:val="32"/>
          <w:szCs w:val="32"/>
        </w:rPr>
        <w:t>限制开采矿种。</w:t>
      </w:r>
      <w:r>
        <w:rPr>
          <w:rFonts w:hint="eastAsia" w:ascii="仿宋_GB2312" w:hAnsi="宋体" w:eastAsia="仿宋_GB2312"/>
          <w:bCs/>
          <w:snapToGrid w:val="0"/>
          <w:kern w:val="0"/>
          <w:sz w:val="32"/>
          <w:szCs w:val="32"/>
        </w:rPr>
        <w:t>限制开采大理石等对大渡河流域产生破坏的矿产。立足现已有矿权和开采规模，不新增采矿权和扩大开采规模。</w:t>
      </w:r>
    </w:p>
    <w:p>
      <w:pPr>
        <w:spacing w:line="360" w:lineRule="auto"/>
        <w:ind w:firstLine="643" w:firstLineChars="200"/>
        <w:rPr>
          <w:b/>
          <w:bCs/>
          <w:sz w:val="32"/>
          <w:szCs w:val="32"/>
        </w:rPr>
      </w:pPr>
      <w:r>
        <w:rPr>
          <w:rFonts w:hint="eastAsia" w:ascii="仿宋_GB2312" w:hAnsi="宋体" w:eastAsia="仿宋_GB2312"/>
          <w:b/>
          <w:bCs/>
          <w:snapToGrid w:val="0"/>
          <w:kern w:val="0"/>
          <w:sz w:val="32"/>
          <w:szCs w:val="32"/>
        </w:rPr>
        <w:t>禁止开采矿种。</w:t>
      </w:r>
      <w:r>
        <w:rPr>
          <w:rFonts w:hint="eastAsia" w:ascii="仿宋_GB2312" w:hAnsi="宋体" w:eastAsia="仿宋_GB2312"/>
          <w:bCs/>
          <w:snapToGrid w:val="0"/>
          <w:kern w:val="0"/>
          <w:sz w:val="32"/>
          <w:szCs w:val="32"/>
        </w:rPr>
        <w:t>禁止开采</w:t>
      </w:r>
      <w:r>
        <w:rPr>
          <w:rFonts w:ascii="仿宋_GB2312" w:hAnsi="宋体" w:eastAsia="仿宋_GB2312" w:cs="仿宋_GB2312"/>
          <w:kern w:val="0"/>
          <w:sz w:val="31"/>
          <w:szCs w:val="31"/>
          <w:lang w:bidi="ar"/>
        </w:rPr>
        <w:t>砂金、湿地泥炭、</w:t>
      </w:r>
      <w:r>
        <w:rPr>
          <w:rFonts w:hint="eastAsia" w:ascii="仿宋_GB2312" w:hAnsi="宋体" w:eastAsia="仿宋_GB2312"/>
          <w:bCs/>
          <w:snapToGrid w:val="0"/>
          <w:kern w:val="0"/>
          <w:sz w:val="32"/>
          <w:szCs w:val="32"/>
        </w:rPr>
        <w:t>可耕地砖瓦用粘土矿等对生态环境破坏较大的矿产</w:t>
      </w:r>
      <w:r>
        <w:rPr>
          <w:rFonts w:hint="eastAsia" w:ascii="仿宋_GB2312" w:eastAsia="仿宋_GB2312"/>
          <w:sz w:val="32"/>
          <w:szCs w:val="32"/>
        </w:rPr>
        <w:t>。</w:t>
      </w:r>
    </w:p>
    <w:p>
      <w:pPr>
        <w:spacing w:before="156" w:beforeLines="50" w:after="156" w:afterLines="50"/>
        <w:jc w:val="center"/>
        <w:outlineLvl w:val="1"/>
        <w:rPr>
          <w:rFonts w:ascii="黑体" w:hAnsi="黑体" w:eastAsia="黑体"/>
          <w:b/>
          <w:bCs/>
          <w:sz w:val="32"/>
          <w:szCs w:val="32"/>
        </w:rPr>
      </w:pPr>
      <w:bookmarkStart w:id="67" w:name="_Toc119246994"/>
      <w:bookmarkStart w:id="68" w:name="_Toc119246864"/>
      <w:r>
        <w:rPr>
          <w:rFonts w:hint="eastAsia" w:ascii="黑体" w:hAnsi="黑体" w:eastAsia="黑体"/>
          <w:b/>
          <w:bCs/>
          <w:sz w:val="32"/>
          <w:szCs w:val="32"/>
        </w:rPr>
        <w:t>第四节 合理设置勘查开采区块</w:t>
      </w:r>
      <w:bookmarkEnd w:id="64"/>
      <w:bookmarkEnd w:id="67"/>
      <w:bookmarkEnd w:id="68"/>
    </w:p>
    <w:bookmarkEnd w:id="65"/>
    <w:bookmarkEnd w:id="66"/>
    <w:p>
      <w:pPr>
        <w:spacing w:line="360" w:lineRule="auto"/>
        <w:ind w:firstLine="643" w:firstLineChars="200"/>
        <w:rPr>
          <w:rFonts w:ascii="仿宋_GB2312" w:hAnsi="仿宋" w:eastAsia="仿宋_GB2312"/>
          <w:b/>
          <w:bCs/>
          <w:sz w:val="32"/>
          <w:szCs w:val="32"/>
        </w:rPr>
      </w:pPr>
      <w:r>
        <w:rPr>
          <w:rFonts w:hint="eastAsia" w:ascii="仿宋_GB2312" w:hAnsi="仿宋" w:eastAsia="仿宋_GB2312"/>
          <w:b/>
          <w:bCs/>
          <w:sz w:val="32"/>
          <w:szCs w:val="32"/>
        </w:rPr>
        <w:t>一、严格落实勘查开采规划区块设置原则</w:t>
      </w:r>
    </w:p>
    <w:p>
      <w:pPr>
        <w:autoSpaceDE w:val="0"/>
        <w:autoSpaceDN w:val="0"/>
        <w:spacing w:line="360" w:lineRule="auto"/>
        <w:ind w:firstLine="640" w:firstLineChars="200"/>
        <w:rPr>
          <w:rFonts w:ascii="仿宋_GB2312" w:hAnsi="宋体" w:eastAsia="仿宋_GB2312"/>
          <w:bCs/>
          <w:snapToGrid w:val="0"/>
          <w:kern w:val="0"/>
          <w:sz w:val="32"/>
          <w:szCs w:val="32"/>
        </w:rPr>
      </w:pPr>
      <w:r>
        <w:rPr>
          <w:rFonts w:hint="eastAsia" w:ascii="仿宋_GB2312" w:hAnsi="宋体" w:eastAsia="仿宋_GB2312"/>
          <w:bCs/>
          <w:snapToGrid w:val="0"/>
          <w:kern w:val="0"/>
          <w:sz w:val="32"/>
          <w:szCs w:val="32"/>
        </w:rPr>
        <w:t>除地热、矿泉水及非金属建材类矿产因生态保护红线、永久基本农田等条件限制外，勘查规划区块面积原则上不得小于一个基本单位区块，并提出规划准入条件建议，包括勘查矿种、勘查程度、出让方式、出让时序、绿色勘查、及进一步勘查或退出条件等。设立、整合矿业权，应以划定的勘查规划区块为依据，且符合规划准入条件。</w:t>
      </w:r>
    </w:p>
    <w:p>
      <w:pPr>
        <w:autoSpaceDE w:val="0"/>
        <w:autoSpaceDN w:val="0"/>
        <w:spacing w:line="360" w:lineRule="auto"/>
        <w:ind w:firstLine="640" w:firstLineChars="200"/>
        <w:rPr>
          <w:rFonts w:ascii="仿宋_GB2312" w:hAnsi="宋体" w:eastAsia="仿宋_GB2312"/>
          <w:bCs/>
          <w:snapToGrid w:val="0"/>
          <w:kern w:val="0"/>
          <w:sz w:val="32"/>
          <w:szCs w:val="32"/>
        </w:rPr>
      </w:pPr>
      <w:r>
        <w:rPr>
          <w:rFonts w:hint="eastAsia" w:ascii="仿宋_GB2312" w:hAnsi="宋体" w:eastAsia="仿宋_GB2312"/>
          <w:bCs/>
          <w:snapToGrid w:val="0"/>
          <w:kern w:val="0"/>
          <w:sz w:val="32"/>
          <w:szCs w:val="32"/>
        </w:rPr>
        <w:t>新设置地热和矿泉水勘查规划区块的，应结合地质情况，确保不影响周边或相邻一定区域范围内已设置地热、矿泉水及地下取水点。同一勘查规划区内在对主矿产进行勘查评价的同时，应对其它矿产按勘查规范综合勘查，加强区内具有工业价值共伴生矿产的综合评价，并计算其资源量。</w:t>
      </w:r>
    </w:p>
    <w:p>
      <w:pPr>
        <w:autoSpaceDE w:val="0"/>
        <w:autoSpaceDN w:val="0"/>
        <w:spacing w:line="360" w:lineRule="auto"/>
        <w:ind w:firstLine="640" w:firstLineChars="200"/>
        <w:rPr>
          <w:rFonts w:ascii="仿宋_GB2312" w:hAnsi="宋体" w:eastAsia="仿宋_GB2312"/>
          <w:bCs/>
          <w:snapToGrid w:val="0"/>
          <w:kern w:val="0"/>
          <w:sz w:val="32"/>
          <w:szCs w:val="32"/>
        </w:rPr>
      </w:pPr>
      <w:r>
        <w:rPr>
          <w:rFonts w:hint="eastAsia" w:ascii="仿宋_GB2312" w:hAnsi="宋体" w:eastAsia="仿宋_GB2312"/>
          <w:bCs/>
          <w:snapToGrid w:val="0"/>
          <w:kern w:val="0"/>
          <w:sz w:val="32"/>
          <w:szCs w:val="32"/>
        </w:rPr>
        <w:t>露天矿产开采规划区块设置应保持一定安全距离，并充分论证影响开采安全的自然条件，尽量做到不留边坡或少留边坡、禁止高陡边坡开采。严格落实生态、农业、城镇三类空间及其根据其划定的生态保护红线、永久基本农田和城镇开发边界三条控制线和自然保护地管控要求。为筑牢长江上游生态安全屏障，大渡河两岸3公里范围内，除国家和省级重点高速公路、铁路建设项目以及已设探矿权转采矿权外，原则上不新设露天开采规划区块。为确保生态景观不受影响，铁路、高速公路两侧可视范围内原则上不得新设露天开采规划区块，确实需要规划设置开采区块，需充分论证，经主管部门审查、审核同意。</w:t>
      </w:r>
    </w:p>
    <w:p>
      <w:pPr>
        <w:spacing w:line="360" w:lineRule="auto"/>
        <w:ind w:firstLine="643" w:firstLineChars="200"/>
        <w:rPr>
          <w:rFonts w:ascii="仿宋_GB2312" w:hAnsi="仿宋" w:eastAsia="仿宋_GB2312"/>
          <w:b/>
          <w:bCs/>
          <w:sz w:val="32"/>
          <w:szCs w:val="32"/>
        </w:rPr>
      </w:pPr>
      <w:r>
        <w:rPr>
          <w:rFonts w:hint="eastAsia" w:ascii="仿宋_GB2312" w:hAnsi="仿宋" w:eastAsia="仿宋_GB2312"/>
          <w:b/>
          <w:bCs/>
          <w:sz w:val="32"/>
          <w:szCs w:val="32"/>
        </w:rPr>
        <w:t>二、认真落实加强勘查开采规划区块管理工作</w:t>
      </w:r>
    </w:p>
    <w:p>
      <w:pPr>
        <w:autoSpaceDE w:val="0"/>
        <w:autoSpaceDN w:val="0"/>
        <w:spacing w:line="360" w:lineRule="auto"/>
        <w:ind w:firstLine="640" w:firstLineChars="200"/>
        <w:rPr>
          <w:rFonts w:ascii="仿宋_GB2312" w:hAnsi="宋体" w:eastAsia="仿宋_GB2312"/>
          <w:bCs/>
          <w:snapToGrid w:val="0"/>
          <w:color w:val="FF0000"/>
          <w:kern w:val="0"/>
          <w:sz w:val="32"/>
          <w:szCs w:val="32"/>
        </w:rPr>
      </w:pPr>
      <w:r>
        <w:rPr>
          <w:rFonts w:hint="eastAsia" w:ascii="仿宋_GB2312" w:hAnsi="宋体" w:eastAsia="仿宋_GB2312"/>
          <w:bCs/>
          <w:snapToGrid w:val="0"/>
          <w:kern w:val="0"/>
          <w:sz w:val="32"/>
          <w:szCs w:val="32"/>
        </w:rPr>
        <w:t>属部省、州级出让登记权限的矿种，勘查开采规划区块应分别报经省、州自然资源主管部门同意后划定。包含或切割已设矿业权范围的勘查开采规划区块，划定前需征求相关矿业权人的意见，维护其合法权益。设立、整合矿业权，应以划定的勘查开采规划区块为依据，且符合规划准入条件。</w:t>
      </w:r>
    </w:p>
    <w:p>
      <w:pPr>
        <w:tabs>
          <w:tab w:val="right" w:leader="middleDot" w:pos="8505"/>
        </w:tabs>
        <w:spacing w:line="360" w:lineRule="auto"/>
        <w:ind w:firstLine="643" w:firstLineChars="200"/>
        <w:rPr>
          <w:rFonts w:ascii="仿宋_GB2312" w:eastAsia="仿宋_GB2312"/>
          <w:b/>
          <w:bCs/>
          <w:sz w:val="32"/>
          <w:szCs w:val="32"/>
        </w:rPr>
      </w:pPr>
      <w:r>
        <w:rPr>
          <w:rFonts w:hint="eastAsia" w:ascii="仿宋_GB2312" w:eastAsia="仿宋_GB2312"/>
          <w:b/>
          <w:bCs/>
          <w:sz w:val="32"/>
          <w:szCs w:val="32"/>
        </w:rPr>
        <w:t>三、落实省级划定勘查开采规划区块</w:t>
      </w:r>
    </w:p>
    <w:p>
      <w:pPr>
        <w:spacing w:line="360" w:lineRule="auto"/>
        <w:ind w:firstLine="640" w:firstLineChars="200"/>
        <w:rPr>
          <w:rFonts w:ascii="仿宋_GB2312" w:eastAsia="仿宋_GB2312"/>
          <w:sz w:val="32"/>
          <w:szCs w:val="32"/>
        </w:rPr>
      </w:pPr>
      <w:r>
        <w:rPr>
          <w:rFonts w:hint="eastAsia" w:ascii="仿宋_GB2312" w:eastAsia="仿宋_GB2312"/>
          <w:sz w:val="32"/>
          <w:szCs w:val="32"/>
        </w:rPr>
        <w:t>落实四川省矿产资源总体规划（2021-2025）划定开采规划区块1个。</w:t>
      </w:r>
    </w:p>
    <w:p>
      <w:pPr>
        <w:spacing w:line="360" w:lineRule="auto"/>
        <w:ind w:firstLine="640" w:firstLineChars="200"/>
        <w:rPr>
          <w:rFonts w:ascii="仿宋_GB2312" w:eastAsia="仿宋_GB2312"/>
          <w:sz w:val="32"/>
          <w:szCs w:val="32"/>
        </w:rPr>
      </w:pPr>
      <w:r>
        <w:rPr>
          <w:rFonts w:hint="eastAsia" w:ascii="仿宋_GB2312" w:eastAsia="仿宋_GB2312"/>
          <w:sz w:val="32"/>
          <w:szCs w:val="32"/>
        </w:rPr>
        <w:t>四川省小金县抚边乡小草坝钨钼矿，开采主矿种为钨矿，区块面积，22.96平方公里，钨矿石资源量4983.5万吨，钼矿石资源量 222.2 万吨，为已有探矿权转采矿权，以划定矿区范围为准。</w:t>
      </w:r>
      <w:r>
        <w:rPr>
          <w:rFonts w:hint="eastAsia" w:ascii="仿宋_GB2312" w:hAnsi="宋体" w:eastAsia="仿宋_GB2312"/>
          <w:bCs/>
          <w:snapToGrid w:val="0"/>
          <w:kern w:val="0"/>
          <w:sz w:val="32"/>
          <w:szCs w:val="32"/>
        </w:rPr>
        <w:t>积极做好开采规划区块内生产要素和资源配置，在生产力布局、基础设施建设、用矿用地用林、重大项目安排及相关产业政策方面给予重点支持和保障。</w:t>
      </w:r>
    </w:p>
    <w:p>
      <w:pPr>
        <w:tabs>
          <w:tab w:val="right" w:leader="middleDot" w:pos="8505"/>
        </w:tabs>
        <w:spacing w:line="360" w:lineRule="auto"/>
        <w:ind w:firstLine="643" w:firstLineChars="200"/>
        <w:rPr>
          <w:rFonts w:ascii="仿宋_GB2312" w:eastAsia="仿宋_GB2312"/>
          <w:b/>
          <w:bCs/>
          <w:sz w:val="32"/>
          <w:szCs w:val="32"/>
        </w:rPr>
      </w:pPr>
      <w:r>
        <w:rPr>
          <w:rFonts w:hint="eastAsia" w:ascii="仿宋_GB2312" w:eastAsia="仿宋_GB2312"/>
          <w:b/>
          <w:bCs/>
          <w:sz w:val="32"/>
          <w:szCs w:val="32"/>
        </w:rPr>
        <w:t>四、严格矿产资源勘查开发管理</w:t>
      </w:r>
    </w:p>
    <w:p>
      <w:pPr>
        <w:tabs>
          <w:tab w:val="right" w:leader="middleDot" w:pos="8505"/>
        </w:tabs>
        <w:spacing w:line="360" w:lineRule="auto"/>
        <w:ind w:firstLine="643" w:firstLineChars="200"/>
        <w:rPr>
          <w:rFonts w:ascii="仿宋_GB2312" w:eastAsia="仿宋_GB2312"/>
          <w:b/>
          <w:bCs/>
          <w:sz w:val="32"/>
          <w:szCs w:val="32"/>
        </w:rPr>
      </w:pPr>
      <w:r>
        <w:rPr>
          <w:rFonts w:hint="eastAsia" w:ascii="仿宋_GB2312" w:eastAsia="仿宋_GB2312"/>
          <w:b/>
          <w:sz w:val="32"/>
          <w:szCs w:val="32"/>
        </w:rPr>
        <w:t>全面推行绿色勘查和绿色矿山建设。</w:t>
      </w:r>
      <w:r>
        <w:rPr>
          <w:rFonts w:hint="eastAsia" w:ascii="仿宋_GB2312" w:eastAsia="仿宋_GB2312"/>
          <w:bCs/>
          <w:snapToGrid w:val="0"/>
          <w:sz w:val="32"/>
          <w:szCs w:val="32"/>
        </w:rPr>
        <w:t>探矿权在勘查过程中，必须严格按照</w:t>
      </w:r>
      <w:r>
        <w:rPr>
          <w:rFonts w:hint="eastAsia" w:ascii="仿宋_GB2312" w:eastAsia="仿宋_GB2312"/>
          <w:bCs/>
          <w:sz w:val="32"/>
          <w:szCs w:val="32"/>
        </w:rPr>
        <w:t>《绿色勘查指南》、《绿色地质勘查工作规范》（DZ/T0374-2021）等相关要求，最大限度地避免或减轻勘查活动对生态环境的扰动、污染和破坏。根据</w:t>
      </w:r>
      <w:r>
        <w:rPr>
          <w:rFonts w:hint="eastAsia" w:ascii="仿宋_GB2312" w:hAnsi="宋体" w:eastAsia="仿宋_GB2312"/>
          <w:sz w:val="32"/>
          <w:szCs w:val="32"/>
        </w:rPr>
        <w:t>《关于加快建设绿色矿山的实施意见》（国土资规〔2017〕4号）等文件，</w:t>
      </w:r>
      <w:r>
        <w:rPr>
          <w:rFonts w:hint="eastAsia" w:ascii="仿宋_GB2312" w:eastAsia="仿宋_GB2312"/>
          <w:bCs/>
          <w:sz w:val="32"/>
          <w:szCs w:val="32"/>
        </w:rPr>
        <w:t>新立采矿权</w:t>
      </w:r>
      <w:r>
        <w:rPr>
          <w:rFonts w:hint="eastAsia" w:ascii="仿宋_GB2312" w:eastAsia="仿宋_GB2312"/>
          <w:bCs/>
          <w:snapToGrid w:val="0"/>
          <w:sz w:val="32"/>
          <w:szCs w:val="32"/>
        </w:rPr>
        <w:t>必须达到绿色矿山建设规范要求；鼓励已设采矿权积极推进绿色矿山建设相关工作。鼓励矿山企业和地勘单位申报绿色勘查或矿山示范项目，在土地使用、矿业权指标投放等向示范项目倾斜。鼓励矿山企业、地勘单位、科研院校等部门积极申报矿产资源节约和综合利用先进适用技术，促进推广应用，推进矿业开发绿色低碳和高效利用。</w:t>
      </w:r>
    </w:p>
    <w:p>
      <w:pPr>
        <w:spacing w:line="360" w:lineRule="auto"/>
        <w:ind w:firstLine="643" w:firstLineChars="200"/>
        <w:rPr>
          <w:rFonts w:ascii="仿宋_GB2312" w:eastAsia="仿宋_GB2312"/>
          <w:b/>
          <w:sz w:val="32"/>
          <w:szCs w:val="32"/>
        </w:rPr>
      </w:pPr>
      <w:r>
        <w:rPr>
          <w:rFonts w:hint="eastAsia" w:ascii="仿宋_GB2312" w:eastAsia="仿宋_GB2312"/>
          <w:b/>
          <w:snapToGrid w:val="0"/>
          <w:sz w:val="32"/>
          <w:szCs w:val="32"/>
        </w:rPr>
        <w:t>进一步规范矿业权登记管理。</w:t>
      </w:r>
      <w:r>
        <w:rPr>
          <w:rFonts w:hint="eastAsia" w:ascii="仿宋_GB2312" w:eastAsia="仿宋_GB2312"/>
          <w:bCs/>
          <w:snapToGrid w:val="0"/>
          <w:sz w:val="32"/>
          <w:szCs w:val="32"/>
        </w:rPr>
        <w:t>严格执行</w:t>
      </w:r>
      <w:r>
        <w:rPr>
          <w:rFonts w:hint="eastAsia" w:ascii="仿宋_GB2312" w:eastAsia="仿宋_GB2312"/>
          <w:sz w:val="32"/>
          <w:szCs w:val="32"/>
        </w:rPr>
        <w:t>《四川省自然资源厅关于贯彻落实《自然资源部关于推进矿产资源管理改革若干事项的意见（试行）》的通知》（川自然资规2020</w:t>
      </w:r>
      <w:r>
        <w:rPr>
          <w:rFonts w:hint="eastAsia" w:ascii="仿宋_GB2312" w:hAnsi="仿宋" w:eastAsia="仿宋_GB2312"/>
          <w:sz w:val="32"/>
          <w:szCs w:val="32"/>
        </w:rPr>
        <w:t>〔</w:t>
      </w:r>
      <w:r>
        <w:rPr>
          <w:rFonts w:hint="eastAsia" w:ascii="仿宋_GB2312" w:eastAsia="仿宋_GB2312"/>
          <w:sz w:val="32"/>
          <w:szCs w:val="32"/>
        </w:rPr>
        <w:t>9</w:t>
      </w:r>
      <w:r>
        <w:rPr>
          <w:rFonts w:hint="eastAsia" w:ascii="仿宋_GB2312" w:hAnsi="仿宋" w:eastAsia="仿宋_GB2312"/>
          <w:sz w:val="32"/>
          <w:szCs w:val="32"/>
        </w:rPr>
        <w:t>〕</w:t>
      </w:r>
      <w:r>
        <w:rPr>
          <w:rFonts w:hint="eastAsia" w:ascii="仿宋_GB2312" w:eastAsia="仿宋_GB2312"/>
          <w:sz w:val="32"/>
          <w:szCs w:val="32"/>
        </w:rPr>
        <w:t>号），</w:t>
      </w:r>
      <w:r>
        <w:rPr>
          <w:rFonts w:hint="eastAsia" w:ascii="仿宋_GB2312" w:eastAsia="仿宋_GB2312"/>
          <w:bCs/>
          <w:snapToGrid w:val="0"/>
          <w:sz w:val="32"/>
          <w:szCs w:val="32"/>
        </w:rPr>
        <w:t>积极推进矿业权“净矿”出让，进一步优化矿业权管控模式。全面推进矿业权竞争性出让工作，做好辖区内矿业权出让前期准备工作。严格控制矿业权协议出让，除已有采矿权平面垂直投影范围的同类矿产（普通建筑用砂石土类矿产除外）、需利用原有生产系统进一步勘查开采矿产资源的，可以协议出让外，其余均需公开竞争出让。加强矿山储量动态监管，扎实推进矿产资源储量管理改革。</w:t>
      </w:r>
    </w:p>
    <w:p>
      <w:pPr>
        <w:spacing w:line="360" w:lineRule="auto"/>
        <w:ind w:firstLine="643" w:firstLineChars="200"/>
        <w:rPr>
          <w:rFonts w:ascii="仿宋_GB2312" w:eastAsia="仿宋_GB2312"/>
          <w:bCs/>
          <w:snapToGrid w:val="0"/>
          <w:sz w:val="32"/>
          <w:szCs w:val="32"/>
        </w:rPr>
      </w:pPr>
      <w:r>
        <w:rPr>
          <w:rFonts w:hint="eastAsia" w:ascii="仿宋_GB2312" w:eastAsia="仿宋_GB2312"/>
          <w:b/>
          <w:snapToGrid w:val="0"/>
          <w:sz w:val="32"/>
          <w:szCs w:val="32"/>
        </w:rPr>
        <w:t>进一步加强矿业权退出管理。</w:t>
      </w:r>
      <w:r>
        <w:rPr>
          <w:rFonts w:hint="eastAsia" w:ascii="仿宋_GB2312" w:eastAsia="仿宋_GB2312"/>
          <w:bCs/>
          <w:snapToGrid w:val="0"/>
          <w:sz w:val="32"/>
          <w:szCs w:val="32"/>
        </w:rPr>
        <w:t>已有矿业权与生态保护红线、自然保护地等禁止限制区域重叠的要按相关要求主动退出或避让。采矿权到期前应及时办理延续手续，如有特殊原因无法延续，应说明原因，因资料不齐，无法延续的，原则上应在两年内完成相关资料再申请办理延续。</w:t>
      </w:r>
    </w:p>
    <w:p>
      <w:pPr>
        <w:spacing w:line="360" w:lineRule="auto"/>
        <w:ind w:firstLine="643" w:firstLineChars="200"/>
        <w:rPr>
          <w:rFonts w:ascii="仿宋_GB2312" w:eastAsia="仿宋_GB2312"/>
          <w:bCs/>
          <w:snapToGrid w:val="0"/>
          <w:sz w:val="28"/>
          <w:szCs w:val="28"/>
        </w:rPr>
      </w:pPr>
      <w:r>
        <w:rPr>
          <w:rFonts w:hint="eastAsia" w:ascii="仿宋_GB2312" w:eastAsia="仿宋_GB2312"/>
          <w:b/>
          <w:snapToGrid w:val="0"/>
          <w:sz w:val="32"/>
          <w:szCs w:val="32"/>
        </w:rPr>
        <w:t>鼓励社会资本投资矿产勘查。</w:t>
      </w:r>
      <w:r>
        <w:rPr>
          <w:rFonts w:hint="eastAsia" w:ascii="仿宋_GB2312" w:eastAsia="仿宋_GB2312"/>
          <w:bCs/>
          <w:snapToGrid w:val="0"/>
          <w:sz w:val="32"/>
          <w:szCs w:val="32"/>
        </w:rPr>
        <w:t>进一步开放矿产勘查市场，鼓励、支持和引导具有较强的经济实力、抗风险能力、具备相应地质找矿技术和管理力量的社会投资主体投入地质勘查工作。探索矿产勘查多渠道投入新机制，助力国家资源安全保障战略。</w:t>
      </w:r>
    </w:p>
    <w:bookmarkEnd w:id="50"/>
    <w:bookmarkEnd w:id="51"/>
    <w:p>
      <w:pPr>
        <w:spacing w:line="360" w:lineRule="auto"/>
        <w:ind w:firstLine="640" w:firstLineChars="200"/>
        <w:rPr>
          <w:rFonts w:eastAsia="仿宋"/>
          <w:sz w:val="32"/>
          <w:szCs w:val="32"/>
        </w:rPr>
      </w:pPr>
    </w:p>
    <w:p>
      <w:pPr>
        <w:spacing w:line="360" w:lineRule="auto"/>
        <w:ind w:firstLine="640" w:firstLineChars="200"/>
        <w:rPr>
          <w:rFonts w:eastAsia="仿宋"/>
          <w:sz w:val="32"/>
          <w:szCs w:val="32"/>
        </w:rPr>
        <w:sectPr>
          <w:pgSz w:w="11906" w:h="16838"/>
          <w:pgMar w:top="1440" w:right="1800" w:bottom="1440" w:left="1800" w:header="851" w:footer="992" w:gutter="0"/>
          <w:cols w:space="425" w:num="1"/>
          <w:docGrid w:type="lines" w:linePitch="312" w:charSpace="0"/>
        </w:sectPr>
      </w:pPr>
    </w:p>
    <w:p>
      <w:pPr>
        <w:pStyle w:val="20"/>
        <w:ind w:firstLine="0" w:firstLineChars="0"/>
        <w:rPr>
          <w:rFonts w:ascii="黑体" w:hAnsi="黑体" w:eastAsia="黑体"/>
          <w:sz w:val="36"/>
          <w:szCs w:val="36"/>
        </w:rPr>
      </w:pPr>
      <w:bookmarkStart w:id="69" w:name="_Toc119246995"/>
      <w:bookmarkStart w:id="70" w:name="_Toc84672697"/>
      <w:bookmarkStart w:id="71" w:name="_Toc100824231"/>
      <w:bookmarkStart w:id="72" w:name="_Toc119246865"/>
      <w:r>
        <w:rPr>
          <w:rFonts w:hint="eastAsia" w:ascii="黑体" w:hAnsi="黑体" w:eastAsia="黑体"/>
          <w:sz w:val="36"/>
          <w:szCs w:val="36"/>
        </w:rPr>
        <w:t>第四章 加强矿产资源勘查开发利用与保护</w:t>
      </w:r>
      <w:bookmarkEnd w:id="69"/>
      <w:bookmarkEnd w:id="70"/>
      <w:bookmarkEnd w:id="71"/>
      <w:bookmarkEnd w:id="72"/>
    </w:p>
    <w:p>
      <w:pPr>
        <w:spacing w:before="156" w:beforeLines="50" w:after="156" w:afterLines="50"/>
        <w:jc w:val="center"/>
        <w:outlineLvl w:val="1"/>
        <w:rPr>
          <w:rFonts w:ascii="黑体" w:hAnsi="黑体" w:eastAsia="黑体"/>
          <w:b/>
          <w:bCs/>
          <w:sz w:val="32"/>
          <w:szCs w:val="32"/>
        </w:rPr>
      </w:pPr>
      <w:bookmarkStart w:id="73" w:name="_Toc84672698"/>
      <w:bookmarkStart w:id="74" w:name="_Toc100824232"/>
      <w:bookmarkStart w:id="75" w:name="_Toc119246996"/>
      <w:bookmarkStart w:id="76" w:name="_Toc119246866"/>
      <w:r>
        <w:rPr>
          <w:rFonts w:hint="eastAsia" w:ascii="黑体" w:hAnsi="黑体" w:eastAsia="黑体"/>
          <w:b/>
          <w:bCs/>
          <w:sz w:val="32"/>
          <w:szCs w:val="32"/>
        </w:rPr>
        <w:t>第一节 合理调控资源开发强度</w:t>
      </w:r>
      <w:bookmarkEnd w:id="73"/>
      <w:bookmarkEnd w:id="74"/>
      <w:bookmarkEnd w:id="75"/>
      <w:bookmarkEnd w:id="76"/>
    </w:p>
    <w:p>
      <w:pPr>
        <w:pStyle w:val="36"/>
        <w:adjustRightInd/>
        <w:spacing w:line="360" w:lineRule="auto"/>
        <w:ind w:firstLine="640" w:firstLineChars="200"/>
        <w:jc w:val="both"/>
        <w:rPr>
          <w:rFonts w:hAnsi="宋体"/>
          <w:color w:val="auto"/>
          <w:sz w:val="32"/>
          <w:szCs w:val="32"/>
        </w:rPr>
      </w:pPr>
      <w:r>
        <w:rPr>
          <w:rFonts w:hint="eastAsia" w:hAnsi="宋体"/>
          <w:color w:val="auto"/>
          <w:sz w:val="32"/>
          <w:szCs w:val="32"/>
        </w:rPr>
        <w:t>结合矿产资源分布、矿产资源需求、</w:t>
      </w:r>
      <w:r>
        <w:rPr>
          <w:rFonts w:hint="eastAsia" w:hAnsi="宋体" w:cs="仿宋"/>
          <w:color w:val="auto"/>
          <w:kern w:val="2"/>
          <w:sz w:val="32"/>
          <w:szCs w:val="32"/>
        </w:rPr>
        <w:t>经济社会发展水平，加强对矿产资源开采总量和采矿权投放总量双调控。</w:t>
      </w:r>
      <w:r>
        <w:rPr>
          <w:rFonts w:hint="eastAsia" w:hAnsi="宋体" w:cs="Times New Roman"/>
          <w:color w:val="auto"/>
          <w:sz w:val="32"/>
          <w:szCs w:val="32"/>
        </w:rPr>
        <w:t>强化矿产资源开采总量配额指标分配落实以及执行情况的监督管理，</w:t>
      </w:r>
      <w:r>
        <w:rPr>
          <w:rFonts w:hint="eastAsia" w:hAnsi="宋体" w:cs="仿宋"/>
          <w:color w:val="auto"/>
          <w:kern w:val="2"/>
          <w:sz w:val="32"/>
          <w:szCs w:val="32"/>
        </w:rPr>
        <w:t>重要优势矿产的生产总量调控指标落实上级规划，</w:t>
      </w:r>
      <w:r>
        <w:rPr>
          <w:rFonts w:hint="eastAsia" w:hAnsi="宋体" w:cs="Times New Roman"/>
          <w:color w:val="auto"/>
          <w:sz w:val="32"/>
          <w:szCs w:val="32"/>
        </w:rPr>
        <w:t>全部目标落实到生产矿山。</w:t>
      </w:r>
    </w:p>
    <w:p>
      <w:pPr>
        <w:pStyle w:val="7"/>
        <w:spacing w:after="0" w:line="360" w:lineRule="auto"/>
        <w:ind w:firstLine="643" w:firstLineChars="200"/>
        <w:rPr>
          <w:rFonts w:ascii="仿宋_GB2312" w:eastAsia="仿宋_GB2312"/>
          <w:b/>
          <w:bCs/>
          <w:sz w:val="32"/>
          <w:szCs w:val="32"/>
        </w:rPr>
      </w:pPr>
      <w:r>
        <w:rPr>
          <w:rFonts w:hint="eastAsia" w:ascii="仿宋_GB2312" w:eastAsia="仿宋_GB2312"/>
          <w:b/>
          <w:bCs/>
          <w:sz w:val="32"/>
          <w:szCs w:val="32"/>
        </w:rPr>
        <w:t>一、合理确定矿山总量</w:t>
      </w:r>
    </w:p>
    <w:p>
      <w:pPr>
        <w:pStyle w:val="36"/>
        <w:adjustRightInd/>
        <w:spacing w:line="360" w:lineRule="auto"/>
        <w:ind w:firstLine="640" w:firstLineChars="200"/>
        <w:jc w:val="both"/>
        <w:rPr>
          <w:rFonts w:hAnsi="宋体"/>
          <w:color w:val="auto"/>
          <w:sz w:val="32"/>
          <w:szCs w:val="32"/>
        </w:rPr>
      </w:pPr>
      <w:r>
        <w:rPr>
          <w:rFonts w:hint="eastAsia"/>
          <w:color w:val="auto"/>
          <w:sz w:val="32"/>
          <w:szCs w:val="32"/>
        </w:rPr>
        <w:t>小金县共有有效采矿权</w:t>
      </w:r>
      <w:r>
        <w:rPr>
          <w:color w:val="auto"/>
          <w:sz w:val="32"/>
          <w:szCs w:val="32"/>
        </w:rPr>
        <w:t>5</w:t>
      </w:r>
      <w:r>
        <w:rPr>
          <w:rFonts w:hint="eastAsia"/>
          <w:color w:val="auto"/>
          <w:sz w:val="32"/>
          <w:szCs w:val="32"/>
        </w:rPr>
        <w:t>宗，另有1宗正在办理延续1宗</w:t>
      </w:r>
      <w:r>
        <w:rPr>
          <w:rFonts w:hint="eastAsia" w:hAnsi="宋体"/>
          <w:color w:val="auto"/>
          <w:sz w:val="32"/>
          <w:szCs w:val="32"/>
        </w:rPr>
        <w:t>，根据资源环境承载能力、矿产品市场供需形势及经济社会发展需求，到2025年底，矿山设置总数预计增加至</w:t>
      </w:r>
      <w:r>
        <w:rPr>
          <w:rFonts w:hAnsi="宋体"/>
          <w:color w:val="auto"/>
          <w:sz w:val="32"/>
          <w:szCs w:val="32"/>
        </w:rPr>
        <w:t>7</w:t>
      </w:r>
      <w:r>
        <w:rPr>
          <w:rFonts w:hint="eastAsia" w:hAnsi="宋体"/>
          <w:color w:val="auto"/>
          <w:sz w:val="32"/>
          <w:szCs w:val="32"/>
        </w:rPr>
        <w:t>个，其中金属矿山增加至3个，非金属矿山数量保持在</w:t>
      </w:r>
      <w:r>
        <w:rPr>
          <w:rFonts w:hAnsi="宋体"/>
          <w:color w:val="auto"/>
          <w:sz w:val="32"/>
          <w:szCs w:val="32"/>
        </w:rPr>
        <w:t>4</w:t>
      </w:r>
      <w:r>
        <w:rPr>
          <w:rFonts w:hint="eastAsia" w:hAnsi="宋体"/>
          <w:color w:val="auto"/>
          <w:sz w:val="32"/>
          <w:szCs w:val="32"/>
        </w:rPr>
        <w:t>个。</w:t>
      </w:r>
    </w:p>
    <w:p>
      <w:pPr>
        <w:pStyle w:val="7"/>
        <w:spacing w:after="0" w:line="360" w:lineRule="auto"/>
        <w:ind w:firstLine="643" w:firstLineChars="200"/>
        <w:rPr>
          <w:rFonts w:ascii="仿宋_GB2312" w:eastAsia="仿宋_GB2312"/>
          <w:b/>
          <w:bCs/>
          <w:sz w:val="32"/>
          <w:szCs w:val="32"/>
        </w:rPr>
      </w:pPr>
      <w:r>
        <w:rPr>
          <w:rFonts w:hint="eastAsia" w:ascii="仿宋_GB2312" w:eastAsia="仿宋_GB2312"/>
          <w:b/>
          <w:bCs/>
          <w:sz w:val="32"/>
          <w:szCs w:val="32"/>
        </w:rPr>
        <w:t>二、重要矿产开采总量调控</w:t>
      </w:r>
    </w:p>
    <w:p>
      <w:pPr>
        <w:spacing w:line="360" w:lineRule="auto"/>
        <w:ind w:firstLine="640" w:firstLineChars="200"/>
        <w:rPr>
          <w:rFonts w:ascii="仿宋_GB2312" w:eastAsia="仿宋_GB2312"/>
          <w:sz w:val="32"/>
          <w:szCs w:val="32"/>
        </w:rPr>
      </w:pPr>
      <w:r>
        <w:rPr>
          <w:rFonts w:hint="eastAsia" w:ascii="仿宋_GB2312" w:eastAsia="仿宋_GB2312"/>
          <w:sz w:val="32"/>
          <w:szCs w:val="32"/>
        </w:rPr>
        <w:t>十四五期间，通过对矿产资源开发利用进行调控布局，未来需求量大的矿种需增加开采总量，对需求相对饱和的矿种，适当控制其开采总量。</w:t>
      </w:r>
    </w:p>
    <w:p>
      <w:pPr>
        <w:spacing w:line="360" w:lineRule="auto"/>
        <w:ind w:firstLine="643" w:firstLineChars="200"/>
        <w:rPr>
          <w:rFonts w:ascii="仿宋_GB2312" w:hAnsi="宋体" w:eastAsia="仿宋_GB2312" w:cs="宋体"/>
          <w:b/>
          <w:bCs/>
          <w:kern w:val="0"/>
          <w:sz w:val="32"/>
          <w:szCs w:val="32"/>
        </w:rPr>
      </w:pPr>
      <w:r>
        <w:rPr>
          <w:rFonts w:hint="eastAsia" w:ascii="仿宋_GB2312" w:hAnsi="宋体" w:eastAsia="仿宋_GB2312" w:cs="宋体"/>
          <w:b/>
          <w:bCs/>
          <w:kern w:val="0"/>
          <w:sz w:val="32"/>
          <w:szCs w:val="32"/>
        </w:rPr>
        <w:t>钨矿。</w:t>
      </w:r>
      <w:r>
        <w:rPr>
          <w:rFonts w:hint="eastAsia" w:ascii="仿宋_GB2312" w:hAnsi="宋体" w:eastAsia="仿宋_GB2312" w:cs="宋体"/>
          <w:sz w:val="32"/>
          <w:szCs w:val="32"/>
        </w:rPr>
        <w:t>现有</w:t>
      </w:r>
      <w:r>
        <w:rPr>
          <w:rFonts w:ascii="仿宋_GB2312" w:hAnsi="宋体" w:eastAsia="仿宋_GB2312" w:cs="宋体"/>
          <w:sz w:val="32"/>
          <w:szCs w:val="32"/>
        </w:rPr>
        <w:t>1</w:t>
      </w:r>
      <w:r>
        <w:rPr>
          <w:rFonts w:hint="eastAsia" w:ascii="仿宋_GB2312" w:hAnsi="宋体" w:eastAsia="仿宋_GB2312" w:cs="宋体"/>
          <w:sz w:val="32"/>
          <w:szCs w:val="32"/>
        </w:rPr>
        <w:t>个有效探矿权，落实</w:t>
      </w:r>
      <w:r>
        <w:rPr>
          <w:rFonts w:hint="eastAsia" w:ascii="仿宋_GB2312" w:eastAsia="仿宋_GB2312"/>
          <w:sz w:val="32"/>
          <w:szCs w:val="32"/>
        </w:rPr>
        <w:t>四川省矿产资源总体规划（2021-2025）探转采矿业权1个，</w:t>
      </w:r>
      <w:r>
        <w:rPr>
          <w:rFonts w:hint="eastAsia" w:ascii="仿宋_GB2312" w:hAnsi="宋体" w:eastAsia="仿宋_GB2312" w:cs="宋体"/>
          <w:sz w:val="32"/>
          <w:szCs w:val="32"/>
        </w:rPr>
        <w:t>到2025年底，采矿</w:t>
      </w:r>
      <w:r>
        <w:rPr>
          <w:rFonts w:hint="eastAsia" w:ascii="仿宋_GB2312" w:hAnsi="宋体" w:eastAsia="仿宋_GB2312"/>
          <w:sz w:val="32"/>
          <w:szCs w:val="32"/>
        </w:rPr>
        <w:t>权数量增加至1个，</w:t>
      </w:r>
      <w:r>
        <w:rPr>
          <w:rFonts w:hint="eastAsia" w:ascii="仿宋_GB2312" w:hAnsi="宋体" w:eastAsia="仿宋_GB2312" w:cs="宋体"/>
          <w:sz w:val="32"/>
          <w:szCs w:val="32"/>
        </w:rPr>
        <w:t>年产能</w:t>
      </w:r>
      <w:r>
        <w:rPr>
          <w:rFonts w:hint="eastAsia" w:ascii="仿宋_GB2312" w:hAnsi="宋体" w:eastAsia="仿宋_GB2312"/>
          <w:sz w:val="32"/>
          <w:szCs w:val="32"/>
        </w:rPr>
        <w:t>力争达到</w:t>
      </w:r>
      <w:r>
        <w:rPr>
          <w:rFonts w:ascii="仿宋_GB2312" w:hAnsi="宋体" w:eastAsia="仿宋_GB2312"/>
          <w:sz w:val="32"/>
          <w:szCs w:val="32"/>
        </w:rPr>
        <w:t>360</w:t>
      </w:r>
      <w:r>
        <w:rPr>
          <w:rFonts w:hint="eastAsia" w:ascii="仿宋_GB2312" w:hAnsi="宋体" w:eastAsia="仿宋_GB2312"/>
          <w:sz w:val="32"/>
          <w:szCs w:val="32"/>
        </w:rPr>
        <w:t>万吨左右。</w:t>
      </w:r>
    </w:p>
    <w:p>
      <w:pPr>
        <w:spacing w:line="360" w:lineRule="auto"/>
        <w:ind w:firstLine="643" w:firstLineChars="200"/>
        <w:rPr>
          <w:rFonts w:ascii="仿宋_GB2312" w:hAnsi="宋体" w:eastAsia="仿宋_GB2312" w:cs="宋体"/>
          <w:b/>
          <w:bCs/>
          <w:kern w:val="0"/>
          <w:sz w:val="32"/>
          <w:szCs w:val="32"/>
        </w:rPr>
      </w:pPr>
      <w:r>
        <w:rPr>
          <w:rFonts w:hint="eastAsia" w:ascii="仿宋_GB2312" w:hAnsi="宋体" w:eastAsia="仿宋_GB2312" w:cs="宋体"/>
          <w:b/>
          <w:bCs/>
          <w:kern w:val="0"/>
          <w:sz w:val="32"/>
          <w:szCs w:val="32"/>
        </w:rPr>
        <w:t>金矿。</w:t>
      </w:r>
      <w:r>
        <w:rPr>
          <w:rFonts w:hint="eastAsia" w:ascii="仿宋_GB2312" w:hAnsi="宋体" w:eastAsia="仿宋_GB2312" w:cs="宋体"/>
          <w:sz w:val="32"/>
          <w:szCs w:val="32"/>
        </w:rPr>
        <w:t>现有2个有效采矿权，年产能4.5万吨，到2025年底，</w:t>
      </w:r>
      <w:r>
        <w:rPr>
          <w:rFonts w:hint="eastAsia" w:ascii="仿宋_GB2312" w:hAnsi="宋体" w:eastAsia="仿宋_GB2312"/>
          <w:sz w:val="32"/>
          <w:szCs w:val="32"/>
        </w:rPr>
        <w:t>矿权数量保持在2个左右，</w:t>
      </w:r>
      <w:r>
        <w:rPr>
          <w:rFonts w:hint="eastAsia" w:ascii="仿宋_GB2312" w:hAnsi="宋体" w:eastAsia="仿宋_GB2312" w:cs="宋体"/>
          <w:sz w:val="32"/>
          <w:szCs w:val="32"/>
        </w:rPr>
        <w:t>年产能力争</w:t>
      </w:r>
      <w:r>
        <w:rPr>
          <w:rFonts w:hint="eastAsia" w:ascii="仿宋_GB2312" w:hAnsi="宋体" w:eastAsia="仿宋_GB2312"/>
          <w:sz w:val="32"/>
          <w:szCs w:val="32"/>
        </w:rPr>
        <w:t>达到7.5万吨左右。</w:t>
      </w:r>
    </w:p>
    <w:p>
      <w:pPr>
        <w:spacing w:line="360" w:lineRule="auto"/>
        <w:ind w:firstLine="643" w:firstLineChars="200"/>
        <w:rPr>
          <w:rFonts w:ascii="仿宋_GB2312" w:hAnsi="宋体" w:eastAsia="仿宋_GB2312" w:cs="宋体"/>
          <w:b/>
          <w:bCs/>
          <w:kern w:val="0"/>
          <w:sz w:val="32"/>
          <w:szCs w:val="32"/>
        </w:rPr>
      </w:pPr>
      <w:r>
        <w:rPr>
          <w:rFonts w:hint="eastAsia" w:ascii="仿宋_GB2312" w:hAnsi="宋体" w:eastAsia="仿宋_GB2312" w:cs="宋体"/>
          <w:b/>
          <w:bCs/>
          <w:kern w:val="0"/>
          <w:sz w:val="32"/>
          <w:szCs w:val="32"/>
        </w:rPr>
        <w:t>饰面用大理岩矿。</w:t>
      </w:r>
      <w:r>
        <w:rPr>
          <w:rFonts w:hint="eastAsia" w:ascii="仿宋_GB2312" w:eastAsia="仿宋_GB2312"/>
          <w:sz w:val="32"/>
          <w:szCs w:val="32"/>
        </w:rPr>
        <w:t xml:space="preserve"> 现有3个</w:t>
      </w:r>
      <w:r>
        <w:rPr>
          <w:rFonts w:hint="eastAsia" w:ascii="仿宋_GB2312" w:hAnsi="宋体" w:eastAsia="仿宋_GB2312" w:cs="宋体"/>
          <w:sz w:val="32"/>
          <w:szCs w:val="32"/>
        </w:rPr>
        <w:t>有效采矿权，年产能达到3万立方米，到2025年底，</w:t>
      </w:r>
      <w:r>
        <w:rPr>
          <w:rFonts w:hint="eastAsia" w:ascii="仿宋_GB2312" w:hAnsi="宋体" w:eastAsia="仿宋_GB2312"/>
          <w:sz w:val="32"/>
          <w:szCs w:val="32"/>
        </w:rPr>
        <w:t>矿权数量保持在</w:t>
      </w:r>
      <w:r>
        <w:rPr>
          <w:rFonts w:ascii="仿宋_GB2312" w:hAnsi="宋体" w:eastAsia="仿宋_GB2312"/>
          <w:sz w:val="32"/>
          <w:szCs w:val="32"/>
        </w:rPr>
        <w:t>3</w:t>
      </w:r>
      <w:r>
        <w:rPr>
          <w:rFonts w:hint="eastAsia" w:ascii="仿宋_GB2312" w:hAnsi="宋体" w:eastAsia="仿宋_GB2312"/>
          <w:sz w:val="32"/>
          <w:szCs w:val="32"/>
        </w:rPr>
        <w:t>个左右，</w:t>
      </w:r>
      <w:r>
        <w:rPr>
          <w:rFonts w:hint="eastAsia" w:ascii="仿宋_GB2312" w:hAnsi="宋体" w:eastAsia="仿宋_GB2312" w:cs="宋体"/>
          <w:sz w:val="32"/>
          <w:szCs w:val="32"/>
        </w:rPr>
        <w:t>年产能保持3万立方米左右。</w:t>
      </w:r>
    </w:p>
    <w:p>
      <w:pPr>
        <w:pStyle w:val="7"/>
        <w:spacing w:after="0" w:line="360" w:lineRule="auto"/>
        <w:ind w:firstLine="643" w:firstLineChars="200"/>
        <w:rPr>
          <w:rFonts w:ascii="仿宋_GB2312" w:eastAsia="仿宋_GB2312"/>
          <w:b/>
          <w:bCs/>
          <w:sz w:val="32"/>
          <w:szCs w:val="32"/>
        </w:rPr>
      </w:pPr>
      <w:r>
        <w:rPr>
          <w:rFonts w:hint="eastAsia" w:ascii="仿宋_GB2312" w:eastAsia="仿宋_GB2312"/>
          <w:b/>
          <w:bCs/>
          <w:sz w:val="32"/>
          <w:szCs w:val="32"/>
        </w:rPr>
        <w:t>三、开采总量调控措施</w:t>
      </w:r>
    </w:p>
    <w:p>
      <w:pPr>
        <w:spacing w:line="360" w:lineRule="auto"/>
        <w:ind w:firstLine="640" w:firstLineChars="200"/>
        <w:rPr>
          <w:rFonts w:ascii="仿宋_GB2312" w:eastAsia="仿宋_GB2312"/>
          <w:sz w:val="32"/>
          <w:szCs w:val="32"/>
        </w:rPr>
      </w:pPr>
      <w:r>
        <w:rPr>
          <w:rFonts w:hint="eastAsia" w:ascii="仿宋_GB2312" w:eastAsia="仿宋_GB2312"/>
          <w:sz w:val="32"/>
          <w:szCs w:val="32"/>
        </w:rPr>
        <w:t>认真落实国家、省、州矿政管理要求，全面实施矿业权勘查开采信息公示和实地核查制度，按年度组织实施矿山储量动态检测工作，加强矿山储量动态管理，强化总量调控指标执行情况的监督管理。依据规划指标对矿业活动全程进行监督检查，</w:t>
      </w:r>
      <w:bookmarkStart w:id="77" w:name="_Hlk76573168"/>
      <w:r>
        <w:rPr>
          <w:rFonts w:hint="eastAsia" w:ascii="仿宋_GB2312" w:eastAsia="仿宋_GB2312"/>
          <w:sz w:val="32"/>
          <w:szCs w:val="32"/>
        </w:rPr>
        <w:t>对矿业活动中偏离规划、不达标的矿业企业及时勒令其整改。新设采矿权，必须符合矿山最低开采规模、总量调控指标要求。</w:t>
      </w:r>
      <w:bookmarkEnd w:id="77"/>
      <w:r>
        <w:rPr>
          <w:rFonts w:hint="eastAsia" w:ascii="仿宋_GB2312" w:eastAsia="仿宋_GB2312"/>
          <w:sz w:val="32"/>
          <w:szCs w:val="32"/>
        </w:rPr>
        <w:t>因重大工程建设、乡村振兴等原因，需要突破砂石矿山数量控制的，由县政府论证并提出论证意见。</w:t>
      </w:r>
    </w:p>
    <w:p>
      <w:pPr>
        <w:spacing w:before="156" w:beforeLines="50" w:after="156" w:afterLines="50"/>
        <w:jc w:val="center"/>
        <w:outlineLvl w:val="1"/>
        <w:rPr>
          <w:rFonts w:ascii="黑体" w:hAnsi="黑体" w:eastAsia="黑体"/>
          <w:b/>
          <w:bCs/>
          <w:sz w:val="32"/>
          <w:szCs w:val="32"/>
        </w:rPr>
      </w:pPr>
      <w:bookmarkStart w:id="78" w:name="_Toc84672699"/>
      <w:bookmarkStart w:id="79" w:name="_Toc100824233"/>
      <w:bookmarkStart w:id="80" w:name="_Toc119246867"/>
      <w:bookmarkStart w:id="81" w:name="_Toc119246997"/>
      <w:r>
        <w:rPr>
          <w:rFonts w:hint="eastAsia" w:ascii="黑体" w:hAnsi="黑体" w:eastAsia="黑体"/>
          <w:b/>
          <w:bCs/>
          <w:sz w:val="32"/>
          <w:szCs w:val="32"/>
        </w:rPr>
        <w:t>第二节 优化资源开发利用结构</w:t>
      </w:r>
      <w:bookmarkEnd w:id="78"/>
      <w:bookmarkEnd w:id="79"/>
      <w:bookmarkEnd w:id="80"/>
      <w:bookmarkEnd w:id="81"/>
    </w:p>
    <w:p>
      <w:pPr>
        <w:spacing w:line="360" w:lineRule="auto"/>
        <w:ind w:firstLine="643" w:firstLineChars="200"/>
        <w:rPr>
          <w:rFonts w:ascii="仿宋_GB2312" w:eastAsia="仿宋_GB2312"/>
          <w:b/>
          <w:sz w:val="32"/>
          <w:szCs w:val="32"/>
        </w:rPr>
      </w:pPr>
      <w:r>
        <w:rPr>
          <w:rFonts w:hint="eastAsia" w:ascii="仿宋_GB2312" w:eastAsia="仿宋_GB2312"/>
          <w:b/>
          <w:sz w:val="32"/>
          <w:szCs w:val="32"/>
        </w:rPr>
        <w:t>一、加强资源勘查，提升矿山生产规模</w:t>
      </w:r>
    </w:p>
    <w:p>
      <w:pPr>
        <w:spacing w:line="360" w:lineRule="auto"/>
        <w:ind w:firstLine="640" w:firstLineChars="200"/>
        <w:rPr>
          <w:rFonts w:ascii="仿宋_GB2312" w:eastAsia="仿宋_GB2312"/>
          <w:sz w:val="32"/>
          <w:szCs w:val="32"/>
        </w:rPr>
      </w:pPr>
      <w:r>
        <w:rPr>
          <w:rFonts w:hint="eastAsia" w:ascii="仿宋_GB2312" w:eastAsia="仿宋_GB2312"/>
          <w:sz w:val="32"/>
          <w:szCs w:val="32"/>
        </w:rPr>
        <w:t>在现行政策条件下，根据资源禀赋和资源分布情况，引导矿山企业加强对已设探矿权范围内或已设采矿权深部或上部平面垂直投影范围的需要利用原有生产系统进一步勘查开发的矿产资源勘查工作，提升矿区查明资源储量规模，为提升矿山生产规模提供基础。“十四五”期间，</w:t>
      </w:r>
      <w:r>
        <w:rPr>
          <w:rFonts w:hint="eastAsia" w:ascii="仿宋_GB2312" w:eastAsia="仿宋_GB2312"/>
          <w:bCs/>
          <w:sz w:val="32"/>
          <w:szCs w:val="32"/>
        </w:rPr>
        <w:t>按照集约高效原则，促进矿山规模化、集约化生产，提高大中型矿山比例，提升矿业权集中度和规模效益，以市场化手段，推动落后产能兼并重组、转型升级，鼓励和引导优质企业做大做强。最终实现大中小型矿山协调发展、资源规模化集约化利用水平进一步提高。到2025年，力争大中型矿山比例在</w:t>
      </w:r>
      <w:r>
        <w:rPr>
          <w:rFonts w:ascii="仿宋_GB2312" w:eastAsia="仿宋_GB2312"/>
          <w:bCs/>
          <w:sz w:val="32"/>
          <w:szCs w:val="32"/>
        </w:rPr>
        <w:t>15</w:t>
      </w:r>
      <w:r>
        <w:rPr>
          <w:rFonts w:hint="eastAsia" w:ascii="仿宋_GB2312" w:eastAsia="仿宋_GB2312"/>
          <w:bCs/>
          <w:sz w:val="32"/>
          <w:szCs w:val="32"/>
        </w:rPr>
        <w:t>%以上。</w:t>
      </w:r>
    </w:p>
    <w:p>
      <w:pPr>
        <w:spacing w:line="360" w:lineRule="auto"/>
        <w:ind w:firstLine="643" w:firstLineChars="200"/>
        <w:rPr>
          <w:rFonts w:ascii="仿宋_GB2312" w:eastAsia="仿宋_GB2312"/>
          <w:b/>
          <w:sz w:val="32"/>
          <w:szCs w:val="32"/>
        </w:rPr>
      </w:pPr>
      <w:r>
        <w:rPr>
          <w:rFonts w:hint="eastAsia" w:ascii="仿宋_GB2312" w:eastAsia="仿宋_GB2312"/>
          <w:b/>
          <w:sz w:val="32"/>
          <w:szCs w:val="32"/>
        </w:rPr>
        <w:t>二、优化矿山生产要素结构，推进矿山企业技术更新</w:t>
      </w:r>
    </w:p>
    <w:p>
      <w:pPr>
        <w:spacing w:line="360" w:lineRule="auto"/>
        <w:ind w:firstLine="640" w:firstLineChars="200"/>
        <w:rPr>
          <w:rFonts w:eastAsia="仿宋"/>
          <w:sz w:val="32"/>
          <w:szCs w:val="32"/>
        </w:rPr>
      </w:pPr>
      <w:r>
        <w:rPr>
          <w:rFonts w:hint="eastAsia" w:ascii="仿宋_GB2312" w:eastAsia="仿宋_GB2312"/>
          <w:sz w:val="32"/>
          <w:szCs w:val="32"/>
        </w:rPr>
        <w:t>以金矿、饰面石材等生产矿山为重点，引导矿山企业引进先进适用的探采选冶技术、设备、工艺，提高劳动力素质，对主共伴生矿产资源进行综合勘查、综合评价、综合开采和综合利用，推进优质优用、梯级利用和循环利用，推进废石等废弃物资源化利用，提高矿产资源开采回采率、选矿回收率和综合利用率。根据上级自然资源主管部门制定的技术指标体系，加强对达标情况监管，对于节约和高效利用水平高的给予支持，对于水平低的予以惩戒。同时，延长产业链、提高资源就地转化能力、提高矿产品附加值，高效利用矿产资源，走节约、低碳、安全和可持续发展道路。</w:t>
      </w:r>
    </w:p>
    <w:p>
      <w:pPr>
        <w:spacing w:before="156" w:beforeLines="50" w:after="156" w:afterLines="50"/>
        <w:jc w:val="center"/>
        <w:outlineLvl w:val="1"/>
        <w:rPr>
          <w:rFonts w:ascii="黑体" w:hAnsi="黑体" w:eastAsia="黑体"/>
          <w:b/>
          <w:bCs/>
          <w:sz w:val="32"/>
          <w:szCs w:val="32"/>
        </w:rPr>
      </w:pPr>
      <w:bookmarkStart w:id="82" w:name="_Toc84672700"/>
      <w:bookmarkStart w:id="83" w:name="_Toc100824234"/>
      <w:bookmarkStart w:id="84" w:name="_Toc119246868"/>
      <w:bookmarkStart w:id="85" w:name="_Toc119246998"/>
      <w:r>
        <w:rPr>
          <w:rFonts w:hint="eastAsia" w:ascii="黑体" w:hAnsi="黑体" w:eastAsia="黑体"/>
          <w:b/>
          <w:bCs/>
          <w:sz w:val="32"/>
          <w:szCs w:val="32"/>
        </w:rPr>
        <w:t>第三节 严格规划准入管理</w:t>
      </w:r>
      <w:bookmarkEnd w:id="82"/>
      <w:bookmarkEnd w:id="83"/>
      <w:bookmarkEnd w:id="84"/>
      <w:bookmarkEnd w:id="85"/>
    </w:p>
    <w:p>
      <w:pPr>
        <w:spacing w:line="360" w:lineRule="auto"/>
        <w:ind w:firstLine="643" w:firstLineChars="200"/>
        <w:rPr>
          <w:rFonts w:ascii="仿宋_GB2312" w:eastAsia="仿宋_GB2312"/>
          <w:b/>
          <w:bCs/>
          <w:sz w:val="32"/>
          <w:szCs w:val="32"/>
        </w:rPr>
      </w:pPr>
      <w:r>
        <w:rPr>
          <w:rFonts w:hint="eastAsia" w:ascii="仿宋_GB2312" w:eastAsia="仿宋_GB2312"/>
          <w:b/>
          <w:snapToGrid w:val="0"/>
          <w:sz w:val="32"/>
          <w:szCs w:val="32"/>
        </w:rPr>
        <w:t>绿色勘查、绿色矿山建设要求条件。</w:t>
      </w:r>
      <w:r>
        <w:rPr>
          <w:rFonts w:hint="eastAsia" w:ascii="仿宋_GB2312" w:eastAsia="仿宋_GB2312"/>
          <w:bCs/>
          <w:snapToGrid w:val="0"/>
          <w:sz w:val="32"/>
          <w:szCs w:val="32"/>
        </w:rPr>
        <w:t>新设探矿权在勘查过程中应严格按照绿色勘查的要求开展勘查工作。新建生产矿山应达到绿色矿山建设规范要求，矿山企业要根据绿色矿山建设规范要求，编制矿山开发利用实施方案、矿山地质环境恢复治理与土地复垦方案以及绿色矿山建设方案，未达到绿色矿山建设规范要求的新建矿山，依照出让合同责令整改。</w:t>
      </w:r>
    </w:p>
    <w:p>
      <w:pPr>
        <w:spacing w:line="360" w:lineRule="auto"/>
        <w:ind w:firstLine="643" w:firstLineChars="200"/>
        <w:rPr>
          <w:rFonts w:ascii="仿宋_GB2312" w:eastAsia="仿宋_GB2312"/>
          <w:sz w:val="32"/>
          <w:szCs w:val="32"/>
        </w:rPr>
      </w:pPr>
      <w:r>
        <w:rPr>
          <w:rFonts w:hint="eastAsia" w:ascii="仿宋_GB2312" w:eastAsia="仿宋_GB2312"/>
          <w:b/>
          <w:sz w:val="32"/>
          <w:szCs w:val="32"/>
        </w:rPr>
        <w:t>最低生产规模、服务年限和开发利用“三率”指标条件。</w:t>
      </w:r>
      <w:r>
        <w:rPr>
          <w:rFonts w:hint="eastAsia" w:ascii="仿宋_GB2312" w:eastAsia="仿宋_GB2312"/>
          <w:sz w:val="32"/>
          <w:szCs w:val="32"/>
        </w:rPr>
        <w:t>新建矿山应具评审备案的详查及以上报告或储量核实报告、开发利用方案、</w:t>
      </w:r>
      <w:r>
        <w:rPr>
          <w:rFonts w:hint="eastAsia" w:ascii="仿宋_GB2312" w:eastAsia="仿宋_GB2312"/>
          <w:bCs/>
          <w:snapToGrid w:val="0"/>
          <w:sz w:val="32"/>
          <w:szCs w:val="32"/>
        </w:rPr>
        <w:t>矿山地质环境恢复治理与土地复垦方案</w:t>
      </w:r>
      <w:r>
        <w:rPr>
          <w:rFonts w:hint="eastAsia" w:ascii="仿宋_GB2312" w:eastAsia="仿宋_GB2312"/>
          <w:sz w:val="32"/>
          <w:szCs w:val="32"/>
        </w:rPr>
        <w:t>。具有不低于10年的与最低开采规模相匹配的矿山资源储量（重点工程建设项目、民生工程、乡村振兴项目配套矿山除外）。新建矿山储量及开采规模应满足最低建设开采规模及服务年限。新建和改扩建矿山，不能满足最低开采规模的，不得颁发采矿许可证或限期整改。新建和改扩建矿山，应采用先进的采选技术和设备进行矿业开发。在资源开发利用过程中，涉及的“三率”指标需达到或超过国家规定的最低标准，不能满足三率指标要求的矿山，责令限期整改。</w:t>
      </w:r>
    </w:p>
    <w:p>
      <w:pPr>
        <w:pStyle w:val="21"/>
        <w:ind w:left="0" w:leftChars="0" w:firstLine="643"/>
        <w:rPr>
          <w:rFonts w:ascii="仿宋_GB2312" w:eastAsia="仿宋_GB2312"/>
          <w:sz w:val="32"/>
          <w:szCs w:val="32"/>
        </w:rPr>
      </w:pPr>
      <w:r>
        <w:rPr>
          <w:rFonts w:hint="eastAsia" w:ascii="仿宋_GB2312" w:eastAsia="仿宋_GB2312"/>
          <w:b/>
          <w:bCs/>
          <w:sz w:val="32"/>
          <w:szCs w:val="32"/>
        </w:rPr>
        <w:t>开发利用技术准入条件。</w:t>
      </w:r>
      <w:r>
        <w:rPr>
          <w:rFonts w:hint="eastAsia" w:ascii="仿宋_GB2312" w:eastAsia="仿宋_GB2312"/>
          <w:sz w:val="32"/>
          <w:szCs w:val="32"/>
        </w:rPr>
        <w:t>禁止采富弃贫、采易弃难、优矿劣用等浪费资源行为。对照《矿产资源节约与综合利用鼓励、限制和淘汰技术目录（修订稿）》，禁止采用落后淘汰、破坏和浪费资源、资源利用效率低下的开采和选矿技术。矿山企业应加大科技创新资金投入，开展科技创新和技术革新。</w:t>
      </w:r>
    </w:p>
    <w:p>
      <w:pPr>
        <w:pStyle w:val="21"/>
        <w:spacing w:after="0"/>
        <w:ind w:left="0" w:leftChars="0" w:firstLine="643"/>
        <w:rPr>
          <w:rFonts w:ascii="仿宋_GB2312" w:eastAsia="仿宋_GB2312"/>
          <w:sz w:val="32"/>
          <w:szCs w:val="32"/>
        </w:rPr>
      </w:pPr>
      <w:r>
        <w:rPr>
          <w:rFonts w:hint="eastAsia" w:ascii="仿宋_GB2312" w:eastAsia="仿宋_GB2312"/>
          <w:b/>
          <w:bCs/>
          <w:sz w:val="32"/>
          <w:szCs w:val="32"/>
        </w:rPr>
        <w:t>安全生产准入条件。</w:t>
      </w:r>
      <w:r>
        <w:rPr>
          <w:rFonts w:hint="eastAsia" w:ascii="仿宋_GB2312" w:eastAsia="仿宋_GB2312"/>
          <w:sz w:val="32"/>
          <w:szCs w:val="32"/>
        </w:rPr>
        <w:t>新建、扩建和改建的矿山，采用的开采方式、生产工艺必须符合国家和省现行的有关法律、法规和标准。必须严格履行建设项目安全设施“三同时”，安全设施设计未经安全监管部门审查同意，不得进行开工建设，安全设施未经竣工验收合格，不得投入生产使用。</w:t>
      </w:r>
    </w:p>
    <w:p>
      <w:pPr>
        <w:pStyle w:val="21"/>
        <w:ind w:left="0" w:leftChars="0" w:firstLine="643"/>
        <w:rPr>
          <w:rFonts w:ascii="仿宋_GB2312" w:eastAsia="仿宋_GB2312"/>
          <w:sz w:val="32"/>
          <w:szCs w:val="32"/>
        </w:rPr>
      </w:pPr>
      <w:r>
        <w:rPr>
          <w:rFonts w:hint="eastAsia" w:ascii="仿宋_GB2312" w:eastAsia="仿宋_GB2312"/>
          <w:b/>
          <w:bCs/>
          <w:sz w:val="32"/>
          <w:szCs w:val="32"/>
        </w:rPr>
        <w:t>环境保护准入条件。</w:t>
      </w:r>
      <w:r>
        <w:rPr>
          <w:rFonts w:hint="eastAsia" w:ascii="仿宋_GB2312" w:eastAsia="仿宋_GB2312"/>
          <w:sz w:val="32"/>
          <w:szCs w:val="32"/>
        </w:rPr>
        <w:t>严格落实环境保护准入。矿山开发项目应符合所在规划区域的环境承载力要求，矿山“三废”必须达标排放，降低环境容量消减强度。矿山企业应有环境影响评估和风险防范管理制度及能力，能有效防控新的污染源。新建矿山应执行矿山地质环境治理恢复基金、地质环境保护与恢复治理方案及环境影响评价报告制度，应编制矿山地质环境保护与土地复垦方案、环境影响评价报告，并作为矿业权审批的必要条件。</w:t>
      </w:r>
    </w:p>
    <w:p>
      <w:pPr>
        <w:ind w:firstLine="643"/>
        <w:rPr>
          <w:rFonts w:eastAsia="仿宋_GB2312"/>
          <w:sz w:val="32"/>
          <w:szCs w:val="32"/>
        </w:rPr>
      </w:pPr>
      <w:r>
        <w:rPr>
          <w:rFonts w:hint="eastAsia" w:ascii="仿宋_GB2312" w:hAnsi="仿宋" w:eastAsia="仿宋_GB2312" w:cs="仿宋"/>
          <w:b/>
          <w:bCs/>
          <w:sz w:val="32"/>
          <w:szCs w:val="32"/>
        </w:rPr>
        <w:t>国土</w:t>
      </w:r>
      <w:r>
        <w:rPr>
          <w:rFonts w:ascii="仿宋_GB2312" w:hAnsi="仿宋" w:eastAsia="仿宋_GB2312" w:cs="仿宋"/>
          <w:b/>
          <w:bCs/>
          <w:sz w:val="32"/>
          <w:szCs w:val="32"/>
        </w:rPr>
        <w:t>空间规划</w:t>
      </w:r>
      <w:r>
        <w:rPr>
          <w:rFonts w:hint="eastAsia" w:ascii="仿宋_GB2312" w:hAnsi="仿宋" w:eastAsia="仿宋_GB2312" w:cs="仿宋"/>
          <w:b/>
          <w:bCs/>
          <w:sz w:val="32"/>
          <w:szCs w:val="32"/>
        </w:rPr>
        <w:t>准入条件</w:t>
      </w:r>
      <w:r>
        <w:rPr>
          <w:rFonts w:ascii="仿宋_GB2312" w:hAnsi="仿宋" w:eastAsia="仿宋_GB2312" w:cs="仿宋"/>
          <w:b/>
          <w:bCs/>
          <w:sz w:val="32"/>
          <w:szCs w:val="32"/>
        </w:rPr>
        <w:t>。</w:t>
      </w:r>
      <w:r>
        <w:rPr>
          <w:rFonts w:ascii="仿宋_GB2312" w:hAnsi="仿宋" w:eastAsia="仿宋_GB2312" w:cs="仿宋"/>
          <w:sz w:val="32"/>
          <w:szCs w:val="32"/>
        </w:rPr>
        <w:t>矿产资源勘查开发要严格遵守生态保护红线、永久基本农田、城镇开发边界三条控制线的管控要求，</w:t>
      </w:r>
      <w:r>
        <w:rPr>
          <w:rFonts w:hint="eastAsia" w:ascii="仿宋_GB2312" w:hAnsi="仿宋" w:eastAsia="仿宋_GB2312" w:cs="仿宋"/>
          <w:sz w:val="32"/>
          <w:szCs w:val="32"/>
        </w:rPr>
        <w:t>生态红线范围内，实行不同矿种矿产资源勘查开发差别化管理；</w:t>
      </w:r>
      <w:r>
        <w:rPr>
          <w:rFonts w:ascii="仿宋_GB2312" w:hAnsi="仿宋" w:eastAsia="仿宋_GB2312" w:cs="仿宋"/>
          <w:sz w:val="32"/>
          <w:szCs w:val="32"/>
        </w:rPr>
        <w:t>在严格保护永久基本农田的原则下，做好矿产资源勘查开发;城镇开发边界内</w:t>
      </w:r>
      <w:r>
        <w:rPr>
          <w:rFonts w:hint="eastAsia" w:ascii="仿宋_GB2312" w:hAnsi="仿宋" w:eastAsia="仿宋_GB2312" w:cs="仿宋"/>
          <w:sz w:val="32"/>
          <w:szCs w:val="32"/>
        </w:rPr>
        <w:t>，</w:t>
      </w:r>
      <w:r>
        <w:rPr>
          <w:rFonts w:ascii="仿宋_GB2312" w:hAnsi="仿宋" w:eastAsia="仿宋_GB2312" w:cs="仿宋"/>
          <w:sz w:val="32"/>
          <w:szCs w:val="32"/>
        </w:rPr>
        <w:t>要统筹考虑矿产资源禀赋状况与城镇建设发展需要，充分论证，协调好矿产开发与城乡建设的空间关系。法律法规对勘查开采活动有其它禁止、限制性要求的，应严格遵守相关规定。</w:t>
      </w:r>
    </w:p>
    <w:p>
      <w:pPr>
        <w:ind w:firstLine="643"/>
        <w:rPr>
          <w:rFonts w:ascii="仿宋_GB2312" w:hAnsi="仿宋" w:eastAsia="仿宋_GB2312" w:cs="仿宋"/>
          <w:sz w:val="32"/>
          <w:szCs w:val="32"/>
        </w:rPr>
      </w:pPr>
      <w:r>
        <w:rPr>
          <w:rFonts w:hint="eastAsia" w:ascii="仿宋_GB2312" w:hAnsi="仿宋" w:eastAsia="仿宋_GB2312" w:cs="仿宋"/>
          <w:b/>
          <w:bCs/>
          <w:sz w:val="32"/>
          <w:szCs w:val="32"/>
        </w:rPr>
        <w:t>林草征（占）用准入条件。</w:t>
      </w:r>
      <w:r>
        <w:rPr>
          <w:rFonts w:hint="eastAsia" w:ascii="仿宋_GB2312" w:hAnsi="仿宋" w:eastAsia="仿宋_GB2312" w:cs="仿宋"/>
          <w:sz w:val="32"/>
          <w:szCs w:val="32"/>
        </w:rPr>
        <w:t>深入贯彻《国家林业和草原局关于印发&lt;草原征占用审核审批管理规范&gt;的通知》（林草规〔2020〕2号）、《国家林业和草原局关于&lt;建设项目使用林地审核审批管理规范&gt;的通知》林资规〔2021〕5号文件要求。矿产资源勘查开采需办理林地和草原占用手续，严禁占用国家一级公益林，砂石土类矿产开发利用原则上不得占用国家二级以上公益林。</w:t>
      </w:r>
    </w:p>
    <w:p>
      <w:pPr>
        <w:spacing w:before="156" w:beforeLines="50" w:after="156" w:afterLines="50"/>
        <w:jc w:val="center"/>
        <w:outlineLvl w:val="1"/>
        <w:rPr>
          <w:rFonts w:ascii="黑体" w:hAnsi="黑体" w:eastAsia="黑体"/>
          <w:b/>
          <w:bCs/>
          <w:sz w:val="32"/>
          <w:szCs w:val="32"/>
        </w:rPr>
      </w:pPr>
      <w:bookmarkStart w:id="86" w:name="_Toc119246999"/>
      <w:bookmarkStart w:id="87" w:name="_Toc100824235"/>
      <w:bookmarkStart w:id="88" w:name="_Toc84672701"/>
      <w:bookmarkStart w:id="89" w:name="_Toc119246869"/>
      <w:r>
        <w:rPr>
          <w:rFonts w:hint="eastAsia" w:ascii="黑体" w:hAnsi="黑体" w:eastAsia="黑体"/>
          <w:b/>
          <w:bCs/>
          <w:sz w:val="32"/>
          <w:szCs w:val="32"/>
        </w:rPr>
        <w:t>第四节 提升矿政管理能力</w:t>
      </w:r>
      <w:bookmarkEnd w:id="86"/>
      <w:bookmarkEnd w:id="87"/>
      <w:bookmarkEnd w:id="88"/>
      <w:bookmarkEnd w:id="89"/>
    </w:p>
    <w:p>
      <w:pPr>
        <w:ind w:firstLine="643"/>
        <w:rPr>
          <w:rFonts w:ascii="仿宋_GB2312" w:eastAsia="仿宋_GB2312"/>
          <w:bCs/>
          <w:snapToGrid w:val="0"/>
          <w:color w:val="000000"/>
          <w:sz w:val="32"/>
          <w:szCs w:val="32"/>
        </w:rPr>
      </w:pPr>
      <w:bookmarkStart w:id="90" w:name="_Hlk96261929"/>
      <w:r>
        <w:rPr>
          <w:rFonts w:hint="eastAsia" w:ascii="仿宋_GB2312" w:eastAsia="仿宋_GB2312"/>
          <w:b/>
          <w:snapToGrid w:val="0"/>
          <w:color w:val="000000"/>
          <w:sz w:val="32"/>
          <w:szCs w:val="32"/>
        </w:rPr>
        <w:t>规范矿业权出让登记管理。</w:t>
      </w:r>
      <w:r>
        <w:rPr>
          <w:rFonts w:hint="eastAsia" w:ascii="仿宋_GB2312" w:eastAsia="仿宋_GB2312"/>
          <w:bCs/>
          <w:snapToGrid w:val="0"/>
          <w:color w:val="000000"/>
          <w:sz w:val="32"/>
          <w:szCs w:val="32"/>
        </w:rPr>
        <w:t>严格执行《自然资源部关于推进矿产资源管理改革若干事项的意见（试行）》（自然资规〔2019〕7号），积极推进矿业权“招拍挂”及“净矿”出让，做好矿业权出让前的踏勘、论证与审核、备案工作。自然资源主管部门依据出让登记权限管理矿业权，各级财政出资地质勘查项目不再设置探矿权，凭项目任务书或合同书开展地质勘查工作。</w:t>
      </w:r>
    </w:p>
    <w:p>
      <w:pPr>
        <w:autoSpaceDE w:val="0"/>
        <w:autoSpaceDN w:val="0"/>
        <w:ind w:firstLine="643"/>
        <w:textAlignment w:val="baseline"/>
        <w:rPr>
          <w:rFonts w:ascii="仿宋_GB2312" w:hAnsi="仿宋_GB2312" w:eastAsia="仿宋_GB2312"/>
          <w:sz w:val="32"/>
          <w:szCs w:val="28"/>
          <w:lang w:val="zh-CN"/>
        </w:rPr>
      </w:pPr>
      <w:bookmarkStart w:id="91" w:name="_Hlk106891669"/>
      <w:r>
        <w:rPr>
          <w:rFonts w:hint="eastAsia" w:ascii="仿宋_GB2312" w:hAnsi="仿宋_GB2312" w:eastAsia="仿宋_GB2312"/>
          <w:b/>
          <w:sz w:val="32"/>
          <w:szCs w:val="28"/>
          <w:lang w:val="zh-CN"/>
        </w:rPr>
        <w:t>完善矿业权退出机制。</w:t>
      </w:r>
      <w:r>
        <w:rPr>
          <w:rFonts w:hint="eastAsia" w:ascii="仿宋_GB2312" w:hAnsi="仿宋_GB2312" w:eastAsia="仿宋_GB2312"/>
          <w:sz w:val="32"/>
          <w:szCs w:val="28"/>
          <w:lang w:val="zh-CN"/>
        </w:rPr>
        <w:t>严格执行矿业权出让合同制度，矿业权到期无故未延续，到期依法进行公告，定期开展清理销号工作。制定相应矿业权退出方案，已有矿业权与生态保护红线、自然保护地、饮用水水源保护区等保护区域重叠的要按相关要求主动退出或避让。</w:t>
      </w:r>
    </w:p>
    <w:bookmarkEnd w:id="91"/>
    <w:p>
      <w:pPr>
        <w:spacing w:line="360" w:lineRule="auto"/>
        <w:ind w:firstLine="643" w:firstLineChars="200"/>
        <w:rPr>
          <w:rFonts w:ascii="仿宋_GB2312" w:hAnsi="宋体" w:eastAsia="仿宋_GB2312"/>
          <w:bCs/>
          <w:snapToGrid w:val="0"/>
          <w:kern w:val="0"/>
          <w:sz w:val="32"/>
          <w:szCs w:val="32"/>
        </w:rPr>
      </w:pPr>
      <w:r>
        <w:rPr>
          <w:rFonts w:hint="eastAsia" w:ascii="仿宋_GB2312" w:hAnsi="宋体" w:eastAsia="仿宋_GB2312"/>
          <w:b/>
          <w:snapToGrid w:val="0"/>
          <w:kern w:val="0"/>
          <w:sz w:val="32"/>
          <w:szCs w:val="32"/>
        </w:rPr>
        <w:t>加强矿产资源开采活动的日常监管。</w:t>
      </w:r>
      <w:r>
        <w:rPr>
          <w:rFonts w:hint="eastAsia" w:ascii="仿宋_GB2312" w:hAnsi="宋体" w:eastAsia="仿宋_GB2312"/>
          <w:bCs/>
          <w:snapToGrid w:val="0"/>
          <w:kern w:val="0"/>
          <w:sz w:val="32"/>
          <w:szCs w:val="32"/>
        </w:rPr>
        <w:t>加强督促生产矿山严格按照开发利用方案开采、严格按照地质环境保护与土地复垦方案，实施“边开采，边治理，边复垦”。重点对矿业权人是否在露天矿山按台阶规范开采，是否存在矿山开采安全隐患，是否越界开采，是否对生态环境造成严重破坏，废渣石堆放是否规范安全，是否对开采结束的区域进行治理和复垦等进行监督和检查，减少矿山开发利用对生态环境的破坏。</w:t>
      </w:r>
    </w:p>
    <w:p>
      <w:pPr>
        <w:spacing w:line="360" w:lineRule="auto"/>
        <w:ind w:firstLine="643" w:firstLineChars="200"/>
        <w:rPr>
          <w:rFonts w:ascii="仿宋_GB2312" w:hAnsi="宋体" w:eastAsia="仿宋_GB2312"/>
          <w:bCs/>
          <w:snapToGrid w:val="0"/>
          <w:kern w:val="0"/>
          <w:sz w:val="32"/>
          <w:szCs w:val="32"/>
        </w:rPr>
      </w:pPr>
      <w:r>
        <w:rPr>
          <w:rFonts w:hint="eastAsia" w:ascii="仿宋_GB2312" w:hAnsi="宋体" w:eastAsia="仿宋_GB2312"/>
          <w:b/>
          <w:snapToGrid w:val="0"/>
          <w:kern w:val="0"/>
          <w:sz w:val="32"/>
          <w:szCs w:val="32"/>
        </w:rPr>
        <w:t>加强年度矿山储量动态监管。</w:t>
      </w:r>
      <w:r>
        <w:rPr>
          <w:rFonts w:hint="eastAsia" w:ascii="仿宋_GB2312" w:hAnsi="宋体" w:eastAsia="仿宋_GB2312"/>
          <w:bCs/>
          <w:snapToGrid w:val="0"/>
          <w:kern w:val="0"/>
          <w:sz w:val="32"/>
          <w:szCs w:val="32"/>
        </w:rPr>
        <w:t>统筹负责本区内所有矿山的储量动态监督管理和矿山储量年报数据审查工作，指导和监督矿山企业开展年度储量动态数据填报，确保储量年报实事求是、真实可靠，对资源储量发生重大变化或对矿山储量数据存疑的，应组织开展现场核查，形成现场核查报告。</w:t>
      </w:r>
    </w:p>
    <w:p>
      <w:pPr>
        <w:spacing w:line="360" w:lineRule="auto"/>
        <w:ind w:firstLine="643" w:firstLineChars="200"/>
        <w:rPr>
          <w:rFonts w:ascii="仿宋_GB2312" w:hAnsi="宋体" w:eastAsia="仿宋_GB2312"/>
          <w:bCs/>
          <w:snapToGrid w:val="0"/>
          <w:kern w:val="0"/>
          <w:sz w:val="32"/>
          <w:szCs w:val="32"/>
        </w:rPr>
      </w:pPr>
      <w:r>
        <w:rPr>
          <w:rFonts w:hint="eastAsia" w:ascii="仿宋_GB2312" w:hAnsi="宋体" w:eastAsia="仿宋_GB2312"/>
          <w:b/>
          <w:snapToGrid w:val="0"/>
          <w:kern w:val="0"/>
          <w:sz w:val="32"/>
          <w:szCs w:val="32"/>
        </w:rPr>
        <w:t>加强矿业权人勘查开采信息公示系统填报监管。</w:t>
      </w:r>
      <w:r>
        <w:rPr>
          <w:rFonts w:hint="eastAsia" w:ascii="仿宋_GB2312" w:hAnsi="宋体" w:eastAsia="仿宋_GB2312"/>
          <w:bCs/>
          <w:snapToGrid w:val="0"/>
          <w:kern w:val="0"/>
          <w:sz w:val="32"/>
          <w:szCs w:val="32"/>
        </w:rPr>
        <w:t>督促矿业权人按照矿业权信息公示相关要求，及时、真实填报并公示上年度矿产资源勘查开采信息。定期对公示信息进行抽查，并对抽查结果予以公示。</w:t>
      </w:r>
    </w:p>
    <w:p>
      <w:pPr>
        <w:spacing w:line="360" w:lineRule="auto"/>
        <w:ind w:firstLine="643" w:firstLineChars="200"/>
        <w:rPr>
          <w:rFonts w:ascii="仿宋_GB2312" w:eastAsia="仿宋_GB2312"/>
          <w:bCs/>
          <w:snapToGrid w:val="0"/>
          <w:sz w:val="32"/>
          <w:szCs w:val="32"/>
        </w:rPr>
      </w:pPr>
      <w:r>
        <w:rPr>
          <w:rFonts w:hint="eastAsia" w:ascii="仿宋_GB2312" w:eastAsia="仿宋_GB2312"/>
          <w:b/>
          <w:bCs/>
          <w:sz w:val="32"/>
          <w:szCs w:val="32"/>
        </w:rPr>
        <w:t>加强矿产资源国情调查工作。</w:t>
      </w:r>
      <w:r>
        <w:rPr>
          <w:rFonts w:hint="eastAsia" w:ascii="仿宋_GB2312" w:eastAsia="仿宋_GB2312"/>
          <w:bCs/>
          <w:snapToGrid w:val="0"/>
          <w:sz w:val="32"/>
          <w:szCs w:val="32"/>
        </w:rPr>
        <w:t>严格按照《自然资源部办公厅关于完善矿产资源储量动态更新机制做好矿产资源国情调查工作的通知》（自然资办发[2020]36号）、《自然资源部办公厅关于做好矿产资源储量新老分类标准数据转换工作的通知》（自然资办函[2020]1370号）、《四川省自然资源厅关于开展我省矿产资源国情调查工作的通知》（川自然资发[2020]66号）文件精神，全面清理各类矿产资源数量、质量、结构和空间分布等，督促矿山企业开展矿山储量分类老标准转换、储量动态监测等矿产资源国情调查工作，</w:t>
      </w:r>
      <w:r>
        <w:rPr>
          <w:rFonts w:hint="eastAsia" w:ascii="仿宋_GB2312" w:eastAsia="仿宋_GB2312"/>
          <w:sz w:val="32"/>
          <w:szCs w:val="32"/>
        </w:rPr>
        <w:t>全面清理健全矿产资源储量数据库，</w:t>
      </w:r>
      <w:r>
        <w:rPr>
          <w:rFonts w:hint="eastAsia" w:ascii="仿宋_GB2312" w:eastAsia="仿宋_GB2312"/>
          <w:bCs/>
          <w:snapToGrid w:val="0"/>
          <w:sz w:val="32"/>
          <w:szCs w:val="32"/>
        </w:rPr>
        <w:t>摸清县域矿产资源家底和重要矿产资源潜力，掌握小金县矿产资源供应能力和开发利用潜力，为国家准确判断矿产资源国情国力、满足成渝地区双城经济圈建设战略资源需求、保障国家资源安全和经济安全提供基础数据。</w:t>
      </w:r>
    </w:p>
    <w:p>
      <w:pPr>
        <w:spacing w:line="360" w:lineRule="auto"/>
        <w:ind w:firstLine="643" w:firstLineChars="200"/>
        <w:rPr>
          <w:rFonts w:ascii="仿宋_GB2312" w:eastAsia="仿宋_GB2312"/>
          <w:b/>
          <w:sz w:val="32"/>
          <w:szCs w:val="32"/>
        </w:rPr>
      </w:pPr>
      <w:r>
        <w:rPr>
          <w:rFonts w:hint="eastAsia" w:ascii="仿宋_GB2312" w:eastAsia="仿宋_GB2312"/>
          <w:b/>
          <w:sz w:val="32"/>
          <w:szCs w:val="32"/>
        </w:rPr>
        <w:t>持续全面推进矿产资源管理改革</w:t>
      </w:r>
      <w:bookmarkEnd w:id="90"/>
      <w:r>
        <w:rPr>
          <w:rFonts w:hint="eastAsia" w:ascii="仿宋_GB2312" w:eastAsia="仿宋_GB2312"/>
          <w:b/>
          <w:sz w:val="32"/>
          <w:szCs w:val="32"/>
        </w:rPr>
        <w:t>。</w:t>
      </w:r>
      <w:r>
        <w:rPr>
          <w:rFonts w:hint="eastAsia" w:ascii="仿宋_GB2312" w:eastAsia="仿宋_GB2312"/>
          <w:sz w:val="32"/>
          <w:szCs w:val="32"/>
        </w:rPr>
        <w:t>深入贯彻落实《自然资源部关于推进矿产资源管理改革若干事项的意见（试行）》（自然资规</w:t>
      </w:r>
      <w:r>
        <w:rPr>
          <w:rFonts w:hint="eastAsia" w:ascii="仿宋_GB2312" w:eastAsia="仿宋_GB2312" w:hAnsiTheme="minorEastAsia"/>
          <w:sz w:val="32"/>
          <w:szCs w:val="32"/>
        </w:rPr>
        <w:t>2019 7号</w:t>
      </w:r>
      <w:r>
        <w:rPr>
          <w:rFonts w:hint="eastAsia" w:ascii="仿宋_GB2312" w:eastAsia="仿宋_GB2312"/>
          <w:sz w:val="32"/>
          <w:szCs w:val="32"/>
        </w:rPr>
        <w:t>）、《四川省自然资源厅关于贯彻落实《自然资源部关于推进矿产资源管理改革若干事项的意见（试行）》的通知》（川自然资规2020 9号），持续全面推进矿产资源管理改革，优化矿业权结构，推动“净矿”出让工作、做好矿业权竞争性出让前期工作，开展矿业权清理工作，配合建立统一的矿业权数据库和矿业权出让数据库，加强矿山储量动态监管工作，促使矿政管理能力现代化水平持续提高。</w:t>
      </w:r>
    </w:p>
    <w:p>
      <w:pPr>
        <w:spacing w:line="360" w:lineRule="auto"/>
        <w:ind w:firstLine="562" w:firstLineChars="200"/>
        <w:rPr>
          <w:rFonts w:ascii="仿宋_GB2312" w:eastAsia="仿宋_GB2312"/>
          <w:b/>
          <w:bCs/>
          <w:sz w:val="28"/>
          <w:szCs w:val="28"/>
        </w:rPr>
      </w:pPr>
    </w:p>
    <w:p>
      <w:pPr>
        <w:spacing w:line="360" w:lineRule="auto"/>
        <w:ind w:firstLine="562" w:firstLineChars="200"/>
        <w:rPr>
          <w:rFonts w:ascii="仿宋_GB2312" w:eastAsia="仿宋_GB2312"/>
          <w:b/>
          <w:bCs/>
          <w:sz w:val="28"/>
          <w:szCs w:val="28"/>
        </w:rPr>
        <w:sectPr>
          <w:pgSz w:w="11906" w:h="16838"/>
          <w:pgMar w:top="1440" w:right="1800" w:bottom="1440" w:left="1800" w:header="851" w:footer="992" w:gutter="0"/>
          <w:cols w:space="425" w:num="1"/>
          <w:docGrid w:type="lines" w:linePitch="312" w:charSpace="0"/>
        </w:sectPr>
      </w:pPr>
    </w:p>
    <w:p>
      <w:pPr>
        <w:pStyle w:val="20"/>
        <w:ind w:firstLine="0" w:firstLineChars="0"/>
        <w:rPr>
          <w:rFonts w:ascii="黑体" w:hAnsi="黑体" w:eastAsia="黑体"/>
          <w:sz w:val="36"/>
          <w:szCs w:val="36"/>
        </w:rPr>
      </w:pPr>
      <w:bookmarkStart w:id="92" w:name="_Toc84672702"/>
      <w:bookmarkStart w:id="93" w:name="_Toc100824236"/>
      <w:bookmarkStart w:id="94" w:name="_Toc119246870"/>
      <w:bookmarkStart w:id="95" w:name="_Toc119247000"/>
      <w:r>
        <w:rPr>
          <w:rFonts w:hint="eastAsia" w:ascii="黑体" w:hAnsi="黑体" w:eastAsia="黑体"/>
          <w:sz w:val="36"/>
          <w:szCs w:val="36"/>
        </w:rPr>
        <w:t>第五章 绿色矿业发展与矿区生态保护</w:t>
      </w:r>
      <w:bookmarkEnd w:id="92"/>
      <w:bookmarkEnd w:id="93"/>
      <w:bookmarkEnd w:id="94"/>
      <w:bookmarkEnd w:id="95"/>
    </w:p>
    <w:p>
      <w:pPr>
        <w:spacing w:before="156" w:beforeLines="50" w:after="156" w:afterLines="50"/>
        <w:jc w:val="center"/>
        <w:outlineLvl w:val="1"/>
        <w:rPr>
          <w:rFonts w:ascii="黑体" w:hAnsi="黑体" w:eastAsia="黑体"/>
          <w:b/>
          <w:bCs/>
          <w:sz w:val="32"/>
          <w:szCs w:val="32"/>
        </w:rPr>
      </w:pPr>
      <w:bookmarkStart w:id="96" w:name="_Toc74177801"/>
      <w:bookmarkStart w:id="97" w:name="_Toc74178575"/>
      <w:bookmarkStart w:id="98" w:name="_Toc119246871"/>
      <w:bookmarkStart w:id="99" w:name="_Toc119247001"/>
      <w:bookmarkStart w:id="100" w:name="_Toc100741792"/>
      <w:bookmarkStart w:id="101" w:name="_Toc100824237"/>
      <w:r>
        <w:rPr>
          <w:rFonts w:hint="eastAsia" w:ascii="黑体" w:hAnsi="黑体" w:eastAsia="黑体"/>
          <w:b/>
          <w:bCs/>
          <w:sz w:val="32"/>
          <w:szCs w:val="32"/>
        </w:rPr>
        <w:t xml:space="preserve">第一节 </w:t>
      </w:r>
      <w:bookmarkEnd w:id="96"/>
      <w:bookmarkEnd w:id="97"/>
      <w:r>
        <w:rPr>
          <w:rFonts w:hint="eastAsia" w:ascii="黑体" w:hAnsi="黑体" w:eastAsia="黑体"/>
          <w:b/>
          <w:bCs/>
          <w:sz w:val="32"/>
          <w:szCs w:val="32"/>
        </w:rPr>
        <w:t>严格绿色勘查要求</w:t>
      </w:r>
      <w:bookmarkEnd w:id="98"/>
      <w:bookmarkEnd w:id="99"/>
      <w:bookmarkEnd w:id="100"/>
      <w:bookmarkEnd w:id="101"/>
    </w:p>
    <w:p>
      <w:pPr>
        <w:autoSpaceDE w:val="0"/>
        <w:autoSpaceDN w:val="0"/>
        <w:spacing w:line="360" w:lineRule="auto"/>
        <w:ind w:firstLine="643" w:firstLineChars="200"/>
        <w:textAlignment w:val="baseline"/>
        <w:rPr>
          <w:rFonts w:ascii="仿宋_GB2312" w:hAnsi="仿宋_GB2312" w:eastAsia="仿宋_GB2312"/>
          <w:sz w:val="32"/>
          <w:szCs w:val="24"/>
          <w:lang w:val="zh-CN"/>
        </w:rPr>
      </w:pPr>
      <w:r>
        <w:rPr>
          <w:rFonts w:hint="eastAsia" w:ascii="仿宋_GB2312" w:hAnsi="仿宋_GB2312" w:eastAsia="仿宋_GB2312"/>
          <w:b/>
          <w:sz w:val="32"/>
          <w:szCs w:val="24"/>
          <w:lang w:val="zh-CN"/>
        </w:rPr>
        <w:t>坚持绿色勘查理念。</w:t>
      </w:r>
      <w:r>
        <w:rPr>
          <w:rFonts w:hint="eastAsia" w:ascii="仿宋_GB2312" w:hAnsi="仿宋_GB2312" w:eastAsia="仿宋_GB2312"/>
          <w:sz w:val="32"/>
          <w:szCs w:val="24"/>
          <w:lang w:val="zh-CN"/>
        </w:rPr>
        <w:t>加强对在县域内从事地质勘查活动的地勘从业人员进行绿色勘查的宣传和教育。坚持</w:t>
      </w:r>
      <w:r>
        <w:rPr>
          <w:rFonts w:hint="eastAsia" w:ascii="仿宋_GB2312" w:hAnsi="仿宋_GB2312" w:eastAsia="仿宋_GB2312"/>
          <w:sz w:val="32"/>
          <w:szCs w:val="24"/>
        </w:rPr>
        <w:t>“</w:t>
      </w:r>
      <w:r>
        <w:rPr>
          <w:rFonts w:hint="eastAsia" w:ascii="仿宋_GB2312" w:hAnsi="仿宋_GB2312" w:eastAsia="仿宋_GB2312"/>
          <w:sz w:val="32"/>
          <w:szCs w:val="24"/>
          <w:lang w:val="zh-CN"/>
        </w:rPr>
        <w:t>生态保护第一，尊重群众意愿</w:t>
      </w:r>
      <w:r>
        <w:rPr>
          <w:rFonts w:hint="eastAsia" w:ascii="仿宋_GB2312" w:hAnsi="仿宋_GB2312" w:eastAsia="仿宋_GB2312"/>
          <w:sz w:val="32"/>
          <w:szCs w:val="24"/>
        </w:rPr>
        <w:t>”</w:t>
      </w:r>
      <w:r>
        <w:rPr>
          <w:rFonts w:hint="eastAsia" w:ascii="仿宋_GB2312" w:hAnsi="仿宋_GB2312" w:eastAsia="仿宋_GB2312"/>
          <w:sz w:val="32"/>
          <w:szCs w:val="24"/>
          <w:lang w:val="zh-CN"/>
        </w:rPr>
        <w:t>、</w:t>
      </w:r>
      <w:r>
        <w:rPr>
          <w:rFonts w:hint="eastAsia" w:ascii="仿宋_GB2312" w:hAnsi="仿宋_GB2312" w:eastAsia="仿宋_GB2312"/>
          <w:sz w:val="32"/>
          <w:szCs w:val="24"/>
        </w:rPr>
        <w:t>“</w:t>
      </w:r>
      <w:r>
        <w:rPr>
          <w:rFonts w:hint="eastAsia" w:ascii="仿宋_GB2312" w:hAnsi="仿宋_GB2312" w:eastAsia="仿宋_GB2312"/>
          <w:sz w:val="32"/>
          <w:szCs w:val="24"/>
          <w:lang w:val="zh-CN"/>
        </w:rPr>
        <w:t>共抓大保护，实现绿色可持续发展</w:t>
      </w:r>
      <w:r>
        <w:rPr>
          <w:rFonts w:hint="eastAsia" w:ascii="仿宋_GB2312" w:hAnsi="仿宋_GB2312" w:eastAsia="仿宋_GB2312"/>
          <w:sz w:val="32"/>
          <w:szCs w:val="24"/>
        </w:rPr>
        <w:t>”</w:t>
      </w:r>
      <w:r>
        <w:rPr>
          <w:rFonts w:hint="eastAsia" w:ascii="仿宋_GB2312" w:hAnsi="仿宋_GB2312" w:eastAsia="仿宋_GB2312"/>
          <w:sz w:val="32"/>
          <w:szCs w:val="24"/>
          <w:lang w:val="zh-CN"/>
        </w:rPr>
        <w:t>等原则。探矿权人和勘查单位从事勘查活动，必须满足《绿色勘查指南》、《绿色地质勘查工作规范》（</w:t>
      </w:r>
      <w:r>
        <w:rPr>
          <w:rFonts w:hint="eastAsia" w:ascii="仿宋_GB2312" w:hAnsi="仿宋_GB2312" w:eastAsia="仿宋_GB2312"/>
          <w:sz w:val="32"/>
          <w:szCs w:val="24"/>
        </w:rPr>
        <w:t>DZ/T0374-2021</w:t>
      </w:r>
      <w:r>
        <w:rPr>
          <w:rFonts w:hint="eastAsia" w:ascii="仿宋_GB2312" w:hAnsi="仿宋_GB2312" w:eastAsia="仿宋_GB2312"/>
          <w:sz w:val="32"/>
          <w:szCs w:val="24"/>
          <w:lang w:val="zh-CN"/>
        </w:rPr>
        <w:t>）等文件要求，严格约束勘查行为。积极申报绿色勘查示范项目。申报为绿色勘查示范项目的，在土地使用、矿业权指标投放等政策上依法给予倾斜。</w:t>
      </w:r>
    </w:p>
    <w:p>
      <w:pPr>
        <w:autoSpaceDE w:val="0"/>
        <w:autoSpaceDN w:val="0"/>
        <w:spacing w:line="360" w:lineRule="auto"/>
        <w:ind w:firstLine="643" w:firstLineChars="200"/>
        <w:textAlignment w:val="baseline"/>
        <w:rPr>
          <w:rFonts w:ascii="仿宋_GB2312" w:hAnsi="仿宋_GB2312" w:eastAsia="仿宋_GB2312"/>
          <w:sz w:val="32"/>
          <w:szCs w:val="24"/>
        </w:rPr>
      </w:pPr>
      <w:r>
        <w:rPr>
          <w:rFonts w:hint="eastAsia" w:ascii="仿宋_GB2312" w:hAnsi="仿宋_GB2312" w:eastAsia="仿宋_GB2312"/>
          <w:b/>
          <w:sz w:val="32"/>
          <w:szCs w:val="24"/>
          <w:lang w:val="zh-CN"/>
        </w:rPr>
        <w:t>推行绿色勘查新技术新方法。</w:t>
      </w:r>
      <w:r>
        <w:rPr>
          <w:rFonts w:hint="eastAsia" w:ascii="仿宋_GB2312" w:hAnsi="仿宋_GB2312" w:eastAsia="仿宋_GB2312"/>
          <w:sz w:val="32"/>
          <w:szCs w:val="24"/>
          <w:lang w:val="zh-CN"/>
        </w:rPr>
        <w:t>鼓励勘查从业单位采用物探、化探、遥感等绿色勘查手段，限制采用对地表环境影响大的槽探等勘查手段，最大限度地避免或减轻勘查活动对生态环境的影响。勘查作业单位和人员要尊重地方民俗，构建和谐勘查氛围，统筹兼顾勘查效益、生态环境效益和社会效益。</w:t>
      </w:r>
    </w:p>
    <w:p>
      <w:pPr>
        <w:autoSpaceDE w:val="0"/>
        <w:autoSpaceDN w:val="0"/>
        <w:spacing w:line="360" w:lineRule="auto"/>
        <w:ind w:firstLine="643" w:firstLineChars="200"/>
        <w:textAlignment w:val="baseline"/>
        <w:rPr>
          <w:rFonts w:ascii="仿宋_GB2312" w:hAnsi="仿宋_GB2312" w:eastAsia="仿宋_GB2312"/>
          <w:bCs/>
          <w:sz w:val="32"/>
          <w:szCs w:val="24"/>
          <w:lang w:val="zh-CN"/>
        </w:rPr>
      </w:pPr>
      <w:r>
        <w:rPr>
          <w:rFonts w:hint="eastAsia" w:ascii="仿宋_GB2312" w:hAnsi="仿宋_GB2312" w:eastAsia="仿宋_GB2312"/>
          <w:b/>
          <w:sz w:val="32"/>
          <w:szCs w:val="24"/>
          <w:lang w:val="zh-CN"/>
        </w:rPr>
        <w:t>严格绿色勘查管理。</w:t>
      </w:r>
      <w:r>
        <w:rPr>
          <w:rFonts w:hint="eastAsia" w:ascii="仿宋_GB2312" w:hAnsi="仿宋_GB2312" w:eastAsia="仿宋_GB2312"/>
          <w:bCs/>
          <w:sz w:val="32"/>
          <w:szCs w:val="24"/>
          <w:lang w:val="zh-CN"/>
        </w:rPr>
        <w:t>按照绿色地质勘查工作相关要求，引导探矿权人和勘查单位积极申报绿色勘查示范项目，按规定给予土地使用和矿业权指标投放等优惠政策。按照“谁勘查、谁负责，谁破坏、谁治理”原则，积极推进绿色勘查监督管理，制定绿色勘查生态环境保护、土地复绿等规章制度和保护措施，将绿色勘查管理内容融入日常工作，确保责任明确、监管有效和投入到位。</w:t>
      </w:r>
    </w:p>
    <w:p>
      <w:pPr>
        <w:pStyle w:val="3"/>
        <w:spacing w:before="120" w:after="120"/>
        <w:jc w:val="center"/>
        <w:rPr>
          <w:rFonts w:ascii="黑体" w:hAnsi="黑体" w:eastAsia="黑体"/>
          <w:bCs w:val="0"/>
        </w:rPr>
      </w:pPr>
      <w:bookmarkStart w:id="102" w:name="_Toc119246872"/>
      <w:bookmarkStart w:id="103" w:name="_Toc100741793"/>
      <w:bookmarkStart w:id="104" w:name="_Toc119247002"/>
      <w:bookmarkStart w:id="105" w:name="_Toc100824238"/>
      <w:r>
        <w:rPr>
          <w:rFonts w:hint="eastAsia" w:ascii="黑体" w:hAnsi="黑体" w:eastAsia="黑体"/>
          <w:bCs w:val="0"/>
        </w:rPr>
        <w:t>第二节 推进绿色矿山建设</w:t>
      </w:r>
      <w:bookmarkEnd w:id="102"/>
      <w:bookmarkEnd w:id="103"/>
      <w:bookmarkEnd w:id="104"/>
      <w:bookmarkEnd w:id="105"/>
    </w:p>
    <w:p>
      <w:pPr>
        <w:spacing w:line="360" w:lineRule="auto"/>
        <w:ind w:firstLine="640" w:firstLineChars="200"/>
        <w:rPr>
          <w:rFonts w:ascii="仿宋_GB2312" w:hAnsi="宋体" w:eastAsia="仿宋_GB2312"/>
          <w:sz w:val="32"/>
          <w:szCs w:val="32"/>
        </w:rPr>
      </w:pPr>
      <w:r>
        <w:rPr>
          <w:rFonts w:hint="eastAsia" w:ascii="仿宋_GB2312" w:eastAsia="仿宋_GB2312"/>
          <w:sz w:val="32"/>
          <w:szCs w:val="32"/>
        </w:rPr>
        <w:t>牢固树</w:t>
      </w:r>
      <w:r>
        <w:rPr>
          <w:rFonts w:hint="eastAsia" w:ascii="仿宋_GB2312" w:hAnsi="宋体" w:eastAsia="仿宋_GB2312"/>
          <w:sz w:val="32"/>
          <w:szCs w:val="32"/>
        </w:rPr>
        <w:t>立创新、协调、绿色、开放、共享五大发展理念，坚持生态优先、绿色矿山发展并行。按照《关于加快建设绿色矿山的实施意见》（国土资规〔2017〕4号）等规范和意见，根据生产矿山相对集中的特点，引导矿山按照绿色矿山标准对矿区进行合理规划建设布局，做好厂容厂貌及防尘保洁措施、矿区绿化，引进先进技术，改进矿山资源开发方式、采选工艺、技术装备，提高资源综合利用，</w:t>
      </w:r>
      <w:r>
        <w:rPr>
          <w:rFonts w:hint="eastAsia" w:ascii="仿宋_GB2312" w:hAnsi="Tahoma" w:eastAsia="仿宋_GB2312" w:cs="Tahoma"/>
          <w:kern w:val="0"/>
          <w:sz w:val="32"/>
          <w:szCs w:val="32"/>
        </w:rPr>
        <w:t>开展矿山地质环境恢复治理，</w:t>
      </w:r>
      <w:r>
        <w:rPr>
          <w:rFonts w:hint="eastAsia" w:ascii="仿宋_GB2312" w:hAnsi="宋体" w:eastAsia="仿宋_GB2312"/>
          <w:sz w:val="32"/>
          <w:szCs w:val="32"/>
        </w:rPr>
        <w:t>改善矿区生态环境，加强共伴生资源利用、“三废”处理与利用。从矿区环境、资源开发方式、资源综合利用、节能减排、科技创新与数字化矿山、企业管理与企业形象等方面综合规划、综合布局、综合建设，构建小金绿色矿业发展新局面。</w:t>
      </w:r>
    </w:p>
    <w:p>
      <w:pPr>
        <w:autoSpaceDE w:val="0"/>
        <w:autoSpaceDN w:val="0"/>
        <w:spacing w:line="360" w:lineRule="auto"/>
        <w:ind w:firstLine="643" w:firstLineChars="200"/>
        <w:textAlignment w:val="baseline"/>
        <w:rPr>
          <w:rFonts w:ascii="仿宋_GB2312" w:hAnsi="仿宋_GB2312" w:eastAsia="仿宋_GB2312"/>
          <w:sz w:val="32"/>
          <w:szCs w:val="24"/>
        </w:rPr>
      </w:pPr>
      <w:r>
        <w:rPr>
          <w:rFonts w:hint="eastAsia" w:ascii="仿宋_GB2312" w:hAnsi="仿宋_GB2312" w:eastAsia="仿宋_GB2312"/>
          <w:b/>
          <w:sz w:val="32"/>
          <w:szCs w:val="24"/>
          <w:lang w:val="zh-CN"/>
        </w:rPr>
        <w:t>严格矿业权出让合同管理。</w:t>
      </w:r>
      <w:r>
        <w:rPr>
          <w:rFonts w:hint="eastAsia" w:ascii="仿宋_GB2312" w:hAnsi="仿宋_GB2312" w:eastAsia="仿宋_GB2312"/>
          <w:sz w:val="32"/>
          <w:szCs w:val="24"/>
          <w:lang w:val="zh-CN"/>
        </w:rPr>
        <w:t>根据采矿权出让合同，明确矿山开发方式、资源利用、矿容矿貌、矿山生态环境恢复治理、土地复垦等相关要求，对未履行采矿权出让合同中绿色矿山建设任务的新建矿山企业，追究相关违约责任。</w:t>
      </w:r>
    </w:p>
    <w:p>
      <w:pPr>
        <w:pStyle w:val="21"/>
        <w:spacing w:after="0"/>
        <w:ind w:left="0" w:leftChars="0" w:firstLine="643"/>
        <w:rPr>
          <w:rFonts w:ascii="仿宋_GB2312" w:eastAsia="仿宋_GB2312"/>
          <w:sz w:val="32"/>
          <w:szCs w:val="32"/>
        </w:rPr>
      </w:pPr>
      <w:r>
        <w:rPr>
          <w:rFonts w:hint="eastAsia" w:ascii="仿宋_GB2312" w:eastAsia="仿宋_GB2312"/>
          <w:b/>
          <w:bCs/>
          <w:sz w:val="32"/>
          <w:szCs w:val="32"/>
        </w:rPr>
        <w:t>加强组织领导和监督检查。</w:t>
      </w:r>
      <w:r>
        <w:rPr>
          <w:rFonts w:hint="eastAsia" w:ascii="仿宋_GB2312" w:eastAsia="仿宋_GB2312"/>
          <w:sz w:val="32"/>
          <w:szCs w:val="32"/>
        </w:rPr>
        <w:t>将绿色矿山建设作为矿产资源管理的一项重要任务，纳入工作计划，进行专题部署。政府加强领导，落实责任，完善制度，抓好落实。自然资源部门认真做好绿色矿山建设工作的指导、协调和监督检查，加强对绿色矿山建设工作的总结、宣传和推广，为绿色矿山建设工作营造良好环境，有序推进绿色矿山建设工作。</w:t>
      </w:r>
    </w:p>
    <w:p>
      <w:pPr>
        <w:autoSpaceDE w:val="0"/>
        <w:autoSpaceDN w:val="0"/>
        <w:spacing w:line="360" w:lineRule="auto"/>
        <w:ind w:firstLine="643" w:firstLineChars="200"/>
        <w:textAlignment w:val="baseline"/>
        <w:rPr>
          <w:rFonts w:ascii="仿宋_GB2312" w:hAnsi="仿宋_GB2312" w:eastAsia="仿宋_GB2312"/>
          <w:sz w:val="32"/>
          <w:szCs w:val="24"/>
        </w:rPr>
      </w:pPr>
      <w:r>
        <w:rPr>
          <w:rFonts w:hint="eastAsia" w:ascii="仿宋_GB2312" w:hAnsi="仿宋_GB2312" w:eastAsia="仿宋_GB2312"/>
          <w:b/>
          <w:sz w:val="32"/>
          <w:szCs w:val="24"/>
          <w:lang w:val="zh-CN"/>
        </w:rPr>
        <w:t>落实矿山企业主体责任。</w:t>
      </w:r>
      <w:r>
        <w:rPr>
          <w:rFonts w:hint="eastAsia" w:ascii="仿宋_GB2312" w:hAnsi="仿宋_GB2312" w:eastAsia="仿宋_GB2312"/>
          <w:sz w:val="32"/>
          <w:szCs w:val="24"/>
          <w:lang w:val="zh-CN"/>
        </w:rPr>
        <w:t>督促矿山企业提升矿区环境，建设</w:t>
      </w:r>
      <w:r>
        <w:rPr>
          <w:rFonts w:hint="eastAsia" w:ascii="仿宋_GB2312" w:hAnsi="仿宋_GB2312" w:eastAsia="仿宋_GB2312"/>
          <w:sz w:val="32"/>
          <w:szCs w:val="24"/>
        </w:rPr>
        <w:t>“</w:t>
      </w:r>
      <w:r>
        <w:rPr>
          <w:rFonts w:hint="eastAsia" w:ascii="仿宋_GB2312" w:hAnsi="仿宋_GB2312" w:eastAsia="仿宋_GB2312"/>
          <w:sz w:val="32"/>
          <w:szCs w:val="24"/>
          <w:lang w:val="zh-CN"/>
        </w:rPr>
        <w:t>花园式</w:t>
      </w:r>
      <w:r>
        <w:rPr>
          <w:rFonts w:hint="eastAsia" w:ascii="仿宋_GB2312" w:hAnsi="仿宋_GB2312" w:eastAsia="仿宋_GB2312"/>
          <w:sz w:val="32"/>
          <w:szCs w:val="24"/>
        </w:rPr>
        <w:t>”</w:t>
      </w:r>
      <w:r>
        <w:rPr>
          <w:rFonts w:hint="eastAsia" w:ascii="仿宋_GB2312" w:hAnsi="仿宋_GB2312" w:eastAsia="仿宋_GB2312"/>
          <w:sz w:val="32"/>
          <w:szCs w:val="24"/>
          <w:lang w:val="zh-CN"/>
        </w:rPr>
        <w:t>矿山，实现矿区环境天蓝、地绿、水净。鼓励企业采用科学合理的开采方法，推广先进、高效的选矿方法，切实履行矿山地质环境治理恢复与土地复垦义务，确保矿区环境得到及时治理和恢复。确保“三废”达标排放。鼓励企业建设安全监测系统平台，废气、废水污染控制系统在线监测平台，提升企业管理和企业形象，夯实企业建设绿色矿山的责任。</w:t>
      </w:r>
    </w:p>
    <w:p>
      <w:pPr>
        <w:autoSpaceDE w:val="0"/>
        <w:autoSpaceDN w:val="0"/>
        <w:spacing w:line="360" w:lineRule="auto"/>
        <w:ind w:firstLine="643" w:firstLineChars="200"/>
        <w:textAlignment w:val="baseline"/>
        <w:rPr>
          <w:rFonts w:ascii="仿宋_GB2312" w:hAnsi="仿宋_GB2312" w:eastAsia="仿宋_GB2312"/>
          <w:sz w:val="32"/>
          <w:szCs w:val="24"/>
        </w:rPr>
      </w:pPr>
      <w:r>
        <w:rPr>
          <w:rFonts w:hint="eastAsia" w:ascii="仿宋_GB2312" w:hAnsi="仿宋_GB2312" w:eastAsia="仿宋_GB2312"/>
          <w:b/>
          <w:sz w:val="32"/>
          <w:szCs w:val="24"/>
          <w:lang w:val="zh-CN"/>
        </w:rPr>
        <w:t>营造良好的政策环境。</w:t>
      </w:r>
      <w:r>
        <w:rPr>
          <w:rFonts w:hint="eastAsia" w:ascii="仿宋_GB2312" w:hAnsi="仿宋_GB2312" w:eastAsia="仿宋_GB2312"/>
          <w:sz w:val="32"/>
          <w:szCs w:val="24"/>
          <w:lang w:val="zh-CN"/>
        </w:rPr>
        <w:t>充分运用经济、行政等多种手段，全面落实资源综合利用、地质环境保护、节能减排等相关优惠政策，调动企业建设绿色矿山的积极性，推动绿色矿山建设。</w:t>
      </w:r>
    </w:p>
    <w:p>
      <w:pPr>
        <w:spacing w:before="156" w:beforeLines="50" w:after="156" w:afterLines="50"/>
        <w:jc w:val="center"/>
        <w:outlineLvl w:val="1"/>
        <w:rPr>
          <w:rFonts w:ascii="黑体" w:hAnsi="黑体" w:eastAsia="黑体"/>
          <w:b/>
          <w:bCs/>
          <w:sz w:val="32"/>
          <w:szCs w:val="32"/>
        </w:rPr>
      </w:pPr>
      <w:bookmarkStart w:id="106" w:name="_Toc119246873"/>
      <w:bookmarkStart w:id="107" w:name="_Toc119247003"/>
      <w:bookmarkStart w:id="108" w:name="_Toc100824239"/>
      <w:r>
        <w:rPr>
          <w:rFonts w:hint="eastAsia" w:ascii="黑体" w:hAnsi="黑体" w:eastAsia="黑体"/>
          <w:b/>
          <w:bCs/>
          <w:sz w:val="32"/>
          <w:szCs w:val="32"/>
        </w:rPr>
        <w:t>第三节 加强矿区生态保护</w:t>
      </w:r>
      <w:bookmarkEnd w:id="106"/>
      <w:bookmarkEnd w:id="107"/>
      <w:bookmarkEnd w:id="108"/>
    </w:p>
    <w:p>
      <w:pPr>
        <w:pStyle w:val="7"/>
        <w:spacing w:after="0"/>
        <w:ind w:firstLine="640"/>
        <w:rPr>
          <w:rFonts w:ascii="仿宋_GB2312" w:eastAsia="仿宋_GB2312"/>
          <w:sz w:val="32"/>
          <w:szCs w:val="28"/>
        </w:rPr>
      </w:pPr>
      <w:r>
        <w:rPr>
          <w:rFonts w:hint="eastAsia" w:ascii="仿宋_GB2312" w:eastAsia="仿宋_GB2312"/>
          <w:sz w:val="32"/>
          <w:szCs w:val="28"/>
        </w:rPr>
        <w:t>以“创新、协调、绿色、开放、共享”五大发展理念为引领，深入践行“绿水青山就是金山银山”理念，坚持资源开发与生态环境保护相协调，把生态环境保护放在更加突出的位置，全面落实“边开采、边治理”要求，完善矿山地质环境监测和生态环境保护机制，落实土地复垦责任人的复垦义务。</w:t>
      </w:r>
    </w:p>
    <w:p>
      <w:pPr>
        <w:pStyle w:val="7"/>
        <w:spacing w:after="0"/>
        <w:ind w:firstLine="643"/>
        <w:rPr>
          <w:rFonts w:ascii="仿宋_GB2312" w:eastAsia="仿宋_GB2312"/>
          <w:color w:val="000000"/>
          <w:sz w:val="32"/>
          <w:szCs w:val="28"/>
        </w:rPr>
      </w:pPr>
      <w:r>
        <w:rPr>
          <w:rFonts w:hint="eastAsia" w:ascii="仿宋_GB2312" w:eastAsia="仿宋_GB2312"/>
          <w:b/>
          <w:bCs/>
          <w:sz w:val="32"/>
          <w:szCs w:val="28"/>
        </w:rPr>
        <w:t>新建（在建）矿山生态环境保护修复。</w:t>
      </w:r>
      <w:r>
        <w:rPr>
          <w:rFonts w:hint="eastAsia" w:ascii="仿宋_GB2312" w:eastAsia="仿宋_GB2312"/>
          <w:sz w:val="32"/>
          <w:szCs w:val="28"/>
        </w:rPr>
        <w:t>严格</w:t>
      </w:r>
      <w:r>
        <w:rPr>
          <w:rFonts w:hint="eastAsia" w:ascii="仿宋_GB2312" w:eastAsia="仿宋_GB2312"/>
          <w:color w:val="000000"/>
          <w:sz w:val="32"/>
          <w:szCs w:val="28"/>
        </w:rPr>
        <w:t>落实矿山地</w:t>
      </w:r>
      <w:bookmarkStart w:id="109" w:name="_Hlk114765923"/>
      <w:r>
        <w:rPr>
          <w:rFonts w:hint="eastAsia" w:ascii="仿宋_GB2312" w:eastAsia="仿宋_GB2312"/>
          <w:color w:val="000000"/>
          <w:sz w:val="32"/>
          <w:szCs w:val="28"/>
        </w:rPr>
        <w:t>质环境治理</w:t>
      </w:r>
      <w:bookmarkEnd w:id="109"/>
      <w:r>
        <w:rPr>
          <w:rFonts w:hint="eastAsia" w:ascii="仿宋_GB2312" w:eastAsia="仿宋_GB2312"/>
          <w:color w:val="000000"/>
          <w:sz w:val="32"/>
          <w:szCs w:val="28"/>
        </w:rPr>
        <w:t>恢复基金制度，明确采矿权人地质环境治理的责任和义务，采矿权人须编制矿山地质环境保护与土地复垦方案，作为采矿权审批时重点审查要件，须按要求将《方案》执行情况、基金提取与使用情况录入矿业权人勘查开采信息公示系统，及时向社会公示，接受社会监督。矿产资源主管部门要会同同级生态环境部门建立动态监管机制，对本行政区域内采矿权人的矿山生态修复情况进行监督检查。矿山建设开发前应开展地质灾害危险性评估，并按评估报告建议落实防灾措施。严格执行建设项目环保、水土保持、安全生产“三同时”制度，按环评要求，全面落实水、固废等污染防治措施，加强环境保护、水土保持、安全生产设施的竣工验收，对验收不合格的矿山企业，自然资源主管部门有权禁止其投产。</w:t>
      </w:r>
    </w:p>
    <w:p>
      <w:pPr>
        <w:pStyle w:val="7"/>
        <w:spacing w:after="0"/>
        <w:ind w:firstLine="643"/>
        <w:rPr>
          <w:rFonts w:ascii="仿宋_GB2312" w:eastAsia="仿宋_GB2312"/>
          <w:sz w:val="32"/>
          <w:szCs w:val="28"/>
        </w:rPr>
      </w:pPr>
      <w:r>
        <w:rPr>
          <w:rFonts w:hint="eastAsia" w:ascii="仿宋_GB2312" w:eastAsia="仿宋_GB2312"/>
          <w:b/>
          <w:bCs/>
          <w:sz w:val="32"/>
          <w:szCs w:val="28"/>
        </w:rPr>
        <w:t>生产矿山生态环境保护修复。</w:t>
      </w:r>
      <w:r>
        <w:rPr>
          <w:rFonts w:hint="eastAsia" w:ascii="仿宋_GB2312" w:eastAsia="仿宋_GB2312"/>
          <w:sz w:val="32"/>
          <w:szCs w:val="28"/>
        </w:rPr>
        <w:t>按照“边开采、边修复”的原则，明确矿山企业保护环境的责任和义务，全面执行</w:t>
      </w:r>
      <w:bookmarkStart w:id="110" w:name="_Hlk114765895"/>
      <w:r>
        <w:rPr>
          <w:rFonts w:hint="eastAsia" w:ascii="仿宋_GB2312" w:eastAsia="仿宋_GB2312"/>
          <w:sz w:val="32"/>
          <w:szCs w:val="28"/>
        </w:rPr>
        <w:t>矿山地质环境治理恢复基金制度</w:t>
      </w:r>
      <w:bookmarkEnd w:id="110"/>
      <w:r>
        <w:rPr>
          <w:rFonts w:hint="eastAsia" w:ascii="仿宋_GB2312" w:eastAsia="仿宋_GB2312"/>
          <w:sz w:val="32"/>
          <w:szCs w:val="28"/>
        </w:rPr>
        <w:t>，矿山企业</w:t>
      </w:r>
      <w:r>
        <w:rPr>
          <w:rFonts w:hint="eastAsia" w:ascii="仿宋_GB2312" w:eastAsia="仿宋_GB2312"/>
          <w:color w:val="000000"/>
          <w:sz w:val="32"/>
          <w:szCs w:val="28"/>
        </w:rPr>
        <w:t>须按要求将《方案》执行情况、基金提取与使用情况录入矿业权人勘查开采信息公示系统，及时向社会公示，接受社会监督。矿产资源主管部门要会同同级生态环境部门建立动态监管机制，对本行政区域内采矿权人的矿山生态修复情况进行监督检查。</w:t>
      </w:r>
      <w:r>
        <w:rPr>
          <w:rFonts w:hint="eastAsia" w:ascii="仿宋_GB2312" w:eastAsia="仿宋_GB2312"/>
          <w:sz w:val="32"/>
          <w:szCs w:val="28"/>
        </w:rPr>
        <w:t>严格落实矿山开发利用、地质环境保护与土地复垦方案要求，加强方案审查与实施情况随机抽查工作；明确矿山企业生态修复年度实施计划，加强监督检查，开展矿山生态修复动态监管信息平台建设，提高监管能力，督促矿山企业切实履行矿山生态修复义务。露天开采矿山严格执行自上而下分水平台阶开采，及时形成终了边坡，严禁“一面墙”式开采，形成二阶以上终了边坡的，应及时进行治理修复，绿植应与周边自然生态相协调。</w:t>
      </w:r>
    </w:p>
    <w:p>
      <w:pPr>
        <w:spacing w:line="360" w:lineRule="auto"/>
        <w:ind w:firstLine="643" w:firstLineChars="200"/>
        <w:rPr>
          <w:rFonts w:ascii="仿宋_GB2312" w:hAnsi="仿宋" w:eastAsia="仿宋_GB2312"/>
          <w:sz w:val="32"/>
          <w:szCs w:val="32"/>
        </w:rPr>
      </w:pPr>
      <w:r>
        <w:rPr>
          <w:rFonts w:hint="eastAsia" w:ascii="仿宋_GB2312" w:hAnsi="仿宋" w:eastAsia="仿宋_GB2312"/>
          <w:b/>
          <w:bCs/>
          <w:sz w:val="32"/>
          <w:szCs w:val="32"/>
        </w:rPr>
        <w:t>突出矿山修复“生态”属性。</w:t>
      </w:r>
      <w:r>
        <w:rPr>
          <w:rFonts w:hint="eastAsia" w:ascii="仿宋_GB2312" w:hAnsi="仿宋" w:eastAsia="仿宋_GB2312"/>
          <w:sz w:val="32"/>
          <w:szCs w:val="32"/>
        </w:rPr>
        <w:t>矿山生态修复应符合国土空间规划，符合自然保护地、生态保护红线、永久基本农田保护、城镇开发边界等管控要求，遵循生态系统演替规律，坚持“谁开发、谁治理”“宜耕则耕、宜林则林、宜草则草、宜湿则湿”原则，综合考虑修复后的社会效益、经济效益和生态效益，加快推进矿山生态修复。</w:t>
      </w:r>
    </w:p>
    <w:p>
      <w:pPr>
        <w:ind w:firstLine="643"/>
        <w:rPr>
          <w:rFonts w:ascii="仿宋_GB2312" w:eastAsia="仿宋_GB2312"/>
          <w:color w:val="000000"/>
          <w:sz w:val="32"/>
          <w:szCs w:val="32"/>
        </w:rPr>
      </w:pPr>
      <w:r>
        <w:rPr>
          <w:rFonts w:hint="eastAsia" w:ascii="仿宋_GB2312" w:eastAsia="仿宋_GB2312"/>
          <w:b/>
          <w:bCs/>
          <w:snapToGrid w:val="0"/>
          <w:color w:val="000000"/>
          <w:sz w:val="32"/>
          <w:szCs w:val="32"/>
        </w:rPr>
        <w:t>加强矿山生态修复监测监督管理。</w:t>
      </w:r>
      <w:r>
        <w:rPr>
          <w:rFonts w:hint="eastAsia" w:ascii="仿宋_GB2312" w:eastAsia="仿宋_GB2312"/>
          <w:bCs/>
          <w:snapToGrid w:val="0"/>
          <w:color w:val="000000"/>
          <w:sz w:val="32"/>
          <w:szCs w:val="32"/>
        </w:rPr>
        <w:t>有序推进以国家区域监测、矿山自主监测和政府监管相结合的国家、省、市（州）、县四级监测管理体系的建立，加强对全县矿山生态修复监测监督管理，开展以大中型矿山为主的生态修复动态监测工作，建立完善矿山地质环境动态监测信息系统和数据库，推动矿山生态环境保护与治理工作迈向科学化、规范化管理的轨道。</w:t>
      </w:r>
      <w:r>
        <w:rPr>
          <w:rStyle w:val="40"/>
          <w:rFonts w:hint="default"/>
        </w:rPr>
        <w:t>按照《四川省在建与生产矿山生态修复管理办法》要求，自然资源主管部门每年应开展矿山地质环境保护与土地复垦</w:t>
      </w:r>
      <w:r>
        <w:rPr>
          <w:rStyle w:val="41"/>
          <w:rFonts w:hint="default"/>
        </w:rPr>
        <w:t>“</w:t>
      </w:r>
      <w:r>
        <w:rPr>
          <w:rStyle w:val="40"/>
          <w:rFonts w:hint="default"/>
        </w:rPr>
        <w:t>双随机一公开</w:t>
      </w:r>
      <w:r>
        <w:rPr>
          <w:rStyle w:val="41"/>
          <w:rFonts w:hint="default"/>
        </w:rPr>
        <w:t>”</w:t>
      </w:r>
      <w:r>
        <w:rPr>
          <w:rStyle w:val="40"/>
          <w:rFonts w:hint="default"/>
        </w:rPr>
        <w:t>检查，检查数量不少于登记权限范围内在建与生产矿山的10%。</w:t>
      </w:r>
    </w:p>
    <w:p>
      <w:pPr>
        <w:adjustRightInd w:val="0"/>
        <w:snapToGrid w:val="0"/>
        <w:spacing w:line="360" w:lineRule="auto"/>
        <w:ind w:firstLine="640" w:firstLineChars="200"/>
        <w:rPr>
          <w:rFonts w:eastAsia="仿宋"/>
          <w:sz w:val="32"/>
          <w:szCs w:val="32"/>
        </w:rPr>
      </w:pPr>
    </w:p>
    <w:p>
      <w:pPr>
        <w:spacing w:line="360" w:lineRule="auto"/>
        <w:ind w:firstLine="640" w:firstLineChars="200"/>
        <w:rPr>
          <w:rFonts w:eastAsia="仿宋"/>
          <w:sz w:val="32"/>
          <w:szCs w:val="32"/>
        </w:rPr>
        <w:sectPr>
          <w:pgSz w:w="11906" w:h="16838"/>
          <w:pgMar w:top="1440" w:right="1800" w:bottom="1440" w:left="1800" w:header="851" w:footer="992" w:gutter="0"/>
          <w:cols w:space="425" w:num="1"/>
          <w:docGrid w:type="lines" w:linePitch="312" w:charSpace="0"/>
        </w:sectPr>
      </w:pPr>
    </w:p>
    <w:p>
      <w:pPr>
        <w:pStyle w:val="20"/>
        <w:ind w:firstLine="0" w:firstLineChars="0"/>
        <w:rPr>
          <w:rFonts w:ascii="黑体" w:hAnsi="黑体" w:eastAsia="黑体"/>
          <w:sz w:val="36"/>
          <w:szCs w:val="36"/>
        </w:rPr>
      </w:pPr>
      <w:bookmarkStart w:id="111" w:name="_Toc119246874"/>
      <w:bookmarkStart w:id="112" w:name="_Toc100824240"/>
      <w:bookmarkStart w:id="113" w:name="_Toc84672705"/>
      <w:bookmarkStart w:id="114" w:name="_Toc119247004"/>
      <w:r>
        <w:rPr>
          <w:rFonts w:hint="eastAsia" w:ascii="黑体" w:hAnsi="黑体" w:eastAsia="黑体"/>
          <w:sz w:val="36"/>
          <w:szCs w:val="36"/>
        </w:rPr>
        <w:t>第六章 加强规划实施保障措施</w:t>
      </w:r>
      <w:bookmarkEnd w:id="111"/>
      <w:bookmarkEnd w:id="112"/>
      <w:bookmarkEnd w:id="113"/>
      <w:bookmarkEnd w:id="114"/>
    </w:p>
    <w:p>
      <w:pPr>
        <w:spacing w:line="360" w:lineRule="auto"/>
        <w:ind w:firstLine="643" w:firstLineChars="200"/>
        <w:rPr>
          <w:rFonts w:ascii="仿宋_GB2312" w:eastAsia="仿宋_GB2312"/>
          <w:sz w:val="32"/>
          <w:szCs w:val="32"/>
        </w:rPr>
      </w:pPr>
      <w:r>
        <w:rPr>
          <w:rFonts w:hint="eastAsia" w:ascii="仿宋_GB2312" w:eastAsia="仿宋_GB2312"/>
          <w:b/>
          <w:bCs/>
          <w:sz w:val="32"/>
          <w:szCs w:val="32"/>
        </w:rPr>
        <w:t>加强组织领导。</w:t>
      </w:r>
      <w:r>
        <w:rPr>
          <w:rFonts w:hint="eastAsia" w:ascii="仿宋_GB2312" w:eastAsia="仿宋_GB2312"/>
          <w:sz w:val="32"/>
          <w:szCs w:val="32"/>
        </w:rPr>
        <w:t>强化县级人民政府在规划实施过程中的主体责任，加强对矿产资源规划实施的领导，制订贯彻落实规划的工作方案。建立由自然资源主管部门牵头，发改、经信、财政、生态环境、商务、交通运输、水利、应急、林业等部门按照职能分工，协调配合的规划实施与监管联动机制，明确分工、压实责任，做好人才、资金、技术和政策保障，形成推动规划实施的合力，保障规划各项指标及目标任务落地落实。</w:t>
      </w:r>
    </w:p>
    <w:p>
      <w:pPr>
        <w:spacing w:line="360" w:lineRule="auto"/>
        <w:ind w:firstLine="643" w:firstLineChars="200"/>
        <w:rPr>
          <w:rFonts w:ascii="仿宋_GB2312" w:eastAsia="仿宋_GB2312"/>
          <w:sz w:val="32"/>
          <w:szCs w:val="32"/>
        </w:rPr>
      </w:pPr>
      <w:r>
        <w:rPr>
          <w:rFonts w:hint="eastAsia" w:ascii="仿宋_GB2312" w:eastAsia="仿宋_GB2312"/>
          <w:b/>
          <w:bCs/>
          <w:sz w:val="32"/>
          <w:szCs w:val="32"/>
        </w:rPr>
        <w:t>强化规划管控。</w:t>
      </w:r>
      <w:r>
        <w:rPr>
          <w:rFonts w:hint="eastAsia" w:ascii="仿宋_GB2312" w:eastAsia="仿宋_GB2312"/>
          <w:sz w:val="32"/>
          <w:szCs w:val="32"/>
        </w:rPr>
        <w:t>强化规划在矿产资源勘查开发与保护管理中的刚性约束。原则上矿产资源规划经政府发布后一年内不允许调整，后期确需调整的，每年只允许调整一次，且需充分说明理由并报原审批机关批准。经审查不符合矿产资源规划的，登记管理机关不得颁发勘查许可证和采矿许可证，相关主管部门不得批准立项，不得批准用地。</w:t>
      </w:r>
    </w:p>
    <w:p>
      <w:pPr>
        <w:ind w:firstLine="643"/>
        <w:rPr>
          <w:rFonts w:ascii="仿宋_GB2312" w:eastAsia="仿宋_GB2312"/>
          <w:sz w:val="32"/>
          <w:szCs w:val="32"/>
        </w:rPr>
      </w:pPr>
      <w:r>
        <w:rPr>
          <w:rFonts w:hint="eastAsia" w:ascii="仿宋_GB2312" w:eastAsia="仿宋_GB2312"/>
          <w:b/>
          <w:bCs/>
          <w:sz w:val="32"/>
          <w:szCs w:val="32"/>
        </w:rPr>
        <w:t>加强监督检查。</w:t>
      </w:r>
      <w:r>
        <w:rPr>
          <w:rFonts w:hint="eastAsia" w:ascii="仿宋_GB2312" w:eastAsia="仿宋_GB2312"/>
          <w:sz w:val="32"/>
          <w:szCs w:val="32"/>
        </w:rPr>
        <w:t>构建政府、自然资源管理部门和公众共同参与的规划实施监督体系，建立规划实施监督检查制度，将规划执行情况纳入自然资源执法监察的重要内容，强化对规划确定的重点区域、重要目标和指标、重大政策措施执行落实情况监督。对违反法律法规和矿产资源规划的行为，加大纠正和查处力度。建立信息反馈制度，及时向同级人民政府和上级自然资源主管部门报告规划执行情况监督检查结果。</w:t>
      </w:r>
    </w:p>
    <w:p>
      <w:pPr>
        <w:spacing w:line="360" w:lineRule="auto"/>
        <w:ind w:firstLine="643" w:firstLineChars="200"/>
        <w:rPr>
          <w:rFonts w:ascii="仿宋_GB2312" w:eastAsia="仿宋_GB2312"/>
          <w:sz w:val="32"/>
          <w:szCs w:val="32"/>
        </w:rPr>
      </w:pPr>
      <w:r>
        <w:rPr>
          <w:rFonts w:hint="eastAsia" w:ascii="仿宋_GB2312" w:eastAsia="仿宋_GB2312"/>
          <w:b/>
          <w:bCs/>
          <w:sz w:val="32"/>
          <w:szCs w:val="32"/>
        </w:rPr>
        <w:t>实施规划评估。</w:t>
      </w:r>
      <w:r>
        <w:rPr>
          <w:rFonts w:hint="eastAsia" w:ascii="仿宋_GB2312" w:eastAsia="仿宋_GB2312"/>
          <w:sz w:val="32"/>
          <w:szCs w:val="32"/>
        </w:rPr>
        <w:t>自然资源管理部门实施年度检查与阶段性评估机制，年度检查主要对规划年度目标任务执行情况、政策落实情况进行检查，提出规划执行情况报告。阶段性评估时间确定为2023 年底和2025 年底，主要内容包括规划实施进展与成效、各项任务执行情况、指标完成情况、各项政策措施落实情况、取得的经验等，分析规划实施中存在的问题及原因、面临的新形势，提出意见建议和改进措施。检查和评估情况要及时向同级人民政府和上级主管部门报告。</w:t>
      </w:r>
    </w:p>
    <w:p>
      <w:pPr>
        <w:spacing w:line="360" w:lineRule="auto"/>
        <w:ind w:firstLine="643" w:firstLineChars="200"/>
        <w:rPr>
          <w:rFonts w:ascii="仿宋_GB2312" w:eastAsia="仿宋_GB2312"/>
          <w:sz w:val="32"/>
          <w:szCs w:val="32"/>
        </w:rPr>
      </w:pPr>
      <w:r>
        <w:rPr>
          <w:rFonts w:hint="eastAsia" w:ascii="仿宋_GB2312" w:eastAsia="仿宋_GB2312"/>
          <w:b/>
          <w:bCs/>
          <w:sz w:val="32"/>
          <w:szCs w:val="32"/>
        </w:rPr>
        <w:t>加大政策支持。</w:t>
      </w:r>
      <w:r>
        <w:rPr>
          <w:rFonts w:hint="eastAsia" w:ascii="仿宋_GB2312" w:eastAsia="仿宋_GB2312"/>
          <w:sz w:val="32"/>
          <w:szCs w:val="32"/>
        </w:rPr>
        <w:t>县级人民政府应积极配合国家规划矿区建设，助推矿山企业转型升级和技术改造，促进绿色矿业发展。县级财政部门要会同自然资源主管部门，结合规划目标任务，统筹做好全县绿色矿山建设、矿区生态修复、矿产储量管理、地质资料管理、科技发展和创新能力建设等的资金保障，确保规划落实落地。</w:t>
      </w:r>
    </w:p>
    <w:p>
      <w:pPr>
        <w:ind w:firstLine="640" w:firstLineChars="200"/>
        <w:rPr>
          <w:rFonts w:ascii="仿宋_GB2312" w:eastAsia="仿宋_GB2312"/>
          <w:sz w:val="32"/>
          <w:szCs w:val="32"/>
        </w:rPr>
      </w:pPr>
    </w:p>
    <w:p>
      <w:pPr>
        <w:spacing w:line="360" w:lineRule="auto"/>
        <w:ind w:firstLine="560" w:firstLineChars="200"/>
        <w:rPr>
          <w:rFonts w:ascii="仿宋_GB2312" w:eastAsia="仿宋_GB2312"/>
          <w:sz w:val="28"/>
          <w:szCs w:val="28"/>
        </w:rPr>
        <w:sectPr>
          <w:pgSz w:w="11906" w:h="16838"/>
          <w:pgMar w:top="1440" w:right="1800" w:bottom="1440" w:left="1800" w:header="851" w:footer="992" w:gutter="0"/>
          <w:cols w:space="425" w:num="1"/>
          <w:docGrid w:type="lines" w:linePitch="312" w:charSpace="0"/>
        </w:sectPr>
      </w:pPr>
    </w:p>
    <w:p>
      <w:pPr>
        <w:jc w:val="center"/>
        <w:rPr>
          <w:rFonts w:ascii="黑体" w:hAnsi="黑体" w:eastAsia="黑体"/>
          <w:sz w:val="32"/>
          <w:szCs w:val="32"/>
        </w:rPr>
      </w:pPr>
      <w:bookmarkStart w:id="115" w:name="_Toc5743"/>
      <w:bookmarkStart w:id="116" w:name="_Toc12040"/>
      <w:r>
        <w:rPr>
          <w:rFonts w:hint="eastAsia" w:ascii="黑体" w:hAnsi="黑体" w:eastAsia="黑体"/>
          <w:sz w:val="32"/>
          <w:szCs w:val="32"/>
        </w:rPr>
        <w:t>附表</w:t>
      </w:r>
      <w:r>
        <w:rPr>
          <w:rFonts w:ascii="黑体" w:hAnsi="黑体" w:eastAsia="黑体"/>
          <w:sz w:val="32"/>
          <w:szCs w:val="32"/>
        </w:rPr>
        <w:t>1</w:t>
      </w:r>
      <w:r>
        <w:rPr>
          <w:rFonts w:hint="eastAsia" w:ascii="黑体" w:hAnsi="黑体" w:eastAsia="黑体"/>
          <w:sz w:val="32"/>
          <w:szCs w:val="32"/>
        </w:rPr>
        <w:t xml:space="preserve">  小金县能源资源基地表</w:t>
      </w:r>
    </w:p>
    <w:tbl>
      <w:tblPr>
        <w:tblStyle w:val="22"/>
        <w:tblW w:w="0" w:type="auto"/>
        <w:tblInd w:w="0" w:type="dxa"/>
        <w:tblLayout w:type="fixed"/>
        <w:tblCellMar>
          <w:top w:w="0" w:type="dxa"/>
          <w:left w:w="108" w:type="dxa"/>
          <w:bottom w:w="0" w:type="dxa"/>
          <w:right w:w="108" w:type="dxa"/>
        </w:tblCellMar>
      </w:tblPr>
      <w:tblGrid>
        <w:gridCol w:w="421"/>
        <w:gridCol w:w="506"/>
        <w:gridCol w:w="524"/>
        <w:gridCol w:w="828"/>
        <w:gridCol w:w="611"/>
        <w:gridCol w:w="644"/>
        <w:gridCol w:w="5225"/>
        <w:gridCol w:w="971"/>
        <w:gridCol w:w="960"/>
        <w:gridCol w:w="982"/>
        <w:gridCol w:w="1709"/>
        <w:gridCol w:w="793"/>
      </w:tblGrid>
      <w:tr>
        <w:tblPrEx>
          <w:tblCellMar>
            <w:top w:w="0" w:type="dxa"/>
            <w:left w:w="108" w:type="dxa"/>
            <w:bottom w:w="0" w:type="dxa"/>
            <w:right w:w="108" w:type="dxa"/>
          </w:tblCellMar>
        </w:tblPrEx>
        <w:trPr>
          <w:trHeight w:val="499" w:hRule="atLeast"/>
          <w:tblHeader/>
        </w:trPr>
        <w:tc>
          <w:tcPr>
            <w:tcW w:w="42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黑体" w:hAnsi="黑体" w:eastAsia="黑体" w:cs="宋体"/>
                <w:kern w:val="0"/>
                <w:sz w:val="18"/>
                <w:szCs w:val="18"/>
              </w:rPr>
            </w:pPr>
            <w:r>
              <w:rPr>
                <w:rFonts w:hint="eastAsia" w:ascii="黑体" w:hAnsi="黑体" w:eastAsia="黑体" w:cs="宋体"/>
                <w:kern w:val="0"/>
                <w:sz w:val="18"/>
                <w:szCs w:val="18"/>
              </w:rPr>
              <w:t>序号</w:t>
            </w:r>
          </w:p>
        </w:tc>
        <w:tc>
          <w:tcPr>
            <w:tcW w:w="506" w:type="dxa"/>
            <w:tcBorders>
              <w:top w:val="single" w:color="auto" w:sz="4" w:space="0"/>
              <w:left w:val="nil"/>
              <w:bottom w:val="single" w:color="auto" w:sz="4" w:space="0"/>
              <w:right w:val="single" w:color="auto" w:sz="4" w:space="0"/>
            </w:tcBorders>
            <w:vAlign w:val="center"/>
          </w:tcPr>
          <w:p>
            <w:pPr>
              <w:widowControl/>
              <w:jc w:val="center"/>
              <w:rPr>
                <w:rFonts w:ascii="黑体" w:hAnsi="黑体" w:eastAsia="黑体" w:cs="宋体"/>
                <w:kern w:val="0"/>
                <w:sz w:val="18"/>
                <w:szCs w:val="18"/>
              </w:rPr>
            </w:pPr>
            <w:r>
              <w:rPr>
                <w:rFonts w:hint="eastAsia" w:ascii="黑体" w:hAnsi="黑体" w:eastAsia="黑体" w:cs="宋体"/>
                <w:kern w:val="0"/>
                <w:sz w:val="18"/>
                <w:szCs w:val="18"/>
              </w:rPr>
              <w:t>编号</w:t>
            </w:r>
          </w:p>
        </w:tc>
        <w:tc>
          <w:tcPr>
            <w:tcW w:w="524" w:type="dxa"/>
            <w:tcBorders>
              <w:top w:val="single" w:color="auto" w:sz="4" w:space="0"/>
              <w:left w:val="nil"/>
              <w:bottom w:val="single" w:color="auto" w:sz="4" w:space="0"/>
              <w:right w:val="single" w:color="auto" w:sz="4" w:space="0"/>
            </w:tcBorders>
            <w:vAlign w:val="center"/>
          </w:tcPr>
          <w:p>
            <w:pPr>
              <w:widowControl/>
              <w:jc w:val="center"/>
              <w:rPr>
                <w:rFonts w:ascii="黑体" w:hAnsi="黑体" w:eastAsia="黑体" w:cs="宋体"/>
                <w:kern w:val="0"/>
                <w:sz w:val="18"/>
                <w:szCs w:val="18"/>
              </w:rPr>
            </w:pPr>
            <w:r>
              <w:rPr>
                <w:rFonts w:hint="eastAsia" w:ascii="黑体" w:hAnsi="黑体" w:eastAsia="黑体" w:cs="宋体"/>
                <w:kern w:val="0"/>
                <w:sz w:val="18"/>
                <w:szCs w:val="18"/>
              </w:rPr>
              <w:t>名称</w:t>
            </w:r>
          </w:p>
        </w:tc>
        <w:tc>
          <w:tcPr>
            <w:tcW w:w="828" w:type="dxa"/>
            <w:tcBorders>
              <w:top w:val="single" w:color="auto" w:sz="4" w:space="0"/>
              <w:left w:val="nil"/>
              <w:bottom w:val="single" w:color="auto" w:sz="4" w:space="0"/>
              <w:right w:val="single" w:color="auto" w:sz="4" w:space="0"/>
            </w:tcBorders>
            <w:vAlign w:val="center"/>
          </w:tcPr>
          <w:p>
            <w:pPr>
              <w:widowControl/>
              <w:jc w:val="center"/>
              <w:rPr>
                <w:rFonts w:ascii="黑体" w:hAnsi="黑体" w:eastAsia="黑体" w:cs="宋体"/>
                <w:kern w:val="0"/>
                <w:sz w:val="18"/>
                <w:szCs w:val="18"/>
              </w:rPr>
            </w:pPr>
            <w:r>
              <w:rPr>
                <w:rFonts w:hint="eastAsia" w:ascii="黑体" w:hAnsi="黑体" w:eastAsia="黑体" w:cs="宋体"/>
                <w:kern w:val="0"/>
                <w:sz w:val="18"/>
                <w:szCs w:val="18"/>
              </w:rPr>
              <w:t>所在行政区</w:t>
            </w:r>
          </w:p>
        </w:tc>
        <w:tc>
          <w:tcPr>
            <w:tcW w:w="611" w:type="dxa"/>
            <w:tcBorders>
              <w:top w:val="single" w:color="auto" w:sz="4" w:space="0"/>
              <w:left w:val="nil"/>
              <w:bottom w:val="single" w:color="auto" w:sz="4" w:space="0"/>
              <w:right w:val="single" w:color="auto" w:sz="4" w:space="0"/>
            </w:tcBorders>
            <w:vAlign w:val="center"/>
          </w:tcPr>
          <w:p>
            <w:pPr>
              <w:widowControl/>
              <w:jc w:val="center"/>
              <w:rPr>
                <w:rFonts w:ascii="黑体" w:hAnsi="黑体" w:eastAsia="黑体" w:cs="宋体"/>
                <w:kern w:val="0"/>
                <w:sz w:val="18"/>
                <w:szCs w:val="18"/>
              </w:rPr>
            </w:pPr>
            <w:r>
              <w:rPr>
                <w:rFonts w:hint="eastAsia" w:ascii="黑体" w:hAnsi="黑体" w:eastAsia="黑体" w:cs="宋体"/>
                <w:kern w:val="0"/>
                <w:sz w:val="18"/>
                <w:szCs w:val="18"/>
              </w:rPr>
              <w:t>主要矿种</w:t>
            </w:r>
          </w:p>
        </w:tc>
        <w:tc>
          <w:tcPr>
            <w:tcW w:w="644" w:type="dxa"/>
            <w:tcBorders>
              <w:top w:val="single" w:color="auto" w:sz="4" w:space="0"/>
              <w:left w:val="nil"/>
              <w:bottom w:val="single" w:color="auto" w:sz="4" w:space="0"/>
              <w:right w:val="single" w:color="auto" w:sz="4" w:space="0"/>
            </w:tcBorders>
            <w:vAlign w:val="center"/>
          </w:tcPr>
          <w:p>
            <w:pPr>
              <w:widowControl/>
              <w:jc w:val="center"/>
              <w:rPr>
                <w:rFonts w:ascii="黑体" w:hAnsi="黑体" w:eastAsia="黑体" w:cs="宋体"/>
                <w:kern w:val="0"/>
                <w:sz w:val="18"/>
                <w:szCs w:val="18"/>
              </w:rPr>
            </w:pPr>
            <w:r>
              <w:rPr>
                <w:rFonts w:hint="eastAsia" w:ascii="黑体" w:hAnsi="黑体" w:eastAsia="黑体" w:cs="宋体"/>
                <w:kern w:val="0"/>
                <w:sz w:val="18"/>
                <w:szCs w:val="18"/>
              </w:rPr>
              <w:t>面积(Km</w:t>
            </w:r>
            <w:r>
              <w:rPr>
                <w:rFonts w:hint="eastAsia" w:ascii="黑体" w:hAnsi="黑体" w:eastAsia="黑体" w:cs="宋体"/>
                <w:kern w:val="0"/>
                <w:sz w:val="18"/>
                <w:szCs w:val="18"/>
                <w:vertAlign w:val="superscript"/>
              </w:rPr>
              <w:t>2</w:t>
            </w:r>
            <w:r>
              <w:rPr>
                <w:rFonts w:hint="eastAsia" w:ascii="黑体" w:hAnsi="黑体" w:eastAsia="黑体" w:cs="宋体"/>
                <w:kern w:val="0"/>
                <w:sz w:val="18"/>
                <w:szCs w:val="18"/>
              </w:rPr>
              <w:t>)</w:t>
            </w:r>
          </w:p>
        </w:tc>
        <w:tc>
          <w:tcPr>
            <w:tcW w:w="5225" w:type="dxa"/>
            <w:tcBorders>
              <w:top w:val="single" w:color="auto" w:sz="4" w:space="0"/>
              <w:left w:val="nil"/>
              <w:bottom w:val="single" w:color="auto" w:sz="4" w:space="0"/>
              <w:right w:val="single" w:color="auto" w:sz="4" w:space="0"/>
            </w:tcBorders>
            <w:vAlign w:val="center"/>
          </w:tcPr>
          <w:p>
            <w:pPr>
              <w:widowControl/>
              <w:jc w:val="center"/>
              <w:rPr>
                <w:rFonts w:ascii="黑体" w:hAnsi="黑体" w:eastAsia="黑体" w:cs="宋体"/>
                <w:kern w:val="0"/>
                <w:sz w:val="18"/>
                <w:szCs w:val="18"/>
              </w:rPr>
            </w:pPr>
            <w:r>
              <w:rPr>
                <w:rFonts w:hint="eastAsia" w:ascii="黑体" w:hAnsi="黑体" w:eastAsia="黑体" w:cs="宋体"/>
                <w:kern w:val="0"/>
                <w:sz w:val="18"/>
                <w:szCs w:val="18"/>
              </w:rPr>
              <w:t>拐点坐标</w:t>
            </w:r>
          </w:p>
        </w:tc>
        <w:tc>
          <w:tcPr>
            <w:tcW w:w="971" w:type="dxa"/>
            <w:tcBorders>
              <w:top w:val="single" w:color="auto" w:sz="4" w:space="0"/>
              <w:left w:val="nil"/>
              <w:bottom w:val="single" w:color="auto" w:sz="4" w:space="0"/>
              <w:right w:val="single" w:color="auto" w:sz="4" w:space="0"/>
            </w:tcBorders>
            <w:vAlign w:val="center"/>
          </w:tcPr>
          <w:p>
            <w:pPr>
              <w:widowControl/>
              <w:jc w:val="center"/>
              <w:rPr>
                <w:rFonts w:ascii="黑体" w:hAnsi="黑体" w:eastAsia="黑体" w:cs="宋体"/>
                <w:kern w:val="0"/>
                <w:sz w:val="18"/>
                <w:szCs w:val="18"/>
              </w:rPr>
            </w:pPr>
            <w:r>
              <w:rPr>
                <w:rFonts w:hint="eastAsia" w:ascii="黑体" w:hAnsi="黑体" w:eastAsia="黑体" w:cs="宋体"/>
                <w:kern w:val="0"/>
                <w:sz w:val="18"/>
                <w:szCs w:val="18"/>
              </w:rPr>
              <w:t>已设探矿权数量</w:t>
            </w:r>
          </w:p>
        </w:tc>
        <w:tc>
          <w:tcPr>
            <w:tcW w:w="960" w:type="dxa"/>
            <w:tcBorders>
              <w:top w:val="single" w:color="auto" w:sz="4" w:space="0"/>
              <w:left w:val="nil"/>
              <w:bottom w:val="single" w:color="auto" w:sz="4" w:space="0"/>
              <w:right w:val="single" w:color="auto" w:sz="4" w:space="0"/>
            </w:tcBorders>
            <w:vAlign w:val="center"/>
          </w:tcPr>
          <w:p>
            <w:pPr>
              <w:widowControl/>
              <w:jc w:val="center"/>
              <w:rPr>
                <w:rFonts w:ascii="黑体" w:hAnsi="黑体" w:eastAsia="黑体" w:cs="宋体"/>
                <w:kern w:val="0"/>
                <w:sz w:val="18"/>
                <w:szCs w:val="18"/>
              </w:rPr>
            </w:pPr>
            <w:r>
              <w:rPr>
                <w:rFonts w:hint="eastAsia" w:ascii="黑体" w:hAnsi="黑体" w:eastAsia="黑体" w:cs="宋体"/>
                <w:kern w:val="0"/>
                <w:sz w:val="18"/>
                <w:szCs w:val="18"/>
              </w:rPr>
              <w:t>拟设探矿权数量</w:t>
            </w:r>
          </w:p>
        </w:tc>
        <w:tc>
          <w:tcPr>
            <w:tcW w:w="982" w:type="dxa"/>
            <w:tcBorders>
              <w:top w:val="single" w:color="auto" w:sz="4" w:space="0"/>
              <w:left w:val="nil"/>
              <w:bottom w:val="single" w:color="auto" w:sz="4" w:space="0"/>
              <w:right w:val="single" w:color="auto" w:sz="4" w:space="0"/>
            </w:tcBorders>
            <w:vAlign w:val="center"/>
          </w:tcPr>
          <w:p>
            <w:pPr>
              <w:widowControl/>
              <w:jc w:val="center"/>
              <w:rPr>
                <w:rFonts w:ascii="黑体" w:hAnsi="黑体" w:eastAsia="黑体" w:cs="宋体"/>
                <w:kern w:val="0"/>
                <w:sz w:val="18"/>
                <w:szCs w:val="18"/>
              </w:rPr>
            </w:pPr>
            <w:r>
              <w:rPr>
                <w:rFonts w:hint="eastAsia" w:ascii="黑体" w:hAnsi="黑体" w:eastAsia="黑体" w:cs="宋体"/>
                <w:kern w:val="0"/>
                <w:sz w:val="18"/>
                <w:szCs w:val="18"/>
              </w:rPr>
              <w:t>已设采矿权数量</w:t>
            </w:r>
          </w:p>
        </w:tc>
        <w:tc>
          <w:tcPr>
            <w:tcW w:w="1709" w:type="dxa"/>
            <w:tcBorders>
              <w:top w:val="single" w:color="auto" w:sz="4" w:space="0"/>
              <w:left w:val="nil"/>
              <w:bottom w:val="single" w:color="auto" w:sz="4" w:space="0"/>
              <w:right w:val="single" w:color="auto" w:sz="4" w:space="0"/>
            </w:tcBorders>
            <w:vAlign w:val="center"/>
          </w:tcPr>
          <w:p>
            <w:pPr>
              <w:widowControl/>
              <w:jc w:val="center"/>
              <w:rPr>
                <w:rFonts w:ascii="黑体" w:hAnsi="黑体" w:eastAsia="黑体" w:cs="宋体"/>
                <w:kern w:val="0"/>
                <w:sz w:val="18"/>
                <w:szCs w:val="18"/>
              </w:rPr>
            </w:pPr>
            <w:r>
              <w:rPr>
                <w:rFonts w:hint="eastAsia" w:ascii="黑体" w:hAnsi="黑体" w:eastAsia="黑体" w:cs="宋体"/>
                <w:kern w:val="0"/>
                <w:sz w:val="18"/>
                <w:szCs w:val="18"/>
              </w:rPr>
              <w:t>已设采矿权设计开采规模(万吨/年)</w:t>
            </w:r>
          </w:p>
        </w:tc>
        <w:tc>
          <w:tcPr>
            <w:tcW w:w="793" w:type="dxa"/>
            <w:tcBorders>
              <w:top w:val="single" w:color="auto" w:sz="4" w:space="0"/>
              <w:left w:val="nil"/>
              <w:bottom w:val="single" w:color="auto" w:sz="4" w:space="0"/>
              <w:right w:val="single" w:color="auto" w:sz="4" w:space="0"/>
            </w:tcBorders>
            <w:vAlign w:val="center"/>
          </w:tcPr>
          <w:p>
            <w:pPr>
              <w:widowControl/>
              <w:jc w:val="center"/>
              <w:rPr>
                <w:rFonts w:ascii="黑体" w:hAnsi="黑体" w:eastAsia="黑体" w:cs="宋体"/>
                <w:kern w:val="0"/>
                <w:sz w:val="18"/>
                <w:szCs w:val="18"/>
              </w:rPr>
            </w:pPr>
            <w:r>
              <w:rPr>
                <w:rFonts w:hint="eastAsia" w:ascii="黑体" w:hAnsi="黑体" w:eastAsia="黑体" w:cs="宋体"/>
                <w:kern w:val="0"/>
                <w:sz w:val="18"/>
                <w:szCs w:val="18"/>
              </w:rPr>
              <w:t>备注</w:t>
            </w:r>
          </w:p>
        </w:tc>
      </w:tr>
      <w:tr>
        <w:tblPrEx>
          <w:tblCellMar>
            <w:top w:w="0" w:type="dxa"/>
            <w:left w:w="108" w:type="dxa"/>
            <w:bottom w:w="0" w:type="dxa"/>
            <w:right w:w="108" w:type="dxa"/>
          </w:tblCellMar>
        </w:tblPrEx>
        <w:trPr>
          <w:trHeight w:val="838" w:hRule="atLeast"/>
        </w:trPr>
        <w:tc>
          <w:tcPr>
            <w:tcW w:w="14174" w:type="dxa"/>
            <w:gridSpan w:val="12"/>
            <w:tcBorders>
              <w:top w:val="nil"/>
              <w:left w:val="single" w:color="auto" w:sz="4" w:space="0"/>
              <w:bottom w:val="single" w:color="auto" w:sz="4" w:space="0"/>
              <w:right w:val="single" w:color="auto" w:sz="4" w:space="0"/>
            </w:tcBorders>
            <w:vAlign w:val="center"/>
          </w:tcPr>
          <w:p>
            <w:pPr>
              <w:widowControl/>
              <w:spacing w:line="280" w:lineRule="exact"/>
              <w:jc w:val="center"/>
              <w:rPr>
                <w:rFonts w:ascii="楷体_GB2312" w:hAnsi="宋体" w:eastAsia="楷体_GB2312" w:cs="宋体"/>
                <w:kern w:val="0"/>
                <w:sz w:val="18"/>
                <w:szCs w:val="18"/>
              </w:rPr>
            </w:pPr>
            <w:r>
              <w:rPr>
                <w:rFonts w:hint="eastAsia" w:ascii="楷体" w:hAnsi="楷体" w:eastAsia="楷体" w:cs="楷体"/>
                <w:sz w:val="24"/>
              </w:rPr>
              <w:t>--此表为空--</w:t>
            </w:r>
          </w:p>
        </w:tc>
      </w:tr>
    </w:tbl>
    <w:p>
      <w:pPr>
        <w:jc w:val="center"/>
        <w:rPr>
          <w:rFonts w:ascii="黑体" w:hAnsi="黑体" w:eastAsia="黑体"/>
          <w:sz w:val="32"/>
          <w:szCs w:val="32"/>
        </w:rPr>
      </w:pPr>
    </w:p>
    <w:p>
      <w:pPr>
        <w:jc w:val="center"/>
        <w:rPr>
          <w:rFonts w:ascii="黑体" w:hAnsi="黑体" w:eastAsia="黑体"/>
          <w:sz w:val="32"/>
          <w:szCs w:val="32"/>
        </w:rPr>
      </w:pPr>
      <w:r>
        <w:rPr>
          <w:rFonts w:ascii="黑体" w:hAnsi="黑体" w:eastAsia="黑体"/>
          <w:sz w:val="32"/>
          <w:szCs w:val="32"/>
        </w:rPr>
        <w:br w:type="page"/>
      </w:r>
      <w:r>
        <w:rPr>
          <w:rFonts w:hint="eastAsia" w:ascii="黑体" w:hAnsi="黑体" w:eastAsia="黑体"/>
          <w:sz w:val="32"/>
          <w:szCs w:val="32"/>
        </w:rPr>
        <w:t>附表</w:t>
      </w:r>
      <w:r>
        <w:rPr>
          <w:rFonts w:ascii="黑体" w:hAnsi="黑体" w:eastAsia="黑体"/>
          <w:sz w:val="32"/>
          <w:szCs w:val="32"/>
        </w:rPr>
        <w:t>2</w:t>
      </w:r>
      <w:r>
        <w:rPr>
          <w:rFonts w:hint="eastAsia" w:ascii="黑体" w:hAnsi="黑体" w:eastAsia="黑体"/>
          <w:sz w:val="32"/>
          <w:szCs w:val="32"/>
        </w:rPr>
        <w:t xml:space="preserve">  小金县国家规划矿区表</w:t>
      </w:r>
      <w:bookmarkEnd w:id="115"/>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5"/>
        <w:gridCol w:w="697"/>
        <w:gridCol w:w="1216"/>
        <w:gridCol w:w="782"/>
        <w:gridCol w:w="935"/>
        <w:gridCol w:w="2250"/>
        <w:gridCol w:w="1560"/>
        <w:gridCol w:w="425"/>
        <w:gridCol w:w="425"/>
        <w:gridCol w:w="709"/>
        <w:gridCol w:w="709"/>
        <w:gridCol w:w="708"/>
        <w:gridCol w:w="993"/>
        <w:gridCol w:w="708"/>
        <w:gridCol w:w="968"/>
        <w:gridCol w:w="6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trPr>
        <w:tc>
          <w:tcPr>
            <w:tcW w:w="465" w:type="dxa"/>
            <w:vAlign w:val="center"/>
          </w:tcPr>
          <w:p>
            <w:pPr>
              <w:widowControl/>
              <w:jc w:val="center"/>
              <w:rPr>
                <w:rFonts w:ascii="黑体" w:hAnsi="黑体" w:eastAsia="黑体" w:cs="宋体"/>
                <w:color w:val="000000"/>
                <w:kern w:val="0"/>
                <w:sz w:val="18"/>
                <w:szCs w:val="18"/>
              </w:rPr>
            </w:pPr>
            <w:r>
              <w:rPr>
                <w:rFonts w:hint="eastAsia" w:ascii="黑体" w:hAnsi="黑体" w:eastAsia="黑体" w:cs="宋体"/>
                <w:color w:val="000000"/>
                <w:kern w:val="0"/>
                <w:sz w:val="18"/>
                <w:szCs w:val="18"/>
              </w:rPr>
              <w:t>序号</w:t>
            </w:r>
          </w:p>
        </w:tc>
        <w:tc>
          <w:tcPr>
            <w:tcW w:w="697" w:type="dxa"/>
            <w:vAlign w:val="center"/>
          </w:tcPr>
          <w:p>
            <w:pPr>
              <w:widowControl/>
              <w:jc w:val="center"/>
              <w:rPr>
                <w:rFonts w:ascii="黑体" w:hAnsi="黑体" w:eastAsia="黑体" w:cs="宋体"/>
                <w:color w:val="000000"/>
                <w:kern w:val="0"/>
                <w:sz w:val="18"/>
                <w:szCs w:val="18"/>
              </w:rPr>
            </w:pPr>
            <w:r>
              <w:rPr>
                <w:rFonts w:hint="eastAsia" w:ascii="黑体" w:hAnsi="黑体" w:eastAsia="黑体" w:cs="宋体"/>
                <w:color w:val="000000"/>
                <w:kern w:val="0"/>
                <w:sz w:val="18"/>
                <w:szCs w:val="18"/>
              </w:rPr>
              <w:t>编号</w:t>
            </w:r>
          </w:p>
        </w:tc>
        <w:tc>
          <w:tcPr>
            <w:tcW w:w="1216" w:type="dxa"/>
            <w:vAlign w:val="center"/>
          </w:tcPr>
          <w:p>
            <w:pPr>
              <w:widowControl/>
              <w:jc w:val="center"/>
              <w:rPr>
                <w:rFonts w:ascii="黑体" w:hAnsi="黑体" w:eastAsia="黑体" w:cs="宋体"/>
                <w:color w:val="000000"/>
                <w:kern w:val="0"/>
                <w:sz w:val="18"/>
                <w:szCs w:val="18"/>
              </w:rPr>
            </w:pPr>
            <w:r>
              <w:rPr>
                <w:rFonts w:hint="eastAsia" w:ascii="黑体" w:hAnsi="黑体" w:eastAsia="黑体" w:cs="宋体"/>
                <w:color w:val="000000"/>
                <w:kern w:val="0"/>
                <w:sz w:val="18"/>
                <w:szCs w:val="18"/>
              </w:rPr>
              <w:t>名称</w:t>
            </w:r>
          </w:p>
        </w:tc>
        <w:tc>
          <w:tcPr>
            <w:tcW w:w="782" w:type="dxa"/>
            <w:vAlign w:val="center"/>
          </w:tcPr>
          <w:p>
            <w:pPr>
              <w:widowControl/>
              <w:jc w:val="center"/>
              <w:rPr>
                <w:rFonts w:ascii="黑体" w:hAnsi="黑体" w:eastAsia="黑体" w:cs="宋体"/>
                <w:color w:val="000000"/>
                <w:kern w:val="0"/>
                <w:sz w:val="18"/>
                <w:szCs w:val="18"/>
              </w:rPr>
            </w:pPr>
            <w:r>
              <w:rPr>
                <w:rFonts w:hint="eastAsia" w:ascii="黑体" w:hAnsi="黑体" w:eastAsia="黑体" w:cs="宋体"/>
                <w:color w:val="000000"/>
                <w:kern w:val="0"/>
                <w:sz w:val="18"/>
                <w:szCs w:val="18"/>
              </w:rPr>
              <w:t>所在行政区</w:t>
            </w:r>
          </w:p>
        </w:tc>
        <w:tc>
          <w:tcPr>
            <w:tcW w:w="935" w:type="dxa"/>
            <w:vAlign w:val="center"/>
          </w:tcPr>
          <w:p>
            <w:pPr>
              <w:widowControl/>
              <w:jc w:val="center"/>
              <w:rPr>
                <w:rFonts w:ascii="黑体" w:hAnsi="黑体" w:eastAsia="黑体" w:cs="宋体"/>
                <w:color w:val="000000"/>
                <w:kern w:val="0"/>
                <w:sz w:val="18"/>
                <w:szCs w:val="18"/>
              </w:rPr>
            </w:pPr>
            <w:r>
              <w:rPr>
                <w:rFonts w:hint="eastAsia" w:ascii="黑体" w:hAnsi="黑体" w:eastAsia="黑体" w:cs="宋体"/>
                <w:color w:val="000000"/>
                <w:kern w:val="0"/>
                <w:sz w:val="18"/>
                <w:szCs w:val="18"/>
              </w:rPr>
              <w:t>面积(Km</w:t>
            </w:r>
            <w:r>
              <w:rPr>
                <w:rFonts w:hint="eastAsia" w:ascii="黑体" w:hAnsi="黑体" w:eastAsia="黑体" w:cs="宋体"/>
                <w:color w:val="000000"/>
                <w:kern w:val="0"/>
                <w:sz w:val="18"/>
                <w:szCs w:val="18"/>
                <w:vertAlign w:val="superscript"/>
              </w:rPr>
              <w:t>2</w:t>
            </w:r>
            <w:r>
              <w:rPr>
                <w:rFonts w:hint="eastAsia" w:ascii="黑体" w:hAnsi="黑体" w:eastAsia="黑体" w:cs="宋体"/>
                <w:color w:val="000000"/>
                <w:kern w:val="0"/>
                <w:sz w:val="18"/>
                <w:szCs w:val="18"/>
              </w:rPr>
              <w:t>)</w:t>
            </w:r>
          </w:p>
        </w:tc>
        <w:tc>
          <w:tcPr>
            <w:tcW w:w="2250" w:type="dxa"/>
            <w:vAlign w:val="center"/>
          </w:tcPr>
          <w:p>
            <w:pPr>
              <w:widowControl/>
              <w:jc w:val="center"/>
              <w:rPr>
                <w:rFonts w:ascii="黑体" w:hAnsi="黑体" w:eastAsia="黑体" w:cs="宋体"/>
                <w:color w:val="000000"/>
                <w:kern w:val="0"/>
                <w:sz w:val="18"/>
                <w:szCs w:val="18"/>
              </w:rPr>
            </w:pPr>
            <w:r>
              <w:rPr>
                <w:rFonts w:hint="eastAsia" w:ascii="黑体" w:hAnsi="黑体" w:eastAsia="黑体" w:cs="宋体"/>
                <w:color w:val="000000"/>
                <w:kern w:val="0"/>
                <w:sz w:val="18"/>
                <w:szCs w:val="18"/>
              </w:rPr>
              <w:t>拐点坐标</w:t>
            </w:r>
          </w:p>
        </w:tc>
        <w:tc>
          <w:tcPr>
            <w:tcW w:w="1560" w:type="dxa"/>
            <w:vAlign w:val="center"/>
          </w:tcPr>
          <w:p>
            <w:pPr>
              <w:widowControl/>
              <w:jc w:val="center"/>
              <w:rPr>
                <w:rFonts w:ascii="黑体" w:hAnsi="黑体" w:eastAsia="黑体" w:cs="宋体"/>
                <w:color w:val="000000"/>
                <w:kern w:val="0"/>
                <w:sz w:val="18"/>
                <w:szCs w:val="18"/>
              </w:rPr>
            </w:pPr>
            <w:r>
              <w:rPr>
                <w:rFonts w:hint="eastAsia" w:ascii="黑体" w:hAnsi="黑体" w:eastAsia="黑体" w:cs="宋体"/>
                <w:color w:val="000000"/>
                <w:kern w:val="0"/>
                <w:sz w:val="18"/>
                <w:szCs w:val="18"/>
              </w:rPr>
              <w:t>主要矿种</w:t>
            </w:r>
          </w:p>
        </w:tc>
        <w:tc>
          <w:tcPr>
            <w:tcW w:w="425" w:type="dxa"/>
            <w:vAlign w:val="center"/>
          </w:tcPr>
          <w:p>
            <w:pPr>
              <w:widowControl/>
              <w:jc w:val="center"/>
              <w:rPr>
                <w:rFonts w:ascii="黑体" w:hAnsi="黑体" w:eastAsia="黑体" w:cs="宋体"/>
                <w:color w:val="000000"/>
                <w:kern w:val="0"/>
                <w:sz w:val="18"/>
                <w:szCs w:val="18"/>
              </w:rPr>
            </w:pPr>
            <w:r>
              <w:rPr>
                <w:rFonts w:hint="eastAsia" w:ascii="黑体" w:hAnsi="黑体" w:eastAsia="黑体" w:cs="宋体"/>
                <w:color w:val="000000"/>
                <w:kern w:val="0"/>
                <w:sz w:val="18"/>
                <w:szCs w:val="18"/>
              </w:rPr>
              <w:t>资源量 单位</w:t>
            </w:r>
          </w:p>
        </w:tc>
        <w:tc>
          <w:tcPr>
            <w:tcW w:w="425" w:type="dxa"/>
            <w:vAlign w:val="center"/>
          </w:tcPr>
          <w:p>
            <w:pPr>
              <w:widowControl/>
              <w:jc w:val="center"/>
              <w:rPr>
                <w:rFonts w:ascii="黑体" w:hAnsi="黑体" w:eastAsia="黑体" w:cs="宋体"/>
                <w:color w:val="000000"/>
                <w:kern w:val="0"/>
                <w:sz w:val="18"/>
                <w:szCs w:val="18"/>
              </w:rPr>
            </w:pPr>
            <w:r>
              <w:rPr>
                <w:rFonts w:hint="eastAsia" w:ascii="黑体" w:hAnsi="黑体" w:eastAsia="黑体" w:cs="宋体"/>
                <w:color w:val="000000"/>
                <w:kern w:val="0"/>
                <w:sz w:val="18"/>
                <w:szCs w:val="18"/>
              </w:rPr>
              <w:t>资源量</w:t>
            </w:r>
          </w:p>
        </w:tc>
        <w:tc>
          <w:tcPr>
            <w:tcW w:w="709" w:type="dxa"/>
            <w:vAlign w:val="center"/>
          </w:tcPr>
          <w:p>
            <w:pPr>
              <w:widowControl/>
              <w:jc w:val="center"/>
              <w:rPr>
                <w:rFonts w:ascii="黑体" w:hAnsi="黑体" w:eastAsia="黑体" w:cs="宋体"/>
                <w:color w:val="000000"/>
                <w:kern w:val="0"/>
                <w:sz w:val="18"/>
                <w:szCs w:val="18"/>
              </w:rPr>
            </w:pPr>
            <w:r>
              <w:rPr>
                <w:rFonts w:hint="eastAsia" w:ascii="黑体" w:hAnsi="黑体" w:eastAsia="黑体" w:cs="宋体"/>
                <w:color w:val="000000"/>
                <w:kern w:val="0"/>
                <w:sz w:val="18"/>
                <w:szCs w:val="18"/>
              </w:rPr>
              <w:t>已设探矿权数量</w:t>
            </w:r>
          </w:p>
        </w:tc>
        <w:tc>
          <w:tcPr>
            <w:tcW w:w="709" w:type="dxa"/>
            <w:vAlign w:val="center"/>
          </w:tcPr>
          <w:p>
            <w:pPr>
              <w:widowControl/>
              <w:jc w:val="center"/>
              <w:rPr>
                <w:rFonts w:ascii="黑体" w:hAnsi="黑体" w:eastAsia="黑体" w:cs="宋体"/>
                <w:color w:val="000000"/>
                <w:kern w:val="0"/>
                <w:sz w:val="18"/>
                <w:szCs w:val="18"/>
              </w:rPr>
            </w:pPr>
            <w:r>
              <w:rPr>
                <w:rFonts w:hint="eastAsia" w:ascii="黑体" w:hAnsi="黑体" w:eastAsia="黑体" w:cs="宋体"/>
                <w:color w:val="000000"/>
                <w:kern w:val="0"/>
                <w:sz w:val="18"/>
                <w:szCs w:val="18"/>
              </w:rPr>
              <w:t>拟设探矿权数量</w:t>
            </w:r>
          </w:p>
        </w:tc>
        <w:tc>
          <w:tcPr>
            <w:tcW w:w="708" w:type="dxa"/>
            <w:vAlign w:val="center"/>
          </w:tcPr>
          <w:p>
            <w:pPr>
              <w:widowControl/>
              <w:jc w:val="center"/>
              <w:rPr>
                <w:rFonts w:ascii="黑体" w:hAnsi="黑体" w:eastAsia="黑体" w:cs="宋体"/>
                <w:color w:val="000000"/>
                <w:kern w:val="0"/>
                <w:sz w:val="18"/>
                <w:szCs w:val="18"/>
              </w:rPr>
            </w:pPr>
            <w:r>
              <w:rPr>
                <w:rFonts w:hint="eastAsia" w:ascii="黑体" w:hAnsi="黑体" w:eastAsia="黑体" w:cs="宋体"/>
                <w:color w:val="000000"/>
                <w:kern w:val="0"/>
                <w:sz w:val="18"/>
                <w:szCs w:val="18"/>
              </w:rPr>
              <w:t>已设采矿权数量</w:t>
            </w:r>
          </w:p>
        </w:tc>
        <w:tc>
          <w:tcPr>
            <w:tcW w:w="993" w:type="dxa"/>
            <w:vAlign w:val="center"/>
          </w:tcPr>
          <w:p>
            <w:pPr>
              <w:widowControl/>
              <w:jc w:val="center"/>
              <w:rPr>
                <w:rFonts w:ascii="黑体" w:hAnsi="黑体" w:eastAsia="黑体" w:cs="宋体"/>
                <w:color w:val="000000"/>
                <w:kern w:val="0"/>
                <w:sz w:val="18"/>
                <w:szCs w:val="18"/>
              </w:rPr>
            </w:pPr>
            <w:r>
              <w:rPr>
                <w:rFonts w:hint="eastAsia" w:ascii="黑体" w:hAnsi="黑体" w:eastAsia="黑体" w:cs="宋体"/>
                <w:color w:val="000000"/>
                <w:kern w:val="0"/>
                <w:sz w:val="18"/>
                <w:szCs w:val="18"/>
              </w:rPr>
              <w:t>已设采矿权设计开采规模(万吨/年)</w:t>
            </w:r>
          </w:p>
        </w:tc>
        <w:tc>
          <w:tcPr>
            <w:tcW w:w="708" w:type="dxa"/>
            <w:vAlign w:val="center"/>
          </w:tcPr>
          <w:p>
            <w:pPr>
              <w:widowControl/>
              <w:jc w:val="center"/>
              <w:rPr>
                <w:rFonts w:ascii="黑体" w:hAnsi="黑体" w:eastAsia="黑体" w:cs="宋体"/>
                <w:color w:val="000000"/>
                <w:kern w:val="0"/>
                <w:sz w:val="18"/>
                <w:szCs w:val="18"/>
              </w:rPr>
            </w:pPr>
            <w:r>
              <w:rPr>
                <w:rFonts w:hint="eastAsia" w:ascii="黑体" w:hAnsi="黑体" w:eastAsia="黑体" w:cs="宋体"/>
                <w:color w:val="000000"/>
                <w:kern w:val="0"/>
                <w:sz w:val="18"/>
                <w:szCs w:val="18"/>
              </w:rPr>
              <w:t>拟设采矿权数量</w:t>
            </w:r>
          </w:p>
        </w:tc>
        <w:tc>
          <w:tcPr>
            <w:tcW w:w="968" w:type="dxa"/>
            <w:vAlign w:val="center"/>
          </w:tcPr>
          <w:p>
            <w:pPr>
              <w:widowControl/>
              <w:jc w:val="center"/>
              <w:rPr>
                <w:rFonts w:ascii="黑体" w:hAnsi="黑体" w:eastAsia="黑体" w:cs="宋体"/>
                <w:color w:val="000000"/>
                <w:kern w:val="0"/>
                <w:sz w:val="18"/>
                <w:szCs w:val="18"/>
              </w:rPr>
            </w:pPr>
            <w:r>
              <w:rPr>
                <w:rFonts w:hint="eastAsia" w:ascii="黑体" w:hAnsi="黑体" w:eastAsia="黑体" w:cs="宋体"/>
                <w:color w:val="000000"/>
                <w:kern w:val="0"/>
                <w:sz w:val="18"/>
                <w:szCs w:val="18"/>
              </w:rPr>
              <w:t>拟设采矿权设计开采规模(万吨/年)</w:t>
            </w:r>
          </w:p>
        </w:tc>
        <w:tc>
          <w:tcPr>
            <w:tcW w:w="624" w:type="dxa"/>
            <w:vAlign w:val="center"/>
          </w:tcPr>
          <w:p>
            <w:pPr>
              <w:widowControl/>
              <w:jc w:val="center"/>
              <w:rPr>
                <w:rFonts w:ascii="黑体" w:hAnsi="黑体" w:eastAsia="黑体" w:cs="宋体"/>
                <w:color w:val="000000"/>
                <w:kern w:val="0"/>
                <w:sz w:val="18"/>
                <w:szCs w:val="18"/>
              </w:rPr>
            </w:pPr>
            <w:r>
              <w:rPr>
                <w:rFonts w:hint="eastAsia" w:ascii="黑体" w:hAnsi="黑体" w:eastAsia="黑体" w:cs="宋体"/>
                <w:color w:val="000000"/>
                <w:kern w:val="0"/>
                <w:sz w:val="18"/>
                <w:szCs w:val="1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14174" w:type="dxa"/>
            <w:gridSpan w:val="16"/>
            <w:vAlign w:val="center"/>
          </w:tcPr>
          <w:p>
            <w:pPr>
              <w:widowControl/>
              <w:jc w:val="center"/>
              <w:rPr>
                <w:rFonts w:ascii="楷体_GB2312" w:hAnsi="宋体" w:eastAsia="楷体_GB2312" w:cs="宋体"/>
                <w:color w:val="000000"/>
                <w:kern w:val="0"/>
                <w:sz w:val="18"/>
                <w:szCs w:val="18"/>
              </w:rPr>
            </w:pPr>
            <w:r>
              <w:rPr>
                <w:rFonts w:hint="eastAsia" w:ascii="楷体" w:hAnsi="楷体" w:eastAsia="楷体" w:cs="楷体"/>
                <w:sz w:val="24"/>
              </w:rPr>
              <w:t>--此表为空--</w:t>
            </w:r>
          </w:p>
        </w:tc>
      </w:tr>
    </w:tbl>
    <w:p>
      <w:pPr>
        <w:spacing w:line="280" w:lineRule="exact"/>
        <w:ind w:firstLine="600"/>
        <w:sectPr>
          <w:pgSz w:w="16838" w:h="11906" w:orient="landscape"/>
          <w:pgMar w:top="1800" w:right="1440" w:bottom="1800" w:left="1440" w:header="851" w:footer="992" w:gutter="0"/>
          <w:cols w:space="720" w:num="1"/>
          <w:docGrid w:type="lines" w:linePitch="312" w:charSpace="0"/>
        </w:sectPr>
      </w:pPr>
    </w:p>
    <w:p>
      <w:pPr>
        <w:jc w:val="center"/>
        <w:rPr>
          <w:rFonts w:ascii="黑体" w:hAnsi="黑体" w:eastAsia="黑体"/>
          <w:sz w:val="32"/>
          <w:szCs w:val="32"/>
        </w:rPr>
      </w:pPr>
      <w:r>
        <w:rPr>
          <w:rFonts w:hint="eastAsia" w:ascii="黑体" w:hAnsi="黑体" w:eastAsia="黑体"/>
          <w:sz w:val="32"/>
          <w:szCs w:val="32"/>
        </w:rPr>
        <w:t>附表</w:t>
      </w:r>
      <w:r>
        <w:rPr>
          <w:rFonts w:ascii="黑体" w:hAnsi="黑体" w:eastAsia="黑体"/>
          <w:sz w:val="32"/>
          <w:szCs w:val="32"/>
        </w:rPr>
        <w:t>3</w:t>
      </w:r>
      <w:r>
        <w:rPr>
          <w:rFonts w:hint="eastAsia" w:ascii="黑体" w:hAnsi="黑体" w:eastAsia="黑体"/>
          <w:sz w:val="32"/>
          <w:szCs w:val="32"/>
        </w:rPr>
        <w:t xml:space="preserve">  小金县战略性矿产资源保护区表</w:t>
      </w:r>
    </w:p>
    <w:tbl>
      <w:tblPr>
        <w:tblStyle w:val="22"/>
        <w:tblW w:w="14302" w:type="dxa"/>
        <w:tblInd w:w="5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2"/>
        <w:gridCol w:w="1172"/>
        <w:gridCol w:w="2335"/>
        <w:gridCol w:w="1669"/>
        <w:gridCol w:w="1385"/>
        <w:gridCol w:w="2213"/>
        <w:gridCol w:w="1210"/>
        <w:gridCol w:w="1074"/>
        <w:gridCol w:w="1057"/>
        <w:gridCol w:w="13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792" w:type="dxa"/>
            <w:vAlign w:val="center"/>
          </w:tcPr>
          <w:p>
            <w:pPr>
              <w:widowControl/>
              <w:jc w:val="center"/>
              <w:rPr>
                <w:rFonts w:ascii="黑体" w:hAnsi="黑体" w:eastAsia="黑体" w:cs="宋体"/>
                <w:kern w:val="0"/>
              </w:rPr>
            </w:pPr>
            <w:r>
              <w:rPr>
                <w:rFonts w:hint="eastAsia" w:ascii="黑体" w:hAnsi="黑体" w:eastAsia="黑体" w:cs="宋体"/>
                <w:kern w:val="0"/>
              </w:rPr>
              <w:t>序号</w:t>
            </w:r>
          </w:p>
        </w:tc>
        <w:tc>
          <w:tcPr>
            <w:tcW w:w="1172" w:type="dxa"/>
            <w:vAlign w:val="center"/>
          </w:tcPr>
          <w:p>
            <w:pPr>
              <w:widowControl/>
              <w:jc w:val="center"/>
              <w:rPr>
                <w:rFonts w:ascii="黑体" w:hAnsi="黑体" w:eastAsia="黑体" w:cs="宋体"/>
                <w:kern w:val="0"/>
              </w:rPr>
            </w:pPr>
            <w:r>
              <w:rPr>
                <w:rFonts w:hint="eastAsia" w:ascii="黑体" w:hAnsi="黑体" w:eastAsia="黑体" w:cs="宋体"/>
                <w:kern w:val="0"/>
              </w:rPr>
              <w:t>编号</w:t>
            </w:r>
          </w:p>
        </w:tc>
        <w:tc>
          <w:tcPr>
            <w:tcW w:w="2335" w:type="dxa"/>
            <w:vAlign w:val="center"/>
          </w:tcPr>
          <w:p>
            <w:pPr>
              <w:widowControl/>
              <w:jc w:val="center"/>
              <w:rPr>
                <w:rFonts w:ascii="黑体" w:hAnsi="黑体" w:eastAsia="黑体" w:cs="宋体"/>
                <w:kern w:val="0"/>
              </w:rPr>
            </w:pPr>
            <w:r>
              <w:rPr>
                <w:rFonts w:hint="eastAsia" w:ascii="黑体" w:hAnsi="黑体" w:eastAsia="黑体" w:cs="宋体"/>
                <w:kern w:val="0"/>
              </w:rPr>
              <w:t>名称</w:t>
            </w:r>
          </w:p>
        </w:tc>
        <w:tc>
          <w:tcPr>
            <w:tcW w:w="1669" w:type="dxa"/>
            <w:vAlign w:val="center"/>
          </w:tcPr>
          <w:p>
            <w:pPr>
              <w:widowControl/>
              <w:jc w:val="center"/>
              <w:rPr>
                <w:rFonts w:ascii="黑体" w:hAnsi="黑体" w:eastAsia="黑体" w:cs="宋体"/>
                <w:kern w:val="0"/>
              </w:rPr>
            </w:pPr>
            <w:r>
              <w:rPr>
                <w:rFonts w:hint="eastAsia" w:ascii="黑体" w:hAnsi="黑体" w:eastAsia="黑体" w:cs="宋体"/>
                <w:kern w:val="0"/>
              </w:rPr>
              <w:t>所在行政区</w:t>
            </w:r>
          </w:p>
        </w:tc>
        <w:tc>
          <w:tcPr>
            <w:tcW w:w="1385" w:type="dxa"/>
            <w:vAlign w:val="center"/>
          </w:tcPr>
          <w:p>
            <w:pPr>
              <w:widowControl/>
              <w:jc w:val="center"/>
              <w:rPr>
                <w:rFonts w:ascii="黑体" w:hAnsi="黑体" w:eastAsia="黑体" w:cs="宋体"/>
                <w:kern w:val="0"/>
              </w:rPr>
            </w:pPr>
            <w:r>
              <w:rPr>
                <w:rFonts w:hint="eastAsia" w:ascii="黑体" w:hAnsi="黑体" w:eastAsia="黑体" w:cs="宋体"/>
                <w:kern w:val="0"/>
              </w:rPr>
              <w:t>面积(Km</w:t>
            </w:r>
            <w:r>
              <w:rPr>
                <w:rFonts w:hint="eastAsia" w:ascii="黑体" w:hAnsi="黑体" w:eastAsia="黑体" w:cs="宋体"/>
                <w:kern w:val="0"/>
                <w:vertAlign w:val="superscript"/>
              </w:rPr>
              <w:t>2</w:t>
            </w:r>
            <w:r>
              <w:rPr>
                <w:rFonts w:hint="eastAsia" w:ascii="黑体" w:hAnsi="黑体" w:eastAsia="黑体" w:cs="宋体"/>
                <w:kern w:val="0"/>
              </w:rPr>
              <w:t>)</w:t>
            </w:r>
          </w:p>
        </w:tc>
        <w:tc>
          <w:tcPr>
            <w:tcW w:w="2213" w:type="dxa"/>
            <w:vAlign w:val="center"/>
          </w:tcPr>
          <w:p>
            <w:pPr>
              <w:widowControl/>
              <w:jc w:val="center"/>
              <w:rPr>
                <w:rFonts w:ascii="黑体" w:hAnsi="黑体" w:eastAsia="黑体" w:cs="宋体"/>
                <w:kern w:val="0"/>
              </w:rPr>
            </w:pPr>
            <w:r>
              <w:rPr>
                <w:rFonts w:hint="eastAsia" w:ascii="黑体" w:hAnsi="黑体" w:eastAsia="黑体" w:cs="宋体"/>
                <w:kern w:val="0"/>
              </w:rPr>
              <w:t>拐点坐标</w:t>
            </w:r>
          </w:p>
        </w:tc>
        <w:tc>
          <w:tcPr>
            <w:tcW w:w="1210" w:type="dxa"/>
            <w:vAlign w:val="center"/>
          </w:tcPr>
          <w:p>
            <w:pPr>
              <w:widowControl/>
              <w:jc w:val="center"/>
              <w:rPr>
                <w:rFonts w:ascii="黑体" w:hAnsi="黑体" w:eastAsia="黑体" w:cs="宋体"/>
                <w:kern w:val="0"/>
              </w:rPr>
            </w:pPr>
            <w:r>
              <w:rPr>
                <w:rFonts w:hint="eastAsia" w:ascii="黑体" w:hAnsi="黑体" w:eastAsia="黑体" w:cs="宋体"/>
                <w:kern w:val="0"/>
              </w:rPr>
              <w:t>主要矿种</w:t>
            </w:r>
          </w:p>
        </w:tc>
        <w:tc>
          <w:tcPr>
            <w:tcW w:w="1074" w:type="dxa"/>
            <w:vAlign w:val="center"/>
          </w:tcPr>
          <w:p>
            <w:pPr>
              <w:widowControl/>
              <w:jc w:val="center"/>
              <w:rPr>
                <w:rFonts w:ascii="黑体" w:hAnsi="黑体" w:eastAsia="黑体" w:cs="宋体"/>
                <w:kern w:val="0"/>
              </w:rPr>
            </w:pPr>
            <w:r>
              <w:rPr>
                <w:rFonts w:hint="eastAsia" w:ascii="黑体" w:hAnsi="黑体" w:eastAsia="黑体" w:cs="宋体"/>
                <w:kern w:val="0"/>
              </w:rPr>
              <w:t>资源量 单位</w:t>
            </w:r>
          </w:p>
        </w:tc>
        <w:tc>
          <w:tcPr>
            <w:tcW w:w="1057" w:type="dxa"/>
            <w:vAlign w:val="center"/>
          </w:tcPr>
          <w:p>
            <w:pPr>
              <w:widowControl/>
              <w:jc w:val="center"/>
              <w:rPr>
                <w:rFonts w:ascii="黑体" w:hAnsi="黑体" w:eastAsia="黑体" w:cs="宋体"/>
                <w:kern w:val="0"/>
              </w:rPr>
            </w:pPr>
            <w:r>
              <w:rPr>
                <w:rFonts w:hint="eastAsia" w:ascii="黑体" w:hAnsi="黑体" w:eastAsia="黑体" w:cs="宋体"/>
                <w:kern w:val="0"/>
              </w:rPr>
              <w:t>资源量</w:t>
            </w:r>
          </w:p>
        </w:tc>
        <w:tc>
          <w:tcPr>
            <w:tcW w:w="1395" w:type="dxa"/>
            <w:vAlign w:val="center"/>
          </w:tcPr>
          <w:p>
            <w:pPr>
              <w:widowControl/>
              <w:jc w:val="center"/>
              <w:rPr>
                <w:rFonts w:ascii="黑体" w:hAnsi="黑体" w:eastAsia="黑体" w:cs="宋体"/>
                <w:kern w:val="0"/>
              </w:rPr>
            </w:pPr>
            <w:r>
              <w:rPr>
                <w:rFonts w:hint="eastAsia" w:ascii="黑体" w:hAnsi="黑体" w:eastAsia="黑体" w:cs="宋体"/>
                <w:kern w:val="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2" w:hRule="atLeast"/>
        </w:trPr>
        <w:tc>
          <w:tcPr>
            <w:tcW w:w="14302" w:type="dxa"/>
            <w:gridSpan w:val="10"/>
            <w:vAlign w:val="center"/>
          </w:tcPr>
          <w:p>
            <w:pPr>
              <w:widowControl/>
              <w:spacing w:line="280" w:lineRule="exact"/>
              <w:jc w:val="center"/>
              <w:rPr>
                <w:rFonts w:ascii="楷体_GB2312" w:hAnsi="宋体" w:eastAsia="楷体_GB2312" w:cs="宋体"/>
                <w:kern w:val="0"/>
                <w:sz w:val="18"/>
                <w:szCs w:val="18"/>
              </w:rPr>
            </w:pPr>
            <w:r>
              <w:rPr>
                <w:rFonts w:hint="eastAsia" w:ascii="楷体" w:hAnsi="楷体" w:eastAsia="楷体" w:cs="楷体"/>
                <w:sz w:val="24"/>
              </w:rPr>
              <w:t>--此表为空--</w:t>
            </w:r>
          </w:p>
        </w:tc>
      </w:tr>
    </w:tbl>
    <w:p>
      <w:pPr>
        <w:spacing w:line="280" w:lineRule="exact"/>
      </w:pPr>
    </w:p>
    <w:p>
      <w:pPr>
        <w:widowControl/>
        <w:ind w:firstLine="643"/>
        <w:jc w:val="left"/>
        <w:rPr>
          <w:rFonts w:ascii="宋体" w:hAnsi="宋体" w:cs="宋体"/>
          <w:b/>
          <w:bCs/>
          <w:kern w:val="0"/>
          <w:sz w:val="32"/>
          <w:szCs w:val="32"/>
        </w:rPr>
        <w:sectPr>
          <w:pgSz w:w="16838" w:h="11906" w:orient="landscape"/>
          <w:pgMar w:top="1800" w:right="1440" w:bottom="1800" w:left="1440" w:header="851" w:footer="992" w:gutter="0"/>
          <w:cols w:space="720" w:num="1"/>
          <w:docGrid w:type="lines" w:linePitch="312" w:charSpace="0"/>
        </w:sectPr>
      </w:pPr>
    </w:p>
    <w:p>
      <w:pPr>
        <w:jc w:val="center"/>
        <w:rPr>
          <w:rFonts w:ascii="黑体" w:hAnsi="黑体" w:eastAsia="黑体"/>
          <w:sz w:val="32"/>
          <w:szCs w:val="32"/>
        </w:rPr>
      </w:pPr>
      <w:bookmarkStart w:id="117" w:name="_Toc12158"/>
      <w:r>
        <w:rPr>
          <w:rFonts w:hint="eastAsia" w:ascii="黑体" w:hAnsi="黑体" w:eastAsia="黑体"/>
          <w:sz w:val="32"/>
          <w:szCs w:val="32"/>
        </w:rPr>
        <w:t>附表</w:t>
      </w:r>
      <w:r>
        <w:rPr>
          <w:rFonts w:ascii="黑体" w:hAnsi="黑体" w:eastAsia="黑体"/>
          <w:sz w:val="32"/>
          <w:szCs w:val="32"/>
        </w:rPr>
        <w:t>4</w:t>
      </w:r>
      <w:r>
        <w:rPr>
          <w:rFonts w:hint="eastAsia" w:ascii="黑体" w:hAnsi="黑体" w:eastAsia="黑体"/>
          <w:sz w:val="32"/>
          <w:szCs w:val="32"/>
        </w:rPr>
        <w:t xml:space="preserve">  小金县矿产资源重点勘查区表</w:t>
      </w:r>
    </w:p>
    <w:tbl>
      <w:tblPr>
        <w:tblStyle w:val="22"/>
        <w:tblW w:w="0" w:type="auto"/>
        <w:tblInd w:w="-2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3"/>
        <w:gridCol w:w="785"/>
        <w:gridCol w:w="1342"/>
        <w:gridCol w:w="1069"/>
        <w:gridCol w:w="942"/>
        <w:gridCol w:w="4997"/>
        <w:gridCol w:w="1025"/>
        <w:gridCol w:w="1364"/>
        <w:gridCol w:w="1352"/>
        <w:gridCol w:w="8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trPr>
        <w:tc>
          <w:tcPr>
            <w:tcW w:w="633" w:type="dxa"/>
            <w:vAlign w:val="center"/>
          </w:tcPr>
          <w:p>
            <w:pPr>
              <w:widowControl/>
              <w:jc w:val="center"/>
              <w:rPr>
                <w:rFonts w:ascii="黑体" w:hAnsi="黑体" w:eastAsia="黑体" w:cs="宋体"/>
                <w:kern w:val="0"/>
                <w:szCs w:val="8"/>
              </w:rPr>
            </w:pPr>
            <w:r>
              <w:rPr>
                <w:rFonts w:hint="eastAsia" w:ascii="黑体" w:hAnsi="黑体" w:eastAsia="黑体" w:cs="宋体"/>
                <w:kern w:val="0"/>
                <w:szCs w:val="8"/>
              </w:rPr>
              <w:t>序号</w:t>
            </w:r>
          </w:p>
        </w:tc>
        <w:tc>
          <w:tcPr>
            <w:tcW w:w="785" w:type="dxa"/>
            <w:vAlign w:val="center"/>
          </w:tcPr>
          <w:p>
            <w:pPr>
              <w:widowControl/>
              <w:jc w:val="center"/>
              <w:rPr>
                <w:rFonts w:ascii="黑体" w:hAnsi="黑体" w:eastAsia="黑体" w:cs="宋体"/>
                <w:kern w:val="0"/>
                <w:szCs w:val="8"/>
              </w:rPr>
            </w:pPr>
            <w:r>
              <w:rPr>
                <w:rFonts w:hint="eastAsia" w:ascii="黑体" w:hAnsi="黑体" w:eastAsia="黑体" w:cs="宋体"/>
                <w:kern w:val="0"/>
                <w:szCs w:val="8"/>
              </w:rPr>
              <w:t>编号</w:t>
            </w:r>
          </w:p>
        </w:tc>
        <w:tc>
          <w:tcPr>
            <w:tcW w:w="1342" w:type="dxa"/>
            <w:vAlign w:val="center"/>
          </w:tcPr>
          <w:p>
            <w:pPr>
              <w:widowControl/>
              <w:jc w:val="center"/>
              <w:rPr>
                <w:rFonts w:ascii="黑体" w:hAnsi="黑体" w:eastAsia="黑体" w:cs="宋体"/>
                <w:kern w:val="0"/>
                <w:szCs w:val="8"/>
              </w:rPr>
            </w:pPr>
            <w:r>
              <w:rPr>
                <w:rFonts w:hint="eastAsia" w:ascii="黑体" w:hAnsi="黑体" w:eastAsia="黑体" w:cs="宋体"/>
                <w:kern w:val="0"/>
                <w:szCs w:val="8"/>
              </w:rPr>
              <w:t>名称</w:t>
            </w:r>
          </w:p>
        </w:tc>
        <w:tc>
          <w:tcPr>
            <w:tcW w:w="1069" w:type="dxa"/>
            <w:vAlign w:val="center"/>
          </w:tcPr>
          <w:p>
            <w:pPr>
              <w:widowControl/>
              <w:jc w:val="center"/>
              <w:rPr>
                <w:rFonts w:ascii="黑体" w:hAnsi="黑体" w:eastAsia="黑体" w:cs="宋体"/>
                <w:kern w:val="0"/>
                <w:szCs w:val="8"/>
              </w:rPr>
            </w:pPr>
            <w:r>
              <w:rPr>
                <w:rFonts w:hint="eastAsia" w:ascii="黑体" w:hAnsi="黑体" w:eastAsia="黑体" w:cs="宋体"/>
                <w:kern w:val="0"/>
                <w:szCs w:val="8"/>
              </w:rPr>
              <w:t>所在行政区</w:t>
            </w:r>
          </w:p>
        </w:tc>
        <w:tc>
          <w:tcPr>
            <w:tcW w:w="942" w:type="dxa"/>
            <w:vAlign w:val="center"/>
          </w:tcPr>
          <w:p>
            <w:pPr>
              <w:widowControl/>
              <w:jc w:val="center"/>
              <w:rPr>
                <w:rFonts w:ascii="黑体" w:hAnsi="黑体" w:eastAsia="黑体" w:cs="宋体"/>
                <w:kern w:val="0"/>
                <w:szCs w:val="8"/>
              </w:rPr>
            </w:pPr>
            <w:r>
              <w:rPr>
                <w:rFonts w:hint="eastAsia" w:ascii="黑体" w:hAnsi="黑体" w:eastAsia="黑体" w:cs="宋体"/>
                <w:kern w:val="0"/>
                <w:szCs w:val="8"/>
              </w:rPr>
              <w:t>面积(Km</w:t>
            </w:r>
            <w:r>
              <w:rPr>
                <w:rFonts w:hint="eastAsia" w:ascii="黑体" w:hAnsi="黑体" w:eastAsia="黑体" w:cs="宋体"/>
                <w:kern w:val="0"/>
                <w:szCs w:val="8"/>
                <w:vertAlign w:val="superscript"/>
              </w:rPr>
              <w:t>2</w:t>
            </w:r>
            <w:r>
              <w:rPr>
                <w:rFonts w:hint="eastAsia" w:ascii="黑体" w:hAnsi="黑体" w:eastAsia="黑体" w:cs="宋体"/>
                <w:kern w:val="0"/>
                <w:szCs w:val="8"/>
              </w:rPr>
              <w:t>)</w:t>
            </w:r>
          </w:p>
        </w:tc>
        <w:tc>
          <w:tcPr>
            <w:tcW w:w="4997" w:type="dxa"/>
            <w:vAlign w:val="center"/>
          </w:tcPr>
          <w:p>
            <w:pPr>
              <w:widowControl/>
              <w:jc w:val="center"/>
              <w:rPr>
                <w:rFonts w:ascii="黑体" w:hAnsi="黑体" w:eastAsia="黑体" w:cs="宋体"/>
                <w:kern w:val="0"/>
                <w:szCs w:val="8"/>
              </w:rPr>
            </w:pPr>
            <w:r>
              <w:rPr>
                <w:rFonts w:hint="eastAsia" w:ascii="黑体" w:hAnsi="黑体" w:eastAsia="黑体" w:cs="宋体"/>
                <w:kern w:val="0"/>
                <w:szCs w:val="8"/>
              </w:rPr>
              <w:t>拐点坐标</w:t>
            </w:r>
          </w:p>
        </w:tc>
        <w:tc>
          <w:tcPr>
            <w:tcW w:w="1025" w:type="dxa"/>
            <w:vAlign w:val="center"/>
          </w:tcPr>
          <w:p>
            <w:pPr>
              <w:widowControl/>
              <w:jc w:val="center"/>
              <w:rPr>
                <w:rFonts w:ascii="黑体" w:hAnsi="黑体" w:eastAsia="黑体" w:cs="宋体"/>
                <w:kern w:val="0"/>
                <w:szCs w:val="8"/>
              </w:rPr>
            </w:pPr>
            <w:r>
              <w:rPr>
                <w:rFonts w:hint="eastAsia" w:ascii="黑体" w:hAnsi="黑体" w:eastAsia="黑体" w:cs="宋体"/>
                <w:kern w:val="0"/>
                <w:szCs w:val="8"/>
              </w:rPr>
              <w:t>主要矿种</w:t>
            </w:r>
          </w:p>
        </w:tc>
        <w:tc>
          <w:tcPr>
            <w:tcW w:w="1364" w:type="dxa"/>
            <w:vAlign w:val="center"/>
          </w:tcPr>
          <w:p>
            <w:pPr>
              <w:widowControl/>
              <w:jc w:val="center"/>
              <w:rPr>
                <w:rFonts w:ascii="黑体" w:hAnsi="黑体" w:eastAsia="黑体" w:cs="宋体"/>
                <w:kern w:val="0"/>
                <w:szCs w:val="8"/>
              </w:rPr>
            </w:pPr>
            <w:r>
              <w:rPr>
                <w:rFonts w:hint="eastAsia" w:ascii="黑体" w:hAnsi="黑体" w:eastAsia="黑体" w:cs="宋体"/>
                <w:kern w:val="0"/>
                <w:szCs w:val="8"/>
              </w:rPr>
              <w:t>已设探矿权数量</w:t>
            </w:r>
          </w:p>
        </w:tc>
        <w:tc>
          <w:tcPr>
            <w:tcW w:w="1352" w:type="dxa"/>
            <w:vAlign w:val="center"/>
          </w:tcPr>
          <w:p>
            <w:pPr>
              <w:widowControl/>
              <w:jc w:val="center"/>
              <w:rPr>
                <w:rFonts w:ascii="黑体" w:hAnsi="黑体" w:eastAsia="黑体" w:cs="宋体"/>
                <w:kern w:val="0"/>
                <w:szCs w:val="8"/>
              </w:rPr>
            </w:pPr>
            <w:r>
              <w:rPr>
                <w:rFonts w:hint="eastAsia" w:ascii="黑体" w:hAnsi="黑体" w:eastAsia="黑体" w:cs="宋体"/>
                <w:kern w:val="0"/>
                <w:szCs w:val="8"/>
              </w:rPr>
              <w:t>拟设探矿权数量</w:t>
            </w:r>
          </w:p>
        </w:tc>
        <w:tc>
          <w:tcPr>
            <w:tcW w:w="884" w:type="dxa"/>
            <w:vAlign w:val="center"/>
          </w:tcPr>
          <w:p>
            <w:pPr>
              <w:widowControl/>
              <w:jc w:val="center"/>
              <w:rPr>
                <w:rFonts w:ascii="黑体" w:hAnsi="黑体" w:eastAsia="黑体" w:cs="宋体"/>
                <w:kern w:val="0"/>
                <w:szCs w:val="8"/>
              </w:rPr>
            </w:pPr>
            <w:r>
              <w:rPr>
                <w:rFonts w:hint="eastAsia" w:ascii="黑体" w:hAnsi="黑体" w:eastAsia="黑体" w:cs="宋体"/>
                <w:kern w:val="0"/>
                <w:szCs w:val="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trPr>
        <w:tc>
          <w:tcPr>
            <w:tcW w:w="14393" w:type="dxa"/>
            <w:gridSpan w:val="10"/>
            <w:vAlign w:val="center"/>
          </w:tcPr>
          <w:p>
            <w:pPr>
              <w:widowControl/>
              <w:spacing w:line="280" w:lineRule="exact"/>
              <w:jc w:val="center"/>
              <w:rPr>
                <w:rFonts w:ascii="楷体_GB2312" w:hAnsi="宋体" w:eastAsia="楷体_GB2312" w:cs="宋体"/>
                <w:kern w:val="0"/>
                <w:szCs w:val="21"/>
              </w:rPr>
            </w:pPr>
            <w:r>
              <w:rPr>
                <w:rFonts w:hint="eastAsia" w:ascii="楷体" w:hAnsi="楷体" w:eastAsia="楷体" w:cs="楷体"/>
                <w:sz w:val="24"/>
              </w:rPr>
              <w:t>--此表为空--</w:t>
            </w:r>
          </w:p>
        </w:tc>
      </w:tr>
    </w:tbl>
    <w:p>
      <w:pPr>
        <w:rPr>
          <w:rFonts w:ascii="黑体" w:hAnsi="黑体" w:eastAsia="黑体"/>
          <w:sz w:val="32"/>
          <w:szCs w:val="32"/>
        </w:rPr>
      </w:pPr>
    </w:p>
    <w:p>
      <w:pPr>
        <w:jc w:val="center"/>
        <w:rPr>
          <w:rFonts w:ascii="黑体" w:hAnsi="黑体" w:eastAsia="黑体"/>
          <w:sz w:val="32"/>
          <w:szCs w:val="32"/>
        </w:rPr>
        <w:sectPr>
          <w:pgSz w:w="16838" w:h="11906" w:orient="landscape"/>
          <w:pgMar w:top="1800" w:right="1440" w:bottom="1800" w:left="1440" w:header="851" w:footer="992" w:gutter="0"/>
          <w:cols w:space="720" w:num="1"/>
          <w:docGrid w:type="lines" w:linePitch="312" w:charSpace="0"/>
        </w:sectPr>
      </w:pPr>
    </w:p>
    <w:p>
      <w:pPr>
        <w:jc w:val="center"/>
        <w:rPr>
          <w:rFonts w:ascii="黑体" w:hAnsi="黑体" w:eastAsia="黑体"/>
          <w:sz w:val="32"/>
          <w:szCs w:val="32"/>
        </w:rPr>
      </w:pPr>
      <w:r>
        <w:rPr>
          <w:rFonts w:hint="eastAsia" w:ascii="黑体" w:hAnsi="黑体" w:eastAsia="黑体"/>
          <w:sz w:val="32"/>
          <w:szCs w:val="32"/>
        </w:rPr>
        <w:t>附表</w:t>
      </w:r>
      <w:r>
        <w:rPr>
          <w:rFonts w:ascii="黑体" w:hAnsi="黑体" w:eastAsia="黑体"/>
          <w:sz w:val="32"/>
          <w:szCs w:val="32"/>
        </w:rPr>
        <w:t>5</w:t>
      </w:r>
      <w:r>
        <w:rPr>
          <w:rFonts w:hint="eastAsia" w:ascii="黑体" w:hAnsi="黑体" w:eastAsia="黑体"/>
          <w:sz w:val="32"/>
          <w:szCs w:val="32"/>
        </w:rPr>
        <w:t xml:space="preserve">  小金县勘查规划区块表</w:t>
      </w:r>
      <w:bookmarkEnd w:id="117"/>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3"/>
        <w:gridCol w:w="1713"/>
        <w:gridCol w:w="1843"/>
        <w:gridCol w:w="1418"/>
        <w:gridCol w:w="992"/>
        <w:gridCol w:w="3118"/>
        <w:gridCol w:w="993"/>
        <w:gridCol w:w="1275"/>
        <w:gridCol w:w="1134"/>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663" w:type="dxa"/>
            <w:vAlign w:val="center"/>
          </w:tcPr>
          <w:p>
            <w:pPr>
              <w:widowControl/>
              <w:jc w:val="center"/>
              <w:rPr>
                <w:rFonts w:ascii="黑体" w:hAnsi="黑体" w:eastAsia="黑体" w:cs="黑体"/>
                <w:color w:val="000000"/>
                <w:kern w:val="0"/>
                <w:szCs w:val="21"/>
              </w:rPr>
            </w:pPr>
            <w:r>
              <w:rPr>
                <w:rFonts w:hint="eastAsia" w:ascii="黑体" w:hAnsi="黑体" w:eastAsia="黑体" w:cs="黑体"/>
                <w:color w:val="000000"/>
                <w:kern w:val="0"/>
                <w:szCs w:val="21"/>
              </w:rPr>
              <w:t>序号</w:t>
            </w:r>
          </w:p>
        </w:tc>
        <w:tc>
          <w:tcPr>
            <w:tcW w:w="1713" w:type="dxa"/>
            <w:vAlign w:val="center"/>
          </w:tcPr>
          <w:p>
            <w:pPr>
              <w:widowControl/>
              <w:jc w:val="center"/>
              <w:rPr>
                <w:rFonts w:ascii="黑体" w:hAnsi="黑体" w:eastAsia="黑体" w:cs="黑体"/>
                <w:color w:val="000000"/>
                <w:kern w:val="0"/>
                <w:szCs w:val="21"/>
              </w:rPr>
            </w:pPr>
            <w:r>
              <w:rPr>
                <w:rFonts w:hint="eastAsia" w:ascii="黑体" w:hAnsi="黑体" w:eastAsia="黑体" w:cs="黑体"/>
                <w:color w:val="000000"/>
                <w:kern w:val="0"/>
                <w:szCs w:val="21"/>
              </w:rPr>
              <w:t>编号</w:t>
            </w:r>
          </w:p>
        </w:tc>
        <w:tc>
          <w:tcPr>
            <w:tcW w:w="1843" w:type="dxa"/>
            <w:vAlign w:val="center"/>
          </w:tcPr>
          <w:p>
            <w:pPr>
              <w:widowControl/>
              <w:jc w:val="center"/>
              <w:rPr>
                <w:rFonts w:ascii="黑体" w:hAnsi="黑体" w:eastAsia="黑体" w:cs="黑体"/>
                <w:color w:val="000000"/>
                <w:kern w:val="0"/>
                <w:szCs w:val="21"/>
              </w:rPr>
            </w:pPr>
            <w:r>
              <w:rPr>
                <w:rFonts w:hint="eastAsia" w:ascii="黑体" w:hAnsi="黑体" w:eastAsia="黑体" w:cs="黑体"/>
                <w:color w:val="000000"/>
                <w:kern w:val="0"/>
                <w:szCs w:val="21"/>
              </w:rPr>
              <w:t>区块名称</w:t>
            </w:r>
          </w:p>
        </w:tc>
        <w:tc>
          <w:tcPr>
            <w:tcW w:w="1418" w:type="dxa"/>
            <w:vAlign w:val="center"/>
          </w:tcPr>
          <w:p>
            <w:pPr>
              <w:widowControl/>
              <w:jc w:val="center"/>
              <w:rPr>
                <w:rFonts w:ascii="黑体" w:hAnsi="黑体" w:eastAsia="黑体" w:cs="黑体"/>
                <w:color w:val="000000"/>
                <w:kern w:val="0"/>
                <w:szCs w:val="21"/>
              </w:rPr>
            </w:pPr>
            <w:r>
              <w:rPr>
                <w:rFonts w:hint="eastAsia" w:ascii="黑体" w:hAnsi="黑体" w:eastAsia="黑体" w:cs="黑体"/>
                <w:color w:val="000000"/>
                <w:kern w:val="0"/>
                <w:szCs w:val="21"/>
              </w:rPr>
              <w:t>勘查主矿种</w:t>
            </w:r>
          </w:p>
        </w:tc>
        <w:tc>
          <w:tcPr>
            <w:tcW w:w="992" w:type="dxa"/>
            <w:vAlign w:val="center"/>
          </w:tcPr>
          <w:p>
            <w:pPr>
              <w:widowControl/>
              <w:jc w:val="center"/>
              <w:rPr>
                <w:rFonts w:ascii="黑体" w:hAnsi="黑体" w:eastAsia="黑体" w:cs="黑体"/>
                <w:color w:val="000000"/>
                <w:kern w:val="0"/>
                <w:szCs w:val="21"/>
              </w:rPr>
            </w:pPr>
            <w:r>
              <w:rPr>
                <w:rFonts w:hint="eastAsia" w:ascii="黑体" w:hAnsi="黑体" w:eastAsia="黑体" w:cs="黑体"/>
                <w:color w:val="000000"/>
                <w:kern w:val="0"/>
                <w:szCs w:val="21"/>
              </w:rPr>
              <w:t>面积（平方千米）</w:t>
            </w:r>
          </w:p>
        </w:tc>
        <w:tc>
          <w:tcPr>
            <w:tcW w:w="3118" w:type="dxa"/>
            <w:vAlign w:val="center"/>
          </w:tcPr>
          <w:p>
            <w:pPr>
              <w:widowControl/>
              <w:jc w:val="center"/>
              <w:rPr>
                <w:rFonts w:ascii="黑体" w:hAnsi="黑体" w:eastAsia="黑体" w:cs="黑体"/>
                <w:color w:val="000000"/>
                <w:kern w:val="0"/>
                <w:szCs w:val="21"/>
              </w:rPr>
            </w:pPr>
            <w:r>
              <w:rPr>
                <w:rFonts w:hint="eastAsia" w:ascii="黑体" w:hAnsi="黑体" w:eastAsia="黑体" w:cs="黑体"/>
                <w:color w:val="000000"/>
                <w:kern w:val="0"/>
                <w:szCs w:val="21"/>
              </w:rPr>
              <w:t>拐点坐标</w:t>
            </w:r>
          </w:p>
        </w:tc>
        <w:tc>
          <w:tcPr>
            <w:tcW w:w="993" w:type="dxa"/>
            <w:vAlign w:val="center"/>
          </w:tcPr>
          <w:p>
            <w:pPr>
              <w:widowControl/>
              <w:jc w:val="center"/>
              <w:rPr>
                <w:rFonts w:ascii="黑体" w:hAnsi="黑体" w:eastAsia="黑体" w:cs="黑体"/>
                <w:color w:val="000000"/>
                <w:kern w:val="0"/>
                <w:szCs w:val="21"/>
              </w:rPr>
            </w:pPr>
            <w:r>
              <w:rPr>
                <w:rFonts w:hint="eastAsia" w:ascii="黑体" w:hAnsi="黑体" w:eastAsia="黑体" w:cs="黑体"/>
                <w:color w:val="000000"/>
                <w:kern w:val="0"/>
                <w:szCs w:val="21"/>
              </w:rPr>
              <w:t>现有勘查程度</w:t>
            </w:r>
          </w:p>
        </w:tc>
        <w:tc>
          <w:tcPr>
            <w:tcW w:w="1275" w:type="dxa"/>
            <w:vAlign w:val="center"/>
          </w:tcPr>
          <w:p>
            <w:pPr>
              <w:widowControl/>
              <w:rPr>
                <w:rFonts w:ascii="黑体" w:hAnsi="黑体" w:eastAsia="黑体" w:cs="黑体"/>
                <w:color w:val="000000"/>
                <w:kern w:val="0"/>
                <w:szCs w:val="21"/>
              </w:rPr>
            </w:pPr>
            <w:r>
              <w:rPr>
                <w:rFonts w:hint="eastAsia" w:ascii="黑体" w:hAnsi="黑体" w:eastAsia="黑体" w:cs="黑体"/>
                <w:color w:val="000000"/>
                <w:kern w:val="0"/>
                <w:szCs w:val="21"/>
              </w:rPr>
              <w:t>拟设探矿权勘查阶段</w:t>
            </w:r>
          </w:p>
        </w:tc>
        <w:tc>
          <w:tcPr>
            <w:tcW w:w="1134" w:type="dxa"/>
            <w:vAlign w:val="center"/>
          </w:tcPr>
          <w:p>
            <w:pPr>
              <w:widowControl/>
              <w:jc w:val="center"/>
              <w:rPr>
                <w:rFonts w:ascii="黑体" w:hAnsi="黑体" w:eastAsia="黑体" w:cs="黑体"/>
                <w:color w:val="000000"/>
                <w:kern w:val="0"/>
                <w:szCs w:val="21"/>
              </w:rPr>
            </w:pPr>
            <w:r>
              <w:rPr>
                <w:rFonts w:hint="eastAsia" w:ascii="黑体" w:hAnsi="黑体" w:eastAsia="黑体" w:cs="黑体"/>
                <w:color w:val="000000"/>
                <w:kern w:val="0"/>
                <w:szCs w:val="21"/>
              </w:rPr>
              <w:t>投放时序</w:t>
            </w:r>
          </w:p>
        </w:tc>
        <w:tc>
          <w:tcPr>
            <w:tcW w:w="851" w:type="dxa"/>
            <w:vAlign w:val="center"/>
          </w:tcPr>
          <w:p>
            <w:pPr>
              <w:widowControl/>
              <w:jc w:val="center"/>
              <w:rPr>
                <w:rFonts w:ascii="黑体" w:hAnsi="黑体" w:eastAsia="黑体" w:cs="黑体"/>
                <w:color w:val="000000"/>
                <w:kern w:val="0"/>
                <w:szCs w:val="21"/>
              </w:rPr>
            </w:pPr>
            <w:r>
              <w:rPr>
                <w:rFonts w:hint="eastAsia" w:ascii="黑体" w:hAnsi="黑体" w:eastAsia="黑体" w:cs="黑体"/>
                <w:color w:val="000000"/>
                <w:kern w:val="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14000" w:type="dxa"/>
            <w:gridSpan w:val="10"/>
            <w:vAlign w:val="center"/>
          </w:tcPr>
          <w:p>
            <w:pPr>
              <w:widowControl/>
              <w:jc w:val="center"/>
              <w:rPr>
                <w:color w:val="000000"/>
                <w:sz w:val="18"/>
                <w:szCs w:val="18"/>
              </w:rPr>
            </w:pPr>
            <w:r>
              <w:rPr>
                <w:rFonts w:hint="eastAsia" w:ascii="楷体" w:hAnsi="楷体" w:eastAsia="楷体" w:cs="楷体"/>
                <w:sz w:val="24"/>
              </w:rPr>
              <w:t>--此表为空--</w:t>
            </w:r>
          </w:p>
        </w:tc>
      </w:tr>
    </w:tbl>
    <w:p>
      <w:pPr>
        <w:spacing w:line="280" w:lineRule="exact"/>
        <w:ind w:firstLine="360"/>
      </w:pPr>
    </w:p>
    <w:p>
      <w:pPr>
        <w:widowControl/>
        <w:jc w:val="left"/>
        <w:rPr>
          <w:rFonts w:ascii="宋体" w:hAnsi="宋体" w:cs="宋体"/>
          <w:b/>
          <w:bCs/>
          <w:kern w:val="0"/>
          <w:sz w:val="32"/>
          <w:szCs w:val="32"/>
        </w:rPr>
        <w:sectPr>
          <w:pgSz w:w="16838" w:h="11906" w:orient="landscape"/>
          <w:pgMar w:top="1800" w:right="1440" w:bottom="1800" w:left="1440" w:header="851" w:footer="992" w:gutter="0"/>
          <w:cols w:space="720" w:num="1"/>
          <w:docGrid w:type="lines" w:linePitch="312" w:charSpace="0"/>
        </w:sectPr>
      </w:pPr>
    </w:p>
    <w:p>
      <w:pPr>
        <w:jc w:val="center"/>
        <w:rPr>
          <w:rFonts w:ascii="黑体" w:hAnsi="黑体" w:eastAsia="黑体"/>
          <w:sz w:val="32"/>
          <w:szCs w:val="32"/>
        </w:rPr>
      </w:pPr>
      <w:r>
        <w:rPr>
          <w:rFonts w:hint="eastAsia" w:ascii="黑体" w:hAnsi="黑体" w:eastAsia="黑体"/>
          <w:sz w:val="32"/>
          <w:szCs w:val="32"/>
        </w:rPr>
        <w:t>附表</w:t>
      </w:r>
      <w:r>
        <w:rPr>
          <w:rFonts w:ascii="黑体" w:hAnsi="黑体" w:eastAsia="黑体"/>
          <w:sz w:val="32"/>
          <w:szCs w:val="32"/>
        </w:rPr>
        <w:t>6</w:t>
      </w:r>
      <w:r>
        <w:rPr>
          <w:rFonts w:hint="eastAsia" w:ascii="黑体" w:hAnsi="黑体" w:eastAsia="黑体"/>
          <w:sz w:val="32"/>
          <w:szCs w:val="32"/>
        </w:rPr>
        <w:t xml:space="preserve">  小金县矿产资源重点开采区表</w:t>
      </w:r>
    </w:p>
    <w:tbl>
      <w:tblPr>
        <w:tblStyle w:val="22"/>
        <w:tblW w:w="14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3"/>
        <w:gridCol w:w="709"/>
        <w:gridCol w:w="1167"/>
        <w:gridCol w:w="1069"/>
        <w:gridCol w:w="916"/>
        <w:gridCol w:w="2856"/>
        <w:gridCol w:w="934"/>
        <w:gridCol w:w="1167"/>
        <w:gridCol w:w="1031"/>
        <w:gridCol w:w="1343"/>
        <w:gridCol w:w="1423"/>
        <w:gridCol w:w="9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643" w:type="dxa"/>
            <w:vAlign w:val="center"/>
          </w:tcPr>
          <w:p>
            <w:pPr>
              <w:widowControl/>
              <w:jc w:val="center"/>
              <w:rPr>
                <w:rFonts w:ascii="黑体" w:hAnsi="黑体" w:eastAsia="黑体" w:cs="宋体"/>
                <w:kern w:val="0"/>
                <w:szCs w:val="8"/>
              </w:rPr>
            </w:pPr>
            <w:r>
              <w:rPr>
                <w:rFonts w:hint="eastAsia" w:ascii="黑体" w:hAnsi="黑体" w:eastAsia="黑体" w:cs="宋体"/>
                <w:kern w:val="0"/>
                <w:szCs w:val="8"/>
              </w:rPr>
              <w:t>序号</w:t>
            </w:r>
          </w:p>
        </w:tc>
        <w:tc>
          <w:tcPr>
            <w:tcW w:w="709" w:type="dxa"/>
            <w:vAlign w:val="center"/>
          </w:tcPr>
          <w:p>
            <w:pPr>
              <w:widowControl/>
              <w:jc w:val="center"/>
              <w:rPr>
                <w:rFonts w:ascii="黑体" w:hAnsi="黑体" w:eastAsia="黑体" w:cs="宋体"/>
                <w:kern w:val="0"/>
                <w:szCs w:val="8"/>
              </w:rPr>
            </w:pPr>
            <w:r>
              <w:rPr>
                <w:rFonts w:hint="eastAsia" w:ascii="黑体" w:hAnsi="黑体" w:eastAsia="黑体" w:cs="宋体"/>
                <w:kern w:val="0"/>
                <w:szCs w:val="8"/>
              </w:rPr>
              <w:t>编号</w:t>
            </w:r>
          </w:p>
        </w:tc>
        <w:tc>
          <w:tcPr>
            <w:tcW w:w="1167" w:type="dxa"/>
            <w:vAlign w:val="center"/>
          </w:tcPr>
          <w:p>
            <w:pPr>
              <w:widowControl/>
              <w:jc w:val="center"/>
              <w:rPr>
                <w:rFonts w:ascii="黑体" w:hAnsi="黑体" w:eastAsia="黑体" w:cs="宋体"/>
                <w:kern w:val="0"/>
                <w:szCs w:val="8"/>
              </w:rPr>
            </w:pPr>
            <w:r>
              <w:rPr>
                <w:rFonts w:hint="eastAsia" w:ascii="黑体" w:hAnsi="黑体" w:eastAsia="黑体" w:cs="宋体"/>
                <w:kern w:val="0"/>
                <w:szCs w:val="8"/>
              </w:rPr>
              <w:t>名称</w:t>
            </w:r>
          </w:p>
        </w:tc>
        <w:tc>
          <w:tcPr>
            <w:tcW w:w="1069" w:type="dxa"/>
            <w:vAlign w:val="center"/>
          </w:tcPr>
          <w:p>
            <w:pPr>
              <w:widowControl/>
              <w:jc w:val="center"/>
              <w:rPr>
                <w:rFonts w:ascii="黑体" w:hAnsi="黑体" w:eastAsia="黑体" w:cs="宋体"/>
                <w:kern w:val="0"/>
                <w:szCs w:val="8"/>
              </w:rPr>
            </w:pPr>
            <w:r>
              <w:rPr>
                <w:rFonts w:hint="eastAsia" w:ascii="黑体" w:hAnsi="黑体" w:eastAsia="黑体" w:cs="宋体"/>
                <w:kern w:val="0"/>
                <w:szCs w:val="8"/>
              </w:rPr>
              <w:t>所在行政区</w:t>
            </w:r>
          </w:p>
        </w:tc>
        <w:tc>
          <w:tcPr>
            <w:tcW w:w="916" w:type="dxa"/>
            <w:vAlign w:val="center"/>
          </w:tcPr>
          <w:p>
            <w:pPr>
              <w:widowControl/>
              <w:jc w:val="center"/>
              <w:rPr>
                <w:rFonts w:ascii="黑体" w:hAnsi="黑体" w:eastAsia="黑体" w:cs="宋体"/>
                <w:kern w:val="0"/>
                <w:szCs w:val="8"/>
              </w:rPr>
            </w:pPr>
            <w:r>
              <w:rPr>
                <w:rFonts w:hint="eastAsia" w:ascii="黑体" w:hAnsi="黑体" w:eastAsia="黑体" w:cs="宋体"/>
                <w:kern w:val="0"/>
                <w:szCs w:val="8"/>
              </w:rPr>
              <w:t>面积(Km2)</w:t>
            </w:r>
          </w:p>
        </w:tc>
        <w:tc>
          <w:tcPr>
            <w:tcW w:w="2856" w:type="dxa"/>
            <w:vAlign w:val="center"/>
          </w:tcPr>
          <w:p>
            <w:pPr>
              <w:widowControl/>
              <w:jc w:val="center"/>
              <w:rPr>
                <w:rFonts w:ascii="黑体" w:hAnsi="黑体" w:eastAsia="黑体" w:cs="宋体"/>
                <w:kern w:val="0"/>
                <w:szCs w:val="8"/>
              </w:rPr>
            </w:pPr>
            <w:r>
              <w:rPr>
                <w:rFonts w:hint="eastAsia" w:ascii="黑体" w:hAnsi="黑体" w:eastAsia="黑体" w:cs="宋体"/>
                <w:kern w:val="0"/>
                <w:szCs w:val="8"/>
              </w:rPr>
              <w:t>拐点坐标</w:t>
            </w:r>
          </w:p>
        </w:tc>
        <w:tc>
          <w:tcPr>
            <w:tcW w:w="934" w:type="dxa"/>
            <w:vAlign w:val="center"/>
          </w:tcPr>
          <w:p>
            <w:pPr>
              <w:widowControl/>
              <w:jc w:val="center"/>
              <w:rPr>
                <w:rFonts w:ascii="黑体" w:hAnsi="黑体" w:eastAsia="黑体" w:cs="宋体"/>
                <w:kern w:val="0"/>
                <w:szCs w:val="8"/>
              </w:rPr>
            </w:pPr>
            <w:r>
              <w:rPr>
                <w:rFonts w:hint="eastAsia" w:ascii="黑体" w:hAnsi="黑体" w:eastAsia="黑体" w:cs="宋体"/>
                <w:kern w:val="0"/>
                <w:szCs w:val="8"/>
              </w:rPr>
              <w:t>主要矿种</w:t>
            </w:r>
          </w:p>
        </w:tc>
        <w:tc>
          <w:tcPr>
            <w:tcW w:w="1167" w:type="dxa"/>
            <w:vAlign w:val="center"/>
          </w:tcPr>
          <w:p>
            <w:pPr>
              <w:widowControl/>
              <w:jc w:val="center"/>
              <w:rPr>
                <w:rFonts w:ascii="黑体" w:hAnsi="黑体" w:eastAsia="黑体" w:cs="宋体"/>
                <w:kern w:val="0"/>
                <w:szCs w:val="8"/>
              </w:rPr>
            </w:pPr>
            <w:r>
              <w:rPr>
                <w:rFonts w:hint="eastAsia" w:ascii="黑体" w:hAnsi="黑体" w:eastAsia="黑体" w:cs="宋体"/>
                <w:kern w:val="0"/>
                <w:szCs w:val="8"/>
              </w:rPr>
              <w:t>资源量 单位</w:t>
            </w:r>
          </w:p>
        </w:tc>
        <w:tc>
          <w:tcPr>
            <w:tcW w:w="1031" w:type="dxa"/>
            <w:vAlign w:val="center"/>
          </w:tcPr>
          <w:p>
            <w:pPr>
              <w:widowControl/>
              <w:jc w:val="center"/>
              <w:rPr>
                <w:rFonts w:ascii="黑体" w:hAnsi="黑体" w:eastAsia="黑体" w:cs="宋体"/>
                <w:kern w:val="0"/>
                <w:szCs w:val="8"/>
              </w:rPr>
            </w:pPr>
            <w:r>
              <w:rPr>
                <w:rFonts w:hint="eastAsia" w:ascii="黑体" w:hAnsi="黑体" w:eastAsia="黑体" w:cs="宋体"/>
                <w:kern w:val="0"/>
                <w:szCs w:val="8"/>
              </w:rPr>
              <w:t>资源量</w:t>
            </w:r>
          </w:p>
        </w:tc>
        <w:tc>
          <w:tcPr>
            <w:tcW w:w="1343" w:type="dxa"/>
            <w:vAlign w:val="center"/>
          </w:tcPr>
          <w:p>
            <w:pPr>
              <w:widowControl/>
              <w:jc w:val="center"/>
              <w:rPr>
                <w:rFonts w:ascii="黑体" w:hAnsi="黑体" w:eastAsia="黑体" w:cs="宋体"/>
                <w:kern w:val="0"/>
                <w:szCs w:val="8"/>
              </w:rPr>
            </w:pPr>
            <w:r>
              <w:rPr>
                <w:rFonts w:hint="eastAsia" w:ascii="黑体" w:hAnsi="黑体" w:eastAsia="黑体" w:cs="宋体"/>
                <w:kern w:val="0"/>
                <w:szCs w:val="8"/>
              </w:rPr>
              <w:t>已设采矿权数量</w:t>
            </w:r>
          </w:p>
        </w:tc>
        <w:tc>
          <w:tcPr>
            <w:tcW w:w="1423" w:type="dxa"/>
            <w:vAlign w:val="center"/>
          </w:tcPr>
          <w:p>
            <w:pPr>
              <w:widowControl/>
              <w:jc w:val="center"/>
              <w:rPr>
                <w:rFonts w:ascii="黑体" w:hAnsi="黑体" w:eastAsia="黑体" w:cs="宋体"/>
                <w:kern w:val="0"/>
                <w:szCs w:val="8"/>
              </w:rPr>
            </w:pPr>
            <w:r>
              <w:rPr>
                <w:rFonts w:hint="eastAsia" w:ascii="黑体" w:hAnsi="黑体" w:eastAsia="黑体" w:cs="宋体"/>
                <w:kern w:val="0"/>
                <w:szCs w:val="8"/>
              </w:rPr>
              <w:t>拟设采矿权数量</w:t>
            </w:r>
          </w:p>
        </w:tc>
        <w:tc>
          <w:tcPr>
            <w:tcW w:w="916" w:type="dxa"/>
            <w:vAlign w:val="center"/>
          </w:tcPr>
          <w:p>
            <w:pPr>
              <w:widowControl/>
              <w:jc w:val="center"/>
              <w:rPr>
                <w:rFonts w:ascii="黑体" w:hAnsi="黑体" w:eastAsia="黑体" w:cs="宋体"/>
                <w:kern w:val="0"/>
                <w:szCs w:val="8"/>
              </w:rPr>
            </w:pPr>
            <w:r>
              <w:rPr>
                <w:rFonts w:hint="eastAsia" w:ascii="黑体" w:hAnsi="黑体" w:eastAsia="黑体" w:cs="宋体"/>
                <w:kern w:val="0"/>
                <w:szCs w:val="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14174" w:type="dxa"/>
            <w:gridSpan w:val="12"/>
            <w:vAlign w:val="center"/>
          </w:tcPr>
          <w:p>
            <w:pPr>
              <w:widowControl/>
              <w:jc w:val="center"/>
              <w:rPr>
                <w:rFonts w:ascii="楷体_GB2312" w:hAnsi="宋体" w:eastAsia="楷体_GB2312" w:cs="宋体"/>
                <w:kern w:val="0"/>
                <w:sz w:val="18"/>
                <w:szCs w:val="18"/>
              </w:rPr>
            </w:pPr>
            <w:r>
              <w:rPr>
                <w:rFonts w:hint="eastAsia" w:ascii="楷体" w:hAnsi="楷体" w:eastAsia="楷体" w:cs="楷体"/>
                <w:sz w:val="24"/>
              </w:rPr>
              <w:t>--此表为空--</w:t>
            </w:r>
          </w:p>
        </w:tc>
      </w:tr>
    </w:tbl>
    <w:p>
      <w:pPr>
        <w:jc w:val="center"/>
        <w:rPr>
          <w:rFonts w:ascii="黑体" w:hAnsi="黑体" w:eastAsia="黑体"/>
          <w:sz w:val="32"/>
          <w:szCs w:val="32"/>
        </w:rPr>
      </w:pPr>
    </w:p>
    <w:p>
      <w:pPr>
        <w:jc w:val="center"/>
        <w:rPr>
          <w:rFonts w:ascii="黑体" w:hAnsi="黑体" w:eastAsia="黑体"/>
          <w:sz w:val="32"/>
          <w:szCs w:val="32"/>
        </w:rPr>
        <w:sectPr>
          <w:pgSz w:w="16838" w:h="11906" w:orient="landscape"/>
          <w:pgMar w:top="1800" w:right="1440" w:bottom="1800" w:left="1440" w:header="851" w:footer="992" w:gutter="0"/>
          <w:cols w:space="720" w:num="1"/>
          <w:docGrid w:type="lines" w:linePitch="312" w:charSpace="0"/>
        </w:sectPr>
      </w:pPr>
    </w:p>
    <w:p>
      <w:pPr>
        <w:jc w:val="center"/>
        <w:rPr>
          <w:rFonts w:ascii="黑体" w:hAnsi="黑体" w:eastAsia="黑体"/>
          <w:sz w:val="32"/>
          <w:szCs w:val="32"/>
        </w:rPr>
      </w:pPr>
      <w:r>
        <w:rPr>
          <w:rFonts w:hint="eastAsia" w:ascii="黑体" w:hAnsi="黑体" w:eastAsia="黑体"/>
          <w:sz w:val="32"/>
          <w:szCs w:val="32"/>
        </w:rPr>
        <w:t>附表</w:t>
      </w:r>
      <w:r>
        <w:rPr>
          <w:rFonts w:ascii="黑体" w:hAnsi="黑体" w:eastAsia="黑体"/>
          <w:sz w:val="32"/>
          <w:szCs w:val="32"/>
        </w:rPr>
        <w:t>7</w:t>
      </w:r>
      <w:r>
        <w:rPr>
          <w:rFonts w:hint="eastAsia" w:ascii="黑体" w:hAnsi="黑体" w:eastAsia="黑体"/>
          <w:sz w:val="32"/>
          <w:szCs w:val="32"/>
        </w:rPr>
        <w:t xml:space="preserve">  小金县开采规划区块表</w:t>
      </w:r>
    </w:p>
    <w:tbl>
      <w:tblPr>
        <w:tblStyle w:val="2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1134"/>
        <w:gridCol w:w="1701"/>
        <w:gridCol w:w="992"/>
        <w:gridCol w:w="1276"/>
        <w:gridCol w:w="1134"/>
        <w:gridCol w:w="3260"/>
        <w:gridCol w:w="1134"/>
        <w:gridCol w:w="998"/>
        <w:gridCol w:w="850"/>
        <w:gridCol w:w="8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7" w:hRule="atLeast"/>
        </w:trPr>
        <w:tc>
          <w:tcPr>
            <w:tcW w:w="288" w:type="pct"/>
            <w:shd w:val="clear" w:color="auto" w:fill="auto"/>
            <w:vAlign w:val="center"/>
          </w:tcPr>
          <w:p>
            <w:pPr>
              <w:widowControl/>
              <w:jc w:val="center"/>
              <w:rPr>
                <w:rFonts w:ascii="黑体" w:hAnsi="黑体" w:eastAsia="黑体" w:cs="黑体"/>
                <w:b/>
                <w:bCs/>
                <w:kern w:val="0"/>
                <w:szCs w:val="21"/>
              </w:rPr>
            </w:pPr>
            <w:r>
              <w:rPr>
                <w:rFonts w:hint="eastAsia" w:ascii="黑体" w:hAnsi="黑体" w:eastAsia="黑体" w:cs="黑体"/>
                <w:b/>
                <w:bCs/>
                <w:kern w:val="0"/>
                <w:szCs w:val="21"/>
              </w:rPr>
              <w:t>序号</w:t>
            </w:r>
          </w:p>
        </w:tc>
        <w:tc>
          <w:tcPr>
            <w:tcW w:w="400" w:type="pct"/>
            <w:shd w:val="clear" w:color="auto" w:fill="auto"/>
            <w:vAlign w:val="center"/>
          </w:tcPr>
          <w:p>
            <w:pPr>
              <w:widowControl/>
              <w:jc w:val="center"/>
              <w:rPr>
                <w:rFonts w:ascii="黑体" w:hAnsi="黑体" w:eastAsia="黑体" w:cs="黑体"/>
                <w:b/>
                <w:bCs/>
                <w:kern w:val="0"/>
                <w:szCs w:val="21"/>
              </w:rPr>
            </w:pPr>
            <w:r>
              <w:rPr>
                <w:rFonts w:hint="eastAsia" w:ascii="黑体" w:hAnsi="黑体" w:eastAsia="黑体" w:cs="黑体"/>
                <w:b/>
                <w:bCs/>
                <w:kern w:val="0"/>
                <w:szCs w:val="21"/>
              </w:rPr>
              <w:t>编号</w:t>
            </w:r>
          </w:p>
        </w:tc>
        <w:tc>
          <w:tcPr>
            <w:tcW w:w="600" w:type="pct"/>
            <w:shd w:val="clear" w:color="auto" w:fill="auto"/>
            <w:vAlign w:val="center"/>
          </w:tcPr>
          <w:p>
            <w:pPr>
              <w:widowControl/>
              <w:jc w:val="center"/>
              <w:rPr>
                <w:rFonts w:ascii="黑体" w:hAnsi="黑体" w:eastAsia="黑体" w:cs="黑体"/>
                <w:b/>
                <w:bCs/>
                <w:kern w:val="0"/>
                <w:szCs w:val="21"/>
              </w:rPr>
            </w:pPr>
            <w:r>
              <w:rPr>
                <w:rFonts w:hint="eastAsia" w:ascii="黑体" w:hAnsi="黑体" w:eastAsia="黑体" w:cs="黑体"/>
                <w:b/>
                <w:bCs/>
                <w:kern w:val="0"/>
                <w:szCs w:val="21"/>
              </w:rPr>
              <w:t>区块名称</w:t>
            </w:r>
          </w:p>
        </w:tc>
        <w:tc>
          <w:tcPr>
            <w:tcW w:w="350" w:type="pct"/>
            <w:shd w:val="clear" w:color="auto" w:fill="auto"/>
            <w:vAlign w:val="center"/>
          </w:tcPr>
          <w:p>
            <w:pPr>
              <w:widowControl/>
              <w:jc w:val="center"/>
              <w:rPr>
                <w:rFonts w:ascii="黑体" w:hAnsi="黑体" w:eastAsia="黑体" w:cs="黑体"/>
                <w:b/>
                <w:bCs/>
                <w:kern w:val="0"/>
                <w:szCs w:val="21"/>
              </w:rPr>
            </w:pPr>
            <w:r>
              <w:rPr>
                <w:rFonts w:hint="eastAsia" w:ascii="黑体" w:hAnsi="黑体" w:eastAsia="黑体" w:cs="黑体"/>
                <w:b/>
                <w:bCs/>
                <w:kern w:val="0"/>
                <w:szCs w:val="21"/>
              </w:rPr>
              <w:t>开采主矿种</w:t>
            </w:r>
          </w:p>
        </w:tc>
        <w:tc>
          <w:tcPr>
            <w:tcW w:w="450" w:type="pct"/>
            <w:shd w:val="clear" w:color="auto" w:fill="auto"/>
            <w:vAlign w:val="center"/>
          </w:tcPr>
          <w:p>
            <w:pPr>
              <w:widowControl/>
              <w:jc w:val="center"/>
              <w:rPr>
                <w:rFonts w:ascii="黑体" w:hAnsi="黑体" w:eastAsia="黑体" w:cs="黑体"/>
                <w:b/>
                <w:bCs/>
                <w:kern w:val="0"/>
                <w:szCs w:val="21"/>
              </w:rPr>
            </w:pPr>
            <w:r>
              <w:rPr>
                <w:rFonts w:hint="eastAsia" w:ascii="黑体" w:hAnsi="黑体" w:eastAsia="黑体" w:cs="黑体"/>
                <w:b/>
                <w:bCs/>
                <w:kern w:val="0"/>
                <w:szCs w:val="21"/>
              </w:rPr>
              <w:t>涉及开采总量控制矿种</w:t>
            </w:r>
          </w:p>
        </w:tc>
        <w:tc>
          <w:tcPr>
            <w:tcW w:w="400" w:type="pct"/>
            <w:shd w:val="clear" w:color="auto" w:fill="auto"/>
            <w:vAlign w:val="center"/>
          </w:tcPr>
          <w:p>
            <w:pPr>
              <w:widowControl/>
              <w:jc w:val="center"/>
              <w:rPr>
                <w:rFonts w:ascii="黑体" w:hAnsi="黑体" w:eastAsia="黑体" w:cs="黑体"/>
                <w:b/>
                <w:bCs/>
                <w:kern w:val="0"/>
                <w:szCs w:val="21"/>
              </w:rPr>
            </w:pPr>
            <w:r>
              <w:rPr>
                <w:rFonts w:hint="eastAsia" w:ascii="黑体" w:hAnsi="黑体" w:eastAsia="黑体" w:cs="黑体"/>
                <w:b/>
                <w:bCs/>
                <w:kern w:val="0"/>
                <w:szCs w:val="21"/>
              </w:rPr>
              <w:t>面积（平方千米）</w:t>
            </w:r>
          </w:p>
        </w:tc>
        <w:tc>
          <w:tcPr>
            <w:tcW w:w="1150" w:type="pct"/>
            <w:shd w:val="clear" w:color="auto" w:fill="auto"/>
            <w:vAlign w:val="center"/>
          </w:tcPr>
          <w:p>
            <w:pPr>
              <w:widowControl/>
              <w:jc w:val="center"/>
              <w:rPr>
                <w:rFonts w:ascii="黑体" w:hAnsi="黑体" w:eastAsia="黑体" w:cs="黑体"/>
                <w:b/>
                <w:bCs/>
                <w:kern w:val="0"/>
                <w:szCs w:val="21"/>
              </w:rPr>
            </w:pPr>
            <w:r>
              <w:rPr>
                <w:rFonts w:hint="eastAsia" w:ascii="黑体" w:hAnsi="黑体" w:eastAsia="黑体" w:cs="黑体"/>
                <w:b/>
                <w:bCs/>
                <w:kern w:val="0"/>
                <w:szCs w:val="21"/>
              </w:rPr>
              <w:t>拐点坐标</w:t>
            </w:r>
          </w:p>
        </w:tc>
        <w:tc>
          <w:tcPr>
            <w:tcW w:w="400" w:type="pct"/>
            <w:shd w:val="clear" w:color="auto" w:fill="auto"/>
            <w:vAlign w:val="center"/>
          </w:tcPr>
          <w:p>
            <w:pPr>
              <w:widowControl/>
              <w:jc w:val="center"/>
              <w:rPr>
                <w:rFonts w:ascii="黑体" w:hAnsi="黑体" w:eastAsia="黑体" w:cs="黑体"/>
                <w:b/>
                <w:bCs/>
                <w:kern w:val="0"/>
                <w:szCs w:val="21"/>
              </w:rPr>
            </w:pPr>
            <w:r>
              <w:rPr>
                <w:rFonts w:hint="eastAsia" w:ascii="黑体" w:hAnsi="黑体" w:eastAsia="黑体" w:cs="黑体"/>
                <w:b/>
                <w:bCs/>
                <w:kern w:val="0"/>
                <w:szCs w:val="21"/>
              </w:rPr>
              <w:t>资源量单位</w:t>
            </w:r>
          </w:p>
        </w:tc>
        <w:tc>
          <w:tcPr>
            <w:tcW w:w="352" w:type="pct"/>
            <w:shd w:val="clear" w:color="auto" w:fill="auto"/>
            <w:vAlign w:val="center"/>
          </w:tcPr>
          <w:p>
            <w:pPr>
              <w:widowControl/>
              <w:jc w:val="center"/>
              <w:rPr>
                <w:rFonts w:ascii="黑体" w:hAnsi="黑体" w:eastAsia="黑体" w:cs="黑体"/>
                <w:b/>
                <w:bCs/>
                <w:kern w:val="0"/>
                <w:szCs w:val="21"/>
              </w:rPr>
            </w:pPr>
            <w:r>
              <w:rPr>
                <w:rFonts w:hint="eastAsia" w:ascii="黑体" w:hAnsi="黑体" w:eastAsia="黑体" w:cs="黑体"/>
                <w:b/>
                <w:bCs/>
                <w:kern w:val="0"/>
                <w:szCs w:val="21"/>
              </w:rPr>
              <w:t>资源量</w:t>
            </w:r>
          </w:p>
        </w:tc>
        <w:tc>
          <w:tcPr>
            <w:tcW w:w="300" w:type="pct"/>
            <w:shd w:val="clear" w:color="auto" w:fill="auto"/>
            <w:vAlign w:val="center"/>
          </w:tcPr>
          <w:p>
            <w:pPr>
              <w:widowControl/>
              <w:jc w:val="center"/>
              <w:rPr>
                <w:rFonts w:ascii="黑体" w:hAnsi="黑体" w:eastAsia="黑体" w:cs="黑体"/>
                <w:b/>
                <w:bCs/>
                <w:kern w:val="0"/>
                <w:szCs w:val="21"/>
              </w:rPr>
            </w:pPr>
            <w:r>
              <w:rPr>
                <w:rFonts w:hint="eastAsia" w:ascii="黑体" w:hAnsi="黑体" w:eastAsia="黑体" w:cs="黑体"/>
                <w:b/>
                <w:bCs/>
                <w:kern w:val="0"/>
                <w:szCs w:val="21"/>
              </w:rPr>
              <w:t>投放时序</w:t>
            </w:r>
          </w:p>
        </w:tc>
        <w:tc>
          <w:tcPr>
            <w:tcW w:w="310" w:type="pct"/>
            <w:shd w:val="clear" w:color="auto" w:fill="auto"/>
            <w:vAlign w:val="center"/>
          </w:tcPr>
          <w:p>
            <w:pPr>
              <w:widowControl/>
              <w:jc w:val="center"/>
              <w:rPr>
                <w:rFonts w:ascii="黑体" w:hAnsi="黑体" w:eastAsia="黑体" w:cs="黑体"/>
                <w:b/>
                <w:bCs/>
                <w:kern w:val="0"/>
                <w:szCs w:val="21"/>
              </w:rPr>
            </w:pPr>
            <w:r>
              <w:rPr>
                <w:rFonts w:hint="eastAsia" w:ascii="黑体" w:hAnsi="黑体" w:eastAsia="黑体" w:cs="黑体"/>
                <w:b/>
                <w:bCs/>
                <w:kern w:val="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3" w:hRule="atLeast"/>
        </w:trPr>
        <w:tc>
          <w:tcPr>
            <w:tcW w:w="288" w:type="pct"/>
            <w:shd w:val="clear" w:color="auto" w:fill="auto"/>
            <w:vAlign w:val="center"/>
          </w:tcPr>
          <w:p>
            <w:pPr>
              <w:widowControl/>
              <w:jc w:val="center"/>
              <w:rPr>
                <w:rFonts w:ascii="仿宋_GB2312" w:hAnsi="黑体" w:eastAsia="仿宋_GB2312" w:cs="黑体"/>
                <w:kern w:val="0"/>
                <w:sz w:val="20"/>
                <w:szCs w:val="20"/>
              </w:rPr>
            </w:pPr>
            <w:r>
              <w:rPr>
                <w:rFonts w:hint="eastAsia" w:ascii="仿宋_GB2312" w:hAnsi="黑体" w:eastAsia="仿宋_GB2312" w:cs="黑体"/>
                <w:kern w:val="0"/>
                <w:sz w:val="20"/>
                <w:szCs w:val="20"/>
              </w:rPr>
              <w:t>1</w:t>
            </w:r>
          </w:p>
        </w:tc>
        <w:tc>
          <w:tcPr>
            <w:tcW w:w="400" w:type="pct"/>
            <w:shd w:val="clear" w:color="auto" w:fill="auto"/>
            <w:vAlign w:val="center"/>
          </w:tcPr>
          <w:p>
            <w:pPr>
              <w:widowControl/>
              <w:jc w:val="left"/>
              <w:rPr>
                <w:rFonts w:ascii="仿宋_GB2312" w:hAnsi="黑体" w:eastAsia="仿宋_GB2312" w:cs="黑体"/>
                <w:kern w:val="0"/>
                <w:sz w:val="20"/>
                <w:szCs w:val="20"/>
              </w:rPr>
            </w:pPr>
            <w:r>
              <w:rPr>
                <w:rFonts w:hint="eastAsia" w:ascii="仿宋_GB2312" w:hAnsi="黑体" w:eastAsia="仿宋_GB2312" w:cs="黑体"/>
                <w:kern w:val="0"/>
                <w:sz w:val="20"/>
                <w:szCs w:val="20"/>
              </w:rPr>
              <w:t>CQ51322700001</w:t>
            </w:r>
          </w:p>
        </w:tc>
        <w:tc>
          <w:tcPr>
            <w:tcW w:w="600" w:type="pct"/>
            <w:shd w:val="clear" w:color="auto" w:fill="auto"/>
            <w:vAlign w:val="center"/>
          </w:tcPr>
          <w:p>
            <w:pPr>
              <w:widowControl/>
              <w:jc w:val="left"/>
              <w:rPr>
                <w:rFonts w:ascii="仿宋_GB2312" w:hAnsi="黑体" w:eastAsia="仿宋_GB2312" w:cs="黑体"/>
                <w:kern w:val="0"/>
                <w:sz w:val="20"/>
                <w:szCs w:val="20"/>
              </w:rPr>
            </w:pPr>
            <w:r>
              <w:rPr>
                <w:rFonts w:hint="eastAsia" w:ascii="仿宋_GB2312" w:hAnsi="黑体" w:eastAsia="仿宋_GB2312" w:cs="黑体"/>
                <w:kern w:val="0"/>
                <w:sz w:val="20"/>
                <w:szCs w:val="20"/>
              </w:rPr>
              <w:t>小金县抚边乡小草坝钨钼矿</w:t>
            </w:r>
          </w:p>
        </w:tc>
        <w:tc>
          <w:tcPr>
            <w:tcW w:w="350" w:type="pct"/>
            <w:shd w:val="clear" w:color="auto" w:fill="auto"/>
            <w:vAlign w:val="center"/>
          </w:tcPr>
          <w:p>
            <w:pPr>
              <w:widowControl/>
              <w:jc w:val="center"/>
              <w:rPr>
                <w:rFonts w:ascii="仿宋_GB2312" w:hAnsi="黑体" w:eastAsia="仿宋_GB2312" w:cs="黑体"/>
                <w:kern w:val="0"/>
                <w:sz w:val="20"/>
                <w:szCs w:val="20"/>
              </w:rPr>
            </w:pPr>
            <w:r>
              <w:rPr>
                <w:rFonts w:hint="eastAsia" w:ascii="仿宋_GB2312" w:hAnsi="黑体" w:eastAsia="仿宋_GB2312" w:cs="黑体"/>
                <w:kern w:val="0"/>
                <w:sz w:val="20"/>
                <w:szCs w:val="20"/>
              </w:rPr>
              <w:t>钨矿</w:t>
            </w:r>
          </w:p>
        </w:tc>
        <w:tc>
          <w:tcPr>
            <w:tcW w:w="450" w:type="pct"/>
            <w:shd w:val="clear" w:color="auto" w:fill="auto"/>
            <w:vAlign w:val="center"/>
          </w:tcPr>
          <w:p>
            <w:pPr>
              <w:widowControl/>
              <w:jc w:val="center"/>
              <w:rPr>
                <w:rFonts w:ascii="仿宋_GB2312" w:hAnsi="黑体" w:eastAsia="仿宋_GB2312" w:cs="黑体"/>
                <w:kern w:val="0"/>
                <w:sz w:val="20"/>
                <w:szCs w:val="20"/>
              </w:rPr>
            </w:pPr>
          </w:p>
        </w:tc>
        <w:tc>
          <w:tcPr>
            <w:tcW w:w="400" w:type="pct"/>
            <w:shd w:val="clear" w:color="auto" w:fill="auto"/>
            <w:vAlign w:val="center"/>
          </w:tcPr>
          <w:p>
            <w:pPr>
              <w:widowControl/>
              <w:jc w:val="center"/>
              <w:rPr>
                <w:rFonts w:ascii="仿宋_GB2312" w:hAnsi="黑体" w:eastAsia="仿宋_GB2312" w:cs="黑体"/>
                <w:kern w:val="0"/>
                <w:sz w:val="20"/>
                <w:szCs w:val="20"/>
              </w:rPr>
            </w:pPr>
            <w:r>
              <w:rPr>
                <w:rFonts w:hint="eastAsia" w:ascii="仿宋_GB2312" w:hAnsi="黑体" w:eastAsia="仿宋_GB2312" w:cs="黑体"/>
                <w:kern w:val="0"/>
                <w:sz w:val="20"/>
                <w:szCs w:val="20"/>
              </w:rPr>
              <w:t>22.96</w:t>
            </w:r>
          </w:p>
        </w:tc>
        <w:tc>
          <w:tcPr>
            <w:tcW w:w="1150" w:type="pct"/>
            <w:shd w:val="clear" w:color="auto" w:fill="auto"/>
            <w:vAlign w:val="center"/>
          </w:tcPr>
          <w:p>
            <w:pPr>
              <w:widowControl/>
              <w:jc w:val="center"/>
              <w:rPr>
                <w:rFonts w:ascii="仿宋_GB2312" w:hAnsi="黑体" w:eastAsia="仿宋_GB2312" w:cs="黑体"/>
                <w:kern w:val="0"/>
                <w:sz w:val="20"/>
                <w:szCs w:val="20"/>
              </w:rPr>
            </w:pPr>
            <w:r>
              <w:rPr>
                <w:rFonts w:hint="eastAsia" w:ascii="仿宋_GB2312" w:hAnsi="黑体" w:eastAsia="仿宋_GB2312" w:cs="黑体"/>
                <w:kern w:val="0"/>
                <w:sz w:val="20"/>
                <w:szCs w:val="20"/>
              </w:rPr>
              <w:t>1,15,1,3476400.4134,34524883.4734,2,3476401.2364,34525226.8771,3,3476124.6152,34525465.2932,4,3476125.6532,34525887.9551,5,3475048.3210,34526154.8147,6,3473244.2474,34526786.3885,7,3473244.2571,34530871.4446,8,3476980.0867,34530872.7297,9,3476980.0880,34529001.9489,10,3478197.4224,34528999.3632,11,3478209.9216,34533198.7469,12,3472665.9589,34533216.3497,13,3472655.5600,34529758.9522,14,3472667.7874,34529758.9174,15,3472655.1465,34524892.3830,0,0, ,0,</w:t>
            </w:r>
          </w:p>
        </w:tc>
        <w:tc>
          <w:tcPr>
            <w:tcW w:w="400" w:type="pct"/>
            <w:shd w:val="clear" w:color="auto" w:fill="auto"/>
            <w:vAlign w:val="center"/>
          </w:tcPr>
          <w:p>
            <w:pPr>
              <w:widowControl/>
              <w:jc w:val="center"/>
              <w:rPr>
                <w:rFonts w:ascii="仿宋_GB2312" w:hAnsi="黑体" w:eastAsia="仿宋_GB2312" w:cs="黑体"/>
                <w:kern w:val="0"/>
                <w:sz w:val="20"/>
                <w:szCs w:val="20"/>
              </w:rPr>
            </w:pPr>
            <w:r>
              <w:rPr>
                <w:rFonts w:hint="eastAsia" w:ascii="仿宋_GB2312" w:hAnsi="黑体" w:eastAsia="仿宋_GB2312" w:cs="黑体"/>
                <w:kern w:val="0"/>
                <w:sz w:val="20"/>
                <w:szCs w:val="20"/>
              </w:rPr>
              <w:t>万吨</w:t>
            </w:r>
          </w:p>
        </w:tc>
        <w:tc>
          <w:tcPr>
            <w:tcW w:w="352" w:type="pct"/>
            <w:shd w:val="clear" w:color="auto" w:fill="auto"/>
            <w:vAlign w:val="center"/>
          </w:tcPr>
          <w:p>
            <w:pPr>
              <w:widowControl/>
              <w:jc w:val="center"/>
              <w:rPr>
                <w:rFonts w:ascii="仿宋_GB2312" w:hAnsi="黑体" w:eastAsia="仿宋_GB2312" w:cs="黑体"/>
                <w:kern w:val="0"/>
                <w:sz w:val="20"/>
                <w:szCs w:val="20"/>
              </w:rPr>
            </w:pPr>
            <w:r>
              <w:rPr>
                <w:rFonts w:hint="eastAsia" w:ascii="仿宋_GB2312" w:hAnsi="黑体" w:eastAsia="仿宋_GB2312" w:cs="黑体"/>
                <w:kern w:val="0"/>
                <w:sz w:val="20"/>
                <w:szCs w:val="20"/>
              </w:rPr>
              <w:t>4983.5</w:t>
            </w:r>
          </w:p>
        </w:tc>
        <w:tc>
          <w:tcPr>
            <w:tcW w:w="300" w:type="pct"/>
            <w:shd w:val="clear" w:color="auto" w:fill="auto"/>
            <w:vAlign w:val="center"/>
          </w:tcPr>
          <w:p>
            <w:pPr>
              <w:widowControl/>
              <w:jc w:val="center"/>
              <w:rPr>
                <w:rFonts w:ascii="仿宋_GB2312" w:hAnsi="黑体" w:eastAsia="仿宋_GB2312" w:cs="黑体"/>
                <w:kern w:val="0"/>
                <w:sz w:val="20"/>
                <w:szCs w:val="20"/>
              </w:rPr>
            </w:pPr>
            <w:r>
              <w:rPr>
                <w:rFonts w:hint="eastAsia" w:ascii="仿宋_GB2312" w:hAnsi="黑体" w:eastAsia="仿宋_GB2312" w:cs="黑体"/>
                <w:kern w:val="0"/>
                <w:sz w:val="20"/>
                <w:szCs w:val="20"/>
              </w:rPr>
              <w:t>2021-2025</w:t>
            </w:r>
          </w:p>
        </w:tc>
        <w:tc>
          <w:tcPr>
            <w:tcW w:w="310" w:type="pct"/>
            <w:shd w:val="clear" w:color="auto" w:fill="auto"/>
            <w:vAlign w:val="center"/>
          </w:tcPr>
          <w:p>
            <w:pPr>
              <w:widowControl/>
              <w:jc w:val="center"/>
              <w:rPr>
                <w:rFonts w:ascii="仿宋_GB2312" w:hAnsi="黑体" w:eastAsia="仿宋_GB2312" w:cs="黑体"/>
                <w:kern w:val="0"/>
                <w:sz w:val="20"/>
                <w:szCs w:val="20"/>
              </w:rPr>
            </w:pPr>
            <w:r>
              <w:rPr>
                <w:rFonts w:hint="eastAsia" w:ascii="仿宋_GB2312" w:hAnsi="黑体" w:eastAsia="仿宋_GB2312" w:cs="黑体"/>
                <w:kern w:val="0"/>
                <w:sz w:val="20"/>
                <w:szCs w:val="20"/>
              </w:rPr>
              <w:t>落实上级规划，涉及国家2级公益林</w:t>
            </w:r>
          </w:p>
        </w:tc>
      </w:tr>
    </w:tbl>
    <w:p>
      <w:pPr>
        <w:spacing w:line="280" w:lineRule="exact"/>
        <w:ind w:firstLine="360"/>
        <w:rPr>
          <w:rFonts w:ascii="黑体" w:hAnsi="黑体" w:eastAsia="黑体"/>
          <w:sz w:val="32"/>
          <w:szCs w:val="32"/>
        </w:rPr>
      </w:pPr>
      <w:r>
        <w:rPr>
          <w:color w:val="000000"/>
          <w:sz w:val="18"/>
          <w:szCs w:val="18"/>
        </w:rPr>
        <w:t>备注：</w:t>
      </w:r>
      <w:r>
        <w:rPr>
          <w:rFonts w:hint="eastAsia"/>
          <w:color w:val="000000"/>
          <w:sz w:val="18"/>
          <w:szCs w:val="18"/>
        </w:rPr>
        <w:t>拐点坐标及空间范围以规划数据库为准；</w:t>
      </w:r>
    </w:p>
    <w:p>
      <w:pPr>
        <w:widowControl/>
        <w:jc w:val="left"/>
        <w:rPr>
          <w:rFonts w:ascii="宋体" w:hAnsi="宋体" w:cs="宋体"/>
          <w:b/>
          <w:bCs/>
          <w:kern w:val="0"/>
          <w:sz w:val="32"/>
          <w:szCs w:val="32"/>
        </w:rPr>
        <w:sectPr>
          <w:pgSz w:w="16838" w:h="11906" w:orient="landscape"/>
          <w:pgMar w:top="1800" w:right="1440" w:bottom="1800" w:left="1440" w:header="851" w:footer="992" w:gutter="0"/>
          <w:cols w:space="720" w:num="1"/>
          <w:docGrid w:type="lines" w:linePitch="312" w:charSpace="0"/>
        </w:sectPr>
      </w:pPr>
    </w:p>
    <w:p>
      <w:pPr>
        <w:jc w:val="center"/>
        <w:rPr>
          <w:rFonts w:ascii="黑体" w:hAnsi="黑体" w:eastAsia="黑体"/>
          <w:sz w:val="32"/>
          <w:szCs w:val="32"/>
        </w:rPr>
      </w:pPr>
      <w:r>
        <w:rPr>
          <w:rFonts w:hint="eastAsia" w:ascii="黑体" w:hAnsi="黑体" w:eastAsia="黑体"/>
          <w:sz w:val="32"/>
          <w:szCs w:val="32"/>
        </w:rPr>
        <w:t>附表</w:t>
      </w:r>
      <w:r>
        <w:rPr>
          <w:rFonts w:ascii="黑体" w:hAnsi="黑体" w:eastAsia="黑体"/>
          <w:sz w:val="32"/>
          <w:szCs w:val="32"/>
        </w:rPr>
        <w:t>8</w:t>
      </w:r>
      <w:r>
        <w:rPr>
          <w:rFonts w:hint="eastAsia" w:ascii="黑体" w:hAnsi="黑体" w:eastAsia="黑体"/>
          <w:sz w:val="32"/>
          <w:szCs w:val="32"/>
        </w:rPr>
        <w:t xml:space="preserve">  小金县重点矿种矿山最低开采规模规划表</w:t>
      </w:r>
    </w:p>
    <w:tbl>
      <w:tblPr>
        <w:tblStyle w:val="22"/>
        <w:tblW w:w="5000" w:type="pct"/>
        <w:tblInd w:w="0" w:type="dxa"/>
        <w:tblLayout w:type="autofit"/>
        <w:tblCellMar>
          <w:top w:w="0" w:type="dxa"/>
          <w:left w:w="108" w:type="dxa"/>
          <w:bottom w:w="0" w:type="dxa"/>
          <w:right w:w="108" w:type="dxa"/>
        </w:tblCellMar>
      </w:tblPr>
      <w:tblGrid>
        <w:gridCol w:w="1102"/>
        <w:gridCol w:w="2788"/>
        <w:gridCol w:w="1888"/>
        <w:gridCol w:w="1326"/>
        <w:gridCol w:w="1461"/>
        <w:gridCol w:w="1103"/>
        <w:gridCol w:w="1103"/>
        <w:gridCol w:w="1105"/>
        <w:gridCol w:w="1095"/>
      </w:tblGrid>
      <w:tr>
        <w:tblPrEx>
          <w:tblCellMar>
            <w:top w:w="0" w:type="dxa"/>
            <w:left w:w="108" w:type="dxa"/>
            <w:bottom w:w="0" w:type="dxa"/>
            <w:right w:w="108" w:type="dxa"/>
          </w:tblCellMar>
        </w:tblPrEx>
        <w:trPr>
          <w:trHeight w:val="567" w:hRule="exact"/>
          <w:tblHeader/>
        </w:trPr>
        <w:tc>
          <w:tcPr>
            <w:tcW w:w="425" w:type="pct"/>
            <w:vMerge w:val="restart"/>
            <w:tcBorders>
              <w:top w:val="single" w:color="auto" w:sz="4" w:space="0"/>
              <w:left w:val="single" w:color="auto" w:sz="4" w:space="0"/>
              <w:bottom w:val="single" w:color="auto" w:sz="4" w:space="0"/>
              <w:right w:val="single" w:color="auto" w:sz="4" w:space="0"/>
            </w:tcBorders>
            <w:vAlign w:val="center"/>
          </w:tcPr>
          <w:p>
            <w:pPr>
              <w:jc w:val="center"/>
              <w:rPr>
                <w:rFonts w:ascii="黑体" w:hAnsi="黑体" w:eastAsia="黑体" w:cs="Times New Roman"/>
                <w:b/>
                <w:bCs/>
                <w:szCs w:val="21"/>
              </w:rPr>
            </w:pPr>
            <w:r>
              <w:rPr>
                <w:rFonts w:hint="eastAsia" w:ascii="黑体" w:hAnsi="黑体" w:eastAsia="黑体" w:cs="Times New Roman"/>
                <w:b/>
                <w:bCs/>
                <w:szCs w:val="21"/>
              </w:rPr>
              <w:t>序号</w:t>
            </w:r>
          </w:p>
        </w:tc>
        <w:tc>
          <w:tcPr>
            <w:tcW w:w="1075" w:type="pct"/>
            <w:vMerge w:val="restart"/>
            <w:tcBorders>
              <w:top w:val="single" w:color="auto" w:sz="4" w:space="0"/>
              <w:left w:val="single" w:color="auto" w:sz="4" w:space="0"/>
              <w:bottom w:val="single" w:color="auto" w:sz="4" w:space="0"/>
              <w:right w:val="single" w:color="auto" w:sz="4" w:space="0"/>
            </w:tcBorders>
            <w:vAlign w:val="center"/>
          </w:tcPr>
          <w:p>
            <w:pPr>
              <w:jc w:val="center"/>
              <w:rPr>
                <w:rFonts w:ascii="黑体" w:hAnsi="黑体" w:eastAsia="黑体" w:cs="Times New Roman"/>
                <w:b/>
                <w:bCs/>
                <w:szCs w:val="21"/>
              </w:rPr>
            </w:pPr>
            <w:r>
              <w:rPr>
                <w:rFonts w:hint="eastAsia" w:ascii="黑体" w:hAnsi="黑体" w:eastAsia="黑体" w:cs="Times New Roman"/>
                <w:b/>
                <w:bCs/>
                <w:szCs w:val="21"/>
              </w:rPr>
              <w:t>矿产名称</w:t>
            </w:r>
          </w:p>
        </w:tc>
        <w:tc>
          <w:tcPr>
            <w:tcW w:w="1239" w:type="pct"/>
            <w:gridSpan w:val="2"/>
            <w:tcBorders>
              <w:top w:val="single" w:color="auto" w:sz="4" w:space="0"/>
              <w:left w:val="nil"/>
              <w:bottom w:val="single" w:color="auto" w:sz="4" w:space="0"/>
              <w:right w:val="single" w:color="auto" w:sz="4" w:space="0"/>
            </w:tcBorders>
            <w:vAlign w:val="center"/>
          </w:tcPr>
          <w:p>
            <w:pPr>
              <w:jc w:val="center"/>
              <w:rPr>
                <w:rFonts w:ascii="黑体" w:hAnsi="黑体" w:eastAsia="黑体" w:cs="Times New Roman"/>
                <w:b/>
                <w:bCs/>
                <w:szCs w:val="21"/>
              </w:rPr>
            </w:pPr>
            <w:r>
              <w:rPr>
                <w:rFonts w:hint="eastAsia" w:ascii="黑体" w:hAnsi="黑体" w:eastAsia="黑体" w:cs="Times New Roman"/>
                <w:b/>
                <w:bCs/>
                <w:szCs w:val="21"/>
              </w:rPr>
              <w:t>资源量规模</w:t>
            </w:r>
            <w:r>
              <w:rPr>
                <w:rFonts w:ascii="黑体" w:hAnsi="黑体" w:eastAsia="黑体" w:cs="Times New Roman"/>
                <w:b/>
                <w:bCs/>
                <w:szCs w:val="21"/>
                <w:vertAlign w:val="superscript"/>
              </w:rPr>
              <w:t>1</w:t>
            </w:r>
          </w:p>
        </w:tc>
        <w:tc>
          <w:tcPr>
            <w:tcW w:w="1839" w:type="pct"/>
            <w:gridSpan w:val="4"/>
            <w:tcBorders>
              <w:top w:val="single" w:color="auto" w:sz="4" w:space="0"/>
              <w:left w:val="nil"/>
              <w:bottom w:val="single" w:color="auto" w:sz="4" w:space="0"/>
              <w:right w:val="single" w:color="auto" w:sz="4" w:space="0"/>
            </w:tcBorders>
            <w:vAlign w:val="center"/>
          </w:tcPr>
          <w:p>
            <w:pPr>
              <w:jc w:val="center"/>
              <w:rPr>
                <w:rFonts w:ascii="黑体" w:hAnsi="黑体" w:eastAsia="黑体" w:cs="Times New Roman"/>
                <w:b/>
                <w:bCs/>
                <w:szCs w:val="21"/>
              </w:rPr>
            </w:pPr>
            <w:r>
              <w:rPr>
                <w:rFonts w:hint="eastAsia" w:ascii="黑体" w:hAnsi="黑体" w:eastAsia="黑体" w:cs="Times New Roman"/>
                <w:b/>
                <w:bCs/>
                <w:szCs w:val="21"/>
              </w:rPr>
              <w:t>最低开采规模</w:t>
            </w:r>
          </w:p>
        </w:tc>
        <w:tc>
          <w:tcPr>
            <w:tcW w:w="422" w:type="pct"/>
            <w:vMerge w:val="restart"/>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cs="Times New Roman"/>
                <w:b/>
                <w:bCs/>
                <w:szCs w:val="21"/>
              </w:rPr>
            </w:pPr>
            <w:r>
              <w:rPr>
                <w:rFonts w:hint="eastAsia" w:ascii="黑体" w:hAnsi="黑体" w:eastAsia="黑体" w:cs="Times New Roman"/>
                <w:b/>
                <w:bCs/>
                <w:szCs w:val="21"/>
              </w:rPr>
              <w:t>备</w:t>
            </w:r>
            <w:r>
              <w:rPr>
                <w:rFonts w:ascii="Times New Roman" w:hAnsi="Times New Roman" w:cs="Times New Roman"/>
                <w:b/>
                <w:bCs/>
                <w:szCs w:val="21"/>
              </w:rPr>
              <w:t xml:space="preserve"> </w:t>
            </w:r>
            <w:r>
              <w:rPr>
                <w:rFonts w:hint="eastAsia" w:ascii="黑体" w:hAnsi="黑体" w:eastAsia="黑体" w:cs="Times New Roman"/>
                <w:b/>
                <w:bCs/>
                <w:szCs w:val="21"/>
              </w:rPr>
              <w:t>注</w:t>
            </w:r>
          </w:p>
        </w:tc>
      </w:tr>
      <w:tr>
        <w:tblPrEx>
          <w:tblCellMar>
            <w:top w:w="0" w:type="dxa"/>
            <w:left w:w="108" w:type="dxa"/>
            <w:bottom w:w="0" w:type="dxa"/>
            <w:right w:w="108" w:type="dxa"/>
          </w:tblCellMar>
        </w:tblPrEx>
        <w:trPr>
          <w:trHeight w:val="567" w:hRule="exact"/>
          <w:tblHeader/>
        </w:trPr>
        <w:tc>
          <w:tcPr>
            <w:tcW w:w="425" w:type="pct"/>
            <w:vMerge w:val="continue"/>
            <w:tcBorders>
              <w:top w:val="single" w:color="auto" w:sz="4" w:space="0"/>
              <w:left w:val="single" w:color="auto" w:sz="4" w:space="0"/>
              <w:bottom w:val="single" w:color="auto" w:sz="4" w:space="0"/>
              <w:right w:val="single" w:color="auto" w:sz="4" w:space="0"/>
            </w:tcBorders>
            <w:vAlign w:val="center"/>
          </w:tcPr>
          <w:p>
            <w:pPr>
              <w:rPr>
                <w:rFonts w:ascii="黑体" w:hAnsi="黑体" w:eastAsia="黑体" w:cs="Times New Roman"/>
                <w:sz w:val="22"/>
              </w:rPr>
            </w:pPr>
          </w:p>
        </w:tc>
        <w:tc>
          <w:tcPr>
            <w:tcW w:w="1075" w:type="pct"/>
            <w:vMerge w:val="continue"/>
            <w:tcBorders>
              <w:top w:val="single" w:color="auto" w:sz="4" w:space="0"/>
              <w:left w:val="single" w:color="auto" w:sz="4" w:space="0"/>
              <w:bottom w:val="single" w:color="auto" w:sz="4" w:space="0"/>
              <w:right w:val="single" w:color="auto" w:sz="4" w:space="0"/>
            </w:tcBorders>
            <w:vAlign w:val="center"/>
          </w:tcPr>
          <w:p>
            <w:pPr>
              <w:rPr>
                <w:rFonts w:ascii="黑体" w:hAnsi="黑体" w:eastAsia="黑体" w:cs="Times New Roman"/>
                <w:sz w:val="22"/>
              </w:rPr>
            </w:pPr>
          </w:p>
        </w:tc>
        <w:tc>
          <w:tcPr>
            <w:tcW w:w="728" w:type="pct"/>
            <w:tcBorders>
              <w:top w:val="nil"/>
              <w:left w:val="nil"/>
              <w:bottom w:val="single" w:color="auto" w:sz="4" w:space="0"/>
              <w:right w:val="single" w:color="auto" w:sz="4" w:space="0"/>
            </w:tcBorders>
            <w:vAlign w:val="center"/>
          </w:tcPr>
          <w:p>
            <w:pPr>
              <w:jc w:val="center"/>
              <w:rPr>
                <w:rFonts w:ascii="黑体" w:hAnsi="黑体" w:eastAsia="黑体" w:cs="Times New Roman"/>
                <w:b/>
                <w:bCs/>
                <w:szCs w:val="21"/>
              </w:rPr>
            </w:pPr>
            <w:r>
              <w:rPr>
                <w:rFonts w:hint="eastAsia" w:ascii="黑体" w:hAnsi="黑体" w:eastAsia="黑体" w:cs="Times New Roman"/>
                <w:b/>
                <w:bCs/>
                <w:szCs w:val="21"/>
              </w:rPr>
              <w:t>单位</w:t>
            </w:r>
          </w:p>
        </w:tc>
        <w:tc>
          <w:tcPr>
            <w:tcW w:w="511" w:type="pct"/>
            <w:tcBorders>
              <w:top w:val="nil"/>
              <w:left w:val="nil"/>
              <w:bottom w:val="single" w:color="auto" w:sz="4" w:space="0"/>
              <w:right w:val="single" w:color="auto" w:sz="4" w:space="0"/>
            </w:tcBorders>
            <w:vAlign w:val="center"/>
          </w:tcPr>
          <w:p>
            <w:pPr>
              <w:jc w:val="center"/>
              <w:rPr>
                <w:rFonts w:ascii="黑体" w:hAnsi="黑体" w:eastAsia="黑体" w:cs="Times New Roman"/>
                <w:b/>
                <w:bCs/>
                <w:szCs w:val="21"/>
              </w:rPr>
            </w:pPr>
            <w:r>
              <w:rPr>
                <w:rFonts w:hint="eastAsia" w:ascii="黑体" w:hAnsi="黑体" w:eastAsia="黑体" w:cs="Times New Roman"/>
                <w:b/>
                <w:bCs/>
                <w:szCs w:val="21"/>
              </w:rPr>
              <w:t>最低资源量规模</w:t>
            </w:r>
          </w:p>
        </w:tc>
        <w:tc>
          <w:tcPr>
            <w:tcW w:w="563" w:type="pct"/>
            <w:tcBorders>
              <w:top w:val="nil"/>
              <w:left w:val="nil"/>
              <w:bottom w:val="single" w:color="auto" w:sz="4" w:space="0"/>
              <w:right w:val="single" w:color="auto" w:sz="4" w:space="0"/>
            </w:tcBorders>
            <w:vAlign w:val="center"/>
          </w:tcPr>
          <w:p>
            <w:pPr>
              <w:jc w:val="center"/>
              <w:rPr>
                <w:rFonts w:ascii="黑体" w:hAnsi="黑体" w:eastAsia="黑体" w:cs="Times New Roman"/>
                <w:b/>
                <w:bCs/>
                <w:szCs w:val="21"/>
              </w:rPr>
            </w:pPr>
            <w:r>
              <w:rPr>
                <w:rFonts w:hint="eastAsia" w:ascii="黑体" w:hAnsi="黑体" w:eastAsia="黑体" w:cs="Times New Roman"/>
                <w:b/>
                <w:bCs/>
                <w:szCs w:val="21"/>
              </w:rPr>
              <w:t>单位/年</w:t>
            </w:r>
          </w:p>
        </w:tc>
        <w:tc>
          <w:tcPr>
            <w:tcW w:w="425" w:type="pct"/>
            <w:tcBorders>
              <w:top w:val="nil"/>
              <w:left w:val="nil"/>
              <w:bottom w:val="single" w:color="auto" w:sz="4" w:space="0"/>
              <w:right w:val="single" w:color="auto" w:sz="4" w:space="0"/>
            </w:tcBorders>
            <w:vAlign w:val="center"/>
          </w:tcPr>
          <w:p>
            <w:pPr>
              <w:jc w:val="center"/>
              <w:rPr>
                <w:rFonts w:ascii="黑体" w:hAnsi="黑体" w:eastAsia="黑体" w:cs="Times New Roman"/>
                <w:b/>
                <w:bCs/>
                <w:szCs w:val="21"/>
              </w:rPr>
            </w:pPr>
            <w:r>
              <w:rPr>
                <w:rFonts w:hint="eastAsia" w:ascii="黑体" w:hAnsi="黑体" w:eastAsia="黑体" w:cs="Times New Roman"/>
                <w:b/>
                <w:bCs/>
                <w:szCs w:val="21"/>
              </w:rPr>
              <w:t>大型</w:t>
            </w:r>
            <w:r>
              <w:rPr>
                <w:rFonts w:ascii="黑体" w:hAnsi="黑体" w:eastAsia="黑体" w:cs="Times New Roman"/>
                <w:b/>
                <w:bCs/>
                <w:szCs w:val="21"/>
              </w:rPr>
              <w:t xml:space="preserve"> </w:t>
            </w:r>
          </w:p>
        </w:tc>
        <w:tc>
          <w:tcPr>
            <w:tcW w:w="425" w:type="pct"/>
            <w:tcBorders>
              <w:top w:val="nil"/>
              <w:left w:val="nil"/>
              <w:bottom w:val="single" w:color="auto" w:sz="4" w:space="0"/>
              <w:right w:val="single" w:color="auto" w:sz="4" w:space="0"/>
            </w:tcBorders>
            <w:vAlign w:val="center"/>
          </w:tcPr>
          <w:p>
            <w:pPr>
              <w:jc w:val="center"/>
              <w:rPr>
                <w:rFonts w:ascii="黑体" w:hAnsi="黑体" w:eastAsia="黑体" w:cs="Times New Roman"/>
                <w:b/>
                <w:bCs/>
                <w:szCs w:val="21"/>
              </w:rPr>
            </w:pPr>
            <w:r>
              <w:rPr>
                <w:rFonts w:hint="eastAsia" w:ascii="黑体" w:hAnsi="黑体" w:eastAsia="黑体" w:cs="Times New Roman"/>
                <w:b/>
                <w:bCs/>
                <w:szCs w:val="21"/>
              </w:rPr>
              <w:t>中型</w:t>
            </w:r>
            <w:r>
              <w:rPr>
                <w:rFonts w:ascii="黑体" w:hAnsi="黑体" w:eastAsia="黑体" w:cs="Times New Roman"/>
                <w:b/>
                <w:bCs/>
                <w:szCs w:val="21"/>
              </w:rPr>
              <w:t xml:space="preserve"> </w:t>
            </w:r>
          </w:p>
        </w:tc>
        <w:tc>
          <w:tcPr>
            <w:tcW w:w="426" w:type="pct"/>
            <w:tcBorders>
              <w:top w:val="nil"/>
              <w:left w:val="nil"/>
              <w:bottom w:val="single" w:color="auto" w:sz="4" w:space="0"/>
              <w:right w:val="single" w:color="auto" w:sz="4" w:space="0"/>
            </w:tcBorders>
            <w:vAlign w:val="center"/>
          </w:tcPr>
          <w:p>
            <w:pPr>
              <w:jc w:val="center"/>
              <w:rPr>
                <w:rFonts w:ascii="黑体" w:hAnsi="黑体" w:eastAsia="黑体" w:cs="Times New Roman"/>
                <w:b/>
                <w:bCs/>
                <w:szCs w:val="21"/>
              </w:rPr>
            </w:pPr>
            <w:r>
              <w:rPr>
                <w:rFonts w:hint="eastAsia" w:ascii="黑体" w:hAnsi="黑体" w:eastAsia="黑体" w:cs="Times New Roman"/>
                <w:b/>
                <w:bCs/>
                <w:szCs w:val="21"/>
              </w:rPr>
              <w:t>小型</w:t>
            </w:r>
            <w:r>
              <w:rPr>
                <w:rFonts w:ascii="黑体" w:hAnsi="黑体" w:eastAsia="黑体" w:cs="Times New Roman"/>
                <w:b/>
                <w:bCs/>
                <w:szCs w:val="21"/>
              </w:rPr>
              <w:t xml:space="preserve"> </w:t>
            </w:r>
          </w:p>
        </w:tc>
        <w:tc>
          <w:tcPr>
            <w:tcW w:w="422" w:type="pct"/>
            <w:vMerge w:val="continue"/>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cs="Times New Roman"/>
                <w:sz w:val="22"/>
              </w:rPr>
            </w:pPr>
          </w:p>
        </w:tc>
      </w:tr>
      <w:tr>
        <w:tblPrEx>
          <w:tblCellMar>
            <w:top w:w="0" w:type="dxa"/>
            <w:left w:w="108" w:type="dxa"/>
            <w:bottom w:w="0" w:type="dxa"/>
            <w:right w:w="108" w:type="dxa"/>
          </w:tblCellMar>
        </w:tblPrEx>
        <w:trPr>
          <w:trHeight w:val="567" w:hRule="exact"/>
        </w:trPr>
        <w:tc>
          <w:tcPr>
            <w:tcW w:w="425" w:type="pct"/>
            <w:tcBorders>
              <w:top w:val="nil"/>
              <w:left w:val="single" w:color="auto" w:sz="4" w:space="0"/>
              <w:bottom w:val="single" w:color="auto" w:sz="4" w:space="0"/>
              <w:right w:val="single" w:color="auto" w:sz="4" w:space="0"/>
            </w:tcBorders>
            <w:vAlign w:val="center"/>
          </w:tcPr>
          <w:p>
            <w:pPr>
              <w:jc w:val="center"/>
              <w:rPr>
                <w:rFonts w:ascii="仿宋_GB2312" w:eastAsia="仿宋_GB2312"/>
                <w:color w:val="000000"/>
                <w:sz w:val="20"/>
                <w:szCs w:val="20"/>
              </w:rPr>
            </w:pPr>
            <w:r>
              <w:rPr>
                <w:rFonts w:ascii="仿宋_GB2312" w:eastAsia="仿宋_GB2312"/>
                <w:color w:val="000000"/>
                <w:sz w:val="20"/>
                <w:szCs w:val="20"/>
              </w:rPr>
              <w:t>1</w:t>
            </w:r>
          </w:p>
        </w:tc>
        <w:tc>
          <w:tcPr>
            <w:tcW w:w="1075" w:type="pct"/>
            <w:tcBorders>
              <w:top w:val="nil"/>
              <w:left w:val="nil"/>
              <w:bottom w:val="single" w:color="auto" w:sz="4" w:space="0"/>
              <w:right w:val="single" w:color="auto" w:sz="4" w:space="0"/>
            </w:tcBorders>
            <w:vAlign w:val="center"/>
          </w:tcPr>
          <w:p>
            <w:pPr>
              <w:spacing w:line="240" w:lineRule="exact"/>
              <w:jc w:val="center"/>
              <w:rPr>
                <w:rFonts w:ascii="仿宋_GB2312" w:eastAsia="仿宋_GB2312"/>
                <w:color w:val="000000"/>
                <w:sz w:val="20"/>
                <w:szCs w:val="20"/>
              </w:rPr>
            </w:pPr>
            <w:r>
              <w:rPr>
                <w:rFonts w:hint="eastAsia" w:ascii="仿宋_GB2312" w:eastAsia="仿宋_GB2312"/>
                <w:color w:val="000000"/>
                <w:sz w:val="20"/>
                <w:szCs w:val="20"/>
              </w:rPr>
              <w:t>金（岩金）</w:t>
            </w:r>
          </w:p>
          <w:p>
            <w:pPr>
              <w:jc w:val="center"/>
              <w:rPr>
                <w:rFonts w:ascii="仿宋_GB2312" w:eastAsia="仿宋_GB2312"/>
                <w:color w:val="000000"/>
                <w:sz w:val="20"/>
                <w:szCs w:val="20"/>
              </w:rPr>
            </w:pPr>
            <w:r>
              <w:rPr>
                <w:rFonts w:hint="eastAsia" w:ascii="仿宋_GB2312" w:eastAsia="仿宋_GB2312"/>
                <w:color w:val="000000"/>
                <w:sz w:val="20"/>
                <w:szCs w:val="20"/>
              </w:rPr>
              <w:t>（地下开采）</w:t>
            </w:r>
          </w:p>
        </w:tc>
        <w:tc>
          <w:tcPr>
            <w:tcW w:w="728" w:type="pct"/>
            <w:tcBorders>
              <w:top w:val="nil"/>
              <w:left w:val="nil"/>
              <w:bottom w:val="single" w:color="auto" w:sz="4" w:space="0"/>
              <w:right w:val="single" w:color="auto" w:sz="4" w:space="0"/>
            </w:tcBorders>
            <w:vAlign w:val="center"/>
          </w:tcPr>
          <w:p>
            <w:pPr>
              <w:jc w:val="center"/>
              <w:rPr>
                <w:rFonts w:ascii="仿宋_GB2312" w:eastAsia="仿宋_GB2312"/>
                <w:color w:val="000000"/>
                <w:sz w:val="20"/>
                <w:szCs w:val="20"/>
              </w:rPr>
            </w:pPr>
            <w:r>
              <w:rPr>
                <w:rFonts w:hint="eastAsia" w:ascii="仿宋_GB2312" w:eastAsia="仿宋_GB2312"/>
                <w:color w:val="000000"/>
                <w:sz w:val="20"/>
                <w:szCs w:val="20"/>
              </w:rPr>
              <w:t>金属 吨</w:t>
            </w:r>
          </w:p>
        </w:tc>
        <w:tc>
          <w:tcPr>
            <w:tcW w:w="511" w:type="pct"/>
            <w:tcBorders>
              <w:top w:val="single" w:color="auto" w:sz="4" w:space="0"/>
              <w:left w:val="nil"/>
              <w:bottom w:val="single" w:color="auto" w:sz="4" w:space="0"/>
              <w:right w:val="single" w:color="auto" w:sz="4" w:space="0"/>
            </w:tcBorders>
            <w:vAlign w:val="center"/>
          </w:tcPr>
          <w:p>
            <w:pPr>
              <w:jc w:val="center"/>
              <w:rPr>
                <w:rFonts w:ascii="仿宋_GB2312" w:eastAsia="仿宋_GB2312"/>
                <w:color w:val="000000"/>
                <w:sz w:val="20"/>
                <w:szCs w:val="20"/>
              </w:rPr>
            </w:pPr>
            <w:r>
              <w:rPr>
                <w:rFonts w:hint="eastAsia" w:ascii="仿宋_GB2312" w:eastAsia="仿宋_GB2312"/>
                <w:color w:val="000000"/>
                <w:sz w:val="20"/>
                <w:szCs w:val="20"/>
              </w:rPr>
              <w:t>2.5</w:t>
            </w:r>
          </w:p>
        </w:tc>
        <w:tc>
          <w:tcPr>
            <w:tcW w:w="563" w:type="pct"/>
            <w:tcBorders>
              <w:top w:val="nil"/>
              <w:left w:val="nil"/>
              <w:bottom w:val="single" w:color="auto" w:sz="4" w:space="0"/>
              <w:right w:val="single" w:color="auto" w:sz="4" w:space="0"/>
            </w:tcBorders>
            <w:vAlign w:val="center"/>
          </w:tcPr>
          <w:p>
            <w:pPr>
              <w:jc w:val="center"/>
              <w:rPr>
                <w:rFonts w:ascii="仿宋_GB2312" w:eastAsia="仿宋_GB2312"/>
                <w:color w:val="000000"/>
                <w:sz w:val="20"/>
                <w:szCs w:val="20"/>
              </w:rPr>
            </w:pPr>
            <w:r>
              <w:rPr>
                <w:rFonts w:hint="eastAsia" w:ascii="仿宋_GB2312" w:eastAsia="仿宋_GB2312"/>
                <w:color w:val="000000"/>
                <w:sz w:val="20"/>
                <w:szCs w:val="20"/>
              </w:rPr>
              <w:t>矿石 万吨</w:t>
            </w:r>
          </w:p>
        </w:tc>
        <w:tc>
          <w:tcPr>
            <w:tcW w:w="425" w:type="pct"/>
            <w:tcBorders>
              <w:top w:val="nil"/>
              <w:left w:val="nil"/>
              <w:bottom w:val="single" w:color="auto" w:sz="4" w:space="0"/>
              <w:right w:val="single" w:color="auto" w:sz="4" w:space="0"/>
            </w:tcBorders>
            <w:vAlign w:val="center"/>
          </w:tcPr>
          <w:p>
            <w:pPr>
              <w:jc w:val="center"/>
              <w:rPr>
                <w:rFonts w:ascii="仿宋_GB2312" w:eastAsia="仿宋_GB2312"/>
                <w:color w:val="000000"/>
                <w:sz w:val="20"/>
                <w:szCs w:val="20"/>
              </w:rPr>
            </w:pPr>
            <w:r>
              <w:rPr>
                <w:rFonts w:hint="eastAsia" w:ascii="仿宋_GB2312" w:eastAsia="仿宋_GB2312"/>
                <w:color w:val="000000"/>
                <w:sz w:val="20"/>
                <w:szCs w:val="20"/>
              </w:rPr>
              <w:t>15</w:t>
            </w:r>
          </w:p>
        </w:tc>
        <w:tc>
          <w:tcPr>
            <w:tcW w:w="425" w:type="pct"/>
            <w:tcBorders>
              <w:top w:val="nil"/>
              <w:left w:val="nil"/>
              <w:bottom w:val="single" w:color="auto" w:sz="4" w:space="0"/>
              <w:right w:val="single" w:color="auto" w:sz="4" w:space="0"/>
            </w:tcBorders>
            <w:vAlign w:val="center"/>
          </w:tcPr>
          <w:p>
            <w:pPr>
              <w:jc w:val="center"/>
              <w:rPr>
                <w:rFonts w:ascii="仿宋_GB2312" w:eastAsia="仿宋_GB2312"/>
                <w:color w:val="000000"/>
                <w:sz w:val="20"/>
                <w:szCs w:val="20"/>
              </w:rPr>
            </w:pPr>
            <w:r>
              <w:rPr>
                <w:rFonts w:hint="eastAsia" w:ascii="仿宋_GB2312" w:eastAsia="仿宋_GB2312"/>
                <w:color w:val="000000"/>
                <w:sz w:val="20"/>
                <w:szCs w:val="20"/>
              </w:rPr>
              <w:t>6</w:t>
            </w:r>
          </w:p>
        </w:tc>
        <w:tc>
          <w:tcPr>
            <w:tcW w:w="426" w:type="pct"/>
            <w:tcBorders>
              <w:top w:val="nil"/>
              <w:left w:val="nil"/>
              <w:bottom w:val="single" w:color="auto" w:sz="4" w:space="0"/>
              <w:right w:val="single" w:color="auto" w:sz="4" w:space="0"/>
            </w:tcBorders>
            <w:vAlign w:val="center"/>
          </w:tcPr>
          <w:p>
            <w:pPr>
              <w:jc w:val="center"/>
              <w:rPr>
                <w:rFonts w:ascii="仿宋_GB2312" w:eastAsia="仿宋_GB2312"/>
                <w:color w:val="000000"/>
                <w:sz w:val="20"/>
                <w:szCs w:val="20"/>
              </w:rPr>
            </w:pPr>
            <w:r>
              <w:rPr>
                <w:rFonts w:hint="eastAsia" w:ascii="仿宋_GB2312" w:eastAsia="仿宋_GB2312"/>
                <w:color w:val="000000"/>
                <w:sz w:val="20"/>
                <w:szCs w:val="20"/>
              </w:rPr>
              <w:t>3</w:t>
            </w:r>
          </w:p>
        </w:tc>
        <w:tc>
          <w:tcPr>
            <w:tcW w:w="422" w:type="pct"/>
            <w:tcBorders>
              <w:top w:val="nil"/>
              <w:left w:val="nil"/>
              <w:bottom w:val="single" w:color="auto" w:sz="4" w:space="0"/>
              <w:right w:val="single" w:color="auto" w:sz="4" w:space="0"/>
            </w:tcBorders>
            <w:vAlign w:val="center"/>
          </w:tcPr>
          <w:p>
            <w:pPr>
              <w:jc w:val="center"/>
              <w:rPr>
                <w:rFonts w:ascii="仿宋_GB2312" w:eastAsia="仿宋_GB2312"/>
                <w:color w:val="000000"/>
                <w:sz w:val="20"/>
                <w:szCs w:val="20"/>
              </w:rPr>
            </w:pPr>
            <w:r>
              <w:rPr>
                <w:rFonts w:hint="eastAsia" w:ascii="仿宋_GB2312" w:eastAsia="仿宋_GB2312"/>
                <w:color w:val="000000"/>
                <w:sz w:val="20"/>
                <w:szCs w:val="20"/>
              </w:rPr>
              <w:t>　</w:t>
            </w:r>
          </w:p>
        </w:tc>
      </w:tr>
      <w:tr>
        <w:tblPrEx>
          <w:tblCellMar>
            <w:top w:w="0" w:type="dxa"/>
            <w:left w:w="108" w:type="dxa"/>
            <w:bottom w:w="0" w:type="dxa"/>
            <w:right w:w="108" w:type="dxa"/>
          </w:tblCellMar>
        </w:tblPrEx>
        <w:trPr>
          <w:trHeight w:val="567" w:hRule="exact"/>
        </w:trPr>
        <w:tc>
          <w:tcPr>
            <w:tcW w:w="425" w:type="pct"/>
            <w:tcBorders>
              <w:top w:val="nil"/>
              <w:left w:val="single" w:color="auto" w:sz="4" w:space="0"/>
              <w:bottom w:val="single" w:color="auto" w:sz="4" w:space="0"/>
              <w:right w:val="single" w:color="auto" w:sz="4" w:space="0"/>
            </w:tcBorders>
            <w:vAlign w:val="center"/>
          </w:tcPr>
          <w:p>
            <w:pPr>
              <w:jc w:val="center"/>
              <w:rPr>
                <w:rFonts w:ascii="仿宋_GB2312" w:eastAsia="仿宋_GB2312"/>
                <w:color w:val="000000"/>
                <w:sz w:val="20"/>
                <w:szCs w:val="20"/>
              </w:rPr>
            </w:pPr>
            <w:r>
              <w:rPr>
                <w:rFonts w:ascii="仿宋_GB2312" w:hAnsi="宋体" w:eastAsia="仿宋_GB2312" w:cs="宋体"/>
                <w:color w:val="000000"/>
                <w:kern w:val="0"/>
                <w:sz w:val="20"/>
                <w:szCs w:val="20"/>
              </w:rPr>
              <w:t>2</w:t>
            </w:r>
          </w:p>
        </w:tc>
        <w:tc>
          <w:tcPr>
            <w:tcW w:w="1075" w:type="pct"/>
            <w:tcBorders>
              <w:top w:val="nil"/>
              <w:left w:val="nil"/>
              <w:bottom w:val="single" w:color="auto" w:sz="4" w:space="0"/>
              <w:right w:val="single" w:color="auto" w:sz="4" w:space="0"/>
            </w:tcBorders>
            <w:vAlign w:val="center"/>
          </w:tcPr>
          <w:p>
            <w:pPr>
              <w:jc w:val="center"/>
              <w:rPr>
                <w:rFonts w:ascii="仿宋_GB2312" w:eastAsia="仿宋_GB2312"/>
                <w:color w:val="000000"/>
                <w:sz w:val="20"/>
                <w:szCs w:val="20"/>
              </w:rPr>
            </w:pPr>
            <w:r>
              <w:rPr>
                <w:rFonts w:hint="eastAsia" w:ascii="仿宋_GB2312" w:hAnsi="宋体" w:eastAsia="仿宋_GB2312" w:cs="宋体"/>
                <w:color w:val="000000"/>
                <w:kern w:val="0"/>
                <w:sz w:val="20"/>
                <w:szCs w:val="20"/>
              </w:rPr>
              <w:t>钨</w:t>
            </w:r>
          </w:p>
        </w:tc>
        <w:tc>
          <w:tcPr>
            <w:tcW w:w="728" w:type="pct"/>
            <w:tcBorders>
              <w:top w:val="nil"/>
              <w:left w:val="nil"/>
              <w:bottom w:val="single" w:color="auto" w:sz="4" w:space="0"/>
              <w:right w:val="single" w:color="auto" w:sz="4" w:space="0"/>
            </w:tcBorders>
            <w:vAlign w:val="center"/>
          </w:tcPr>
          <w:p>
            <w:pPr>
              <w:jc w:val="center"/>
              <w:rPr>
                <w:rFonts w:ascii="仿宋_GB2312" w:eastAsia="仿宋_GB2312"/>
                <w:color w:val="000000"/>
                <w:sz w:val="20"/>
                <w:szCs w:val="20"/>
              </w:rPr>
            </w:pPr>
            <w:r>
              <w:rPr>
                <w:rFonts w:hint="eastAsia" w:ascii="仿宋_GB2312" w:hAnsi="宋体" w:eastAsia="仿宋_GB2312" w:cs="宋体"/>
                <w:color w:val="000000"/>
                <w:kern w:val="0"/>
                <w:sz w:val="20"/>
                <w:szCs w:val="20"/>
              </w:rPr>
              <w:t>金属 万吨</w:t>
            </w:r>
          </w:p>
        </w:tc>
        <w:tc>
          <w:tcPr>
            <w:tcW w:w="511" w:type="pct"/>
            <w:tcBorders>
              <w:top w:val="single" w:color="auto" w:sz="4" w:space="0"/>
              <w:left w:val="nil"/>
              <w:bottom w:val="single" w:color="auto" w:sz="4" w:space="0"/>
              <w:right w:val="single" w:color="auto" w:sz="4" w:space="0"/>
            </w:tcBorders>
            <w:vAlign w:val="center"/>
          </w:tcPr>
          <w:p>
            <w:pPr>
              <w:jc w:val="center"/>
              <w:rPr>
                <w:rFonts w:ascii="仿宋_GB2312" w:eastAsia="仿宋_GB2312"/>
                <w:color w:val="000000"/>
                <w:sz w:val="20"/>
                <w:szCs w:val="20"/>
              </w:rPr>
            </w:pPr>
            <w:r>
              <w:rPr>
                <w:rFonts w:hint="eastAsia" w:ascii="仿宋_GB2312" w:hAnsi="宋体" w:eastAsia="仿宋_GB2312" w:cs="宋体"/>
                <w:color w:val="000000"/>
                <w:kern w:val="0"/>
                <w:sz w:val="20"/>
                <w:szCs w:val="20"/>
              </w:rPr>
              <w:t>1</w:t>
            </w:r>
          </w:p>
        </w:tc>
        <w:tc>
          <w:tcPr>
            <w:tcW w:w="563" w:type="pct"/>
            <w:tcBorders>
              <w:top w:val="nil"/>
              <w:left w:val="nil"/>
              <w:bottom w:val="single" w:color="auto" w:sz="4" w:space="0"/>
              <w:right w:val="single" w:color="auto" w:sz="4" w:space="0"/>
            </w:tcBorders>
            <w:vAlign w:val="center"/>
          </w:tcPr>
          <w:p>
            <w:pPr>
              <w:jc w:val="center"/>
              <w:rPr>
                <w:rFonts w:ascii="仿宋_GB2312" w:eastAsia="仿宋_GB2312"/>
                <w:color w:val="000000"/>
                <w:sz w:val="20"/>
                <w:szCs w:val="20"/>
              </w:rPr>
            </w:pPr>
            <w:r>
              <w:rPr>
                <w:rFonts w:hint="eastAsia" w:ascii="仿宋_GB2312" w:hAnsi="宋体" w:eastAsia="仿宋_GB2312" w:cs="宋体"/>
                <w:color w:val="000000"/>
                <w:kern w:val="0"/>
                <w:sz w:val="20"/>
                <w:szCs w:val="20"/>
              </w:rPr>
              <w:t>矿石 万吨</w:t>
            </w:r>
          </w:p>
        </w:tc>
        <w:tc>
          <w:tcPr>
            <w:tcW w:w="425" w:type="pct"/>
            <w:tcBorders>
              <w:top w:val="nil"/>
              <w:left w:val="nil"/>
              <w:bottom w:val="single" w:color="auto" w:sz="4" w:space="0"/>
              <w:right w:val="single" w:color="auto" w:sz="4" w:space="0"/>
            </w:tcBorders>
            <w:vAlign w:val="center"/>
          </w:tcPr>
          <w:p>
            <w:pPr>
              <w:jc w:val="center"/>
              <w:rPr>
                <w:rFonts w:ascii="仿宋_GB2312" w:eastAsia="仿宋_GB2312"/>
                <w:color w:val="000000"/>
                <w:sz w:val="20"/>
                <w:szCs w:val="20"/>
              </w:rPr>
            </w:pPr>
            <w:r>
              <w:rPr>
                <w:rFonts w:hint="eastAsia" w:ascii="仿宋_GB2312" w:hAnsi="宋体" w:eastAsia="仿宋_GB2312" w:cs="宋体"/>
                <w:color w:val="000000"/>
                <w:kern w:val="0"/>
                <w:sz w:val="20"/>
                <w:szCs w:val="20"/>
              </w:rPr>
              <w:t>100</w:t>
            </w:r>
          </w:p>
        </w:tc>
        <w:tc>
          <w:tcPr>
            <w:tcW w:w="425" w:type="pct"/>
            <w:tcBorders>
              <w:top w:val="nil"/>
              <w:left w:val="nil"/>
              <w:bottom w:val="single" w:color="auto" w:sz="4" w:space="0"/>
              <w:right w:val="single" w:color="auto" w:sz="4" w:space="0"/>
            </w:tcBorders>
            <w:vAlign w:val="center"/>
          </w:tcPr>
          <w:p>
            <w:pPr>
              <w:jc w:val="center"/>
              <w:rPr>
                <w:rFonts w:ascii="仿宋_GB2312" w:eastAsia="仿宋_GB2312"/>
                <w:color w:val="000000"/>
                <w:sz w:val="20"/>
                <w:szCs w:val="20"/>
              </w:rPr>
            </w:pPr>
            <w:r>
              <w:rPr>
                <w:rFonts w:hint="eastAsia" w:ascii="仿宋_GB2312" w:hAnsi="宋体" w:eastAsia="仿宋_GB2312" w:cs="宋体"/>
                <w:color w:val="000000"/>
                <w:kern w:val="0"/>
                <w:sz w:val="20"/>
                <w:szCs w:val="20"/>
              </w:rPr>
              <w:t>30</w:t>
            </w:r>
          </w:p>
        </w:tc>
        <w:tc>
          <w:tcPr>
            <w:tcW w:w="426" w:type="pct"/>
            <w:tcBorders>
              <w:top w:val="nil"/>
              <w:left w:val="nil"/>
              <w:bottom w:val="single" w:color="auto" w:sz="4" w:space="0"/>
              <w:right w:val="single" w:color="auto" w:sz="4" w:space="0"/>
            </w:tcBorders>
            <w:vAlign w:val="center"/>
          </w:tcPr>
          <w:p>
            <w:pPr>
              <w:jc w:val="center"/>
              <w:rPr>
                <w:rFonts w:ascii="仿宋_GB2312" w:eastAsia="仿宋_GB2312"/>
                <w:color w:val="000000"/>
                <w:sz w:val="20"/>
                <w:szCs w:val="20"/>
              </w:rPr>
            </w:pPr>
            <w:r>
              <w:rPr>
                <w:rFonts w:hint="eastAsia" w:ascii="仿宋_GB2312" w:hAnsi="宋体" w:eastAsia="仿宋_GB2312" w:cs="宋体"/>
                <w:color w:val="000000"/>
                <w:kern w:val="0"/>
                <w:sz w:val="20"/>
                <w:szCs w:val="20"/>
              </w:rPr>
              <w:t>/</w:t>
            </w:r>
          </w:p>
        </w:tc>
        <w:tc>
          <w:tcPr>
            <w:tcW w:w="422" w:type="pct"/>
            <w:tcBorders>
              <w:top w:val="nil"/>
              <w:left w:val="nil"/>
              <w:bottom w:val="single" w:color="auto" w:sz="4" w:space="0"/>
              <w:right w:val="single" w:color="auto" w:sz="4" w:space="0"/>
            </w:tcBorders>
            <w:vAlign w:val="center"/>
          </w:tcPr>
          <w:p>
            <w:pPr>
              <w:jc w:val="center"/>
              <w:rPr>
                <w:rFonts w:ascii="仿宋_GB2312" w:eastAsia="仿宋_GB2312"/>
                <w:color w:val="000000"/>
                <w:sz w:val="20"/>
                <w:szCs w:val="20"/>
              </w:rPr>
            </w:pPr>
          </w:p>
        </w:tc>
      </w:tr>
      <w:tr>
        <w:tblPrEx>
          <w:tblCellMar>
            <w:top w:w="0" w:type="dxa"/>
            <w:left w:w="108" w:type="dxa"/>
            <w:bottom w:w="0" w:type="dxa"/>
            <w:right w:w="108" w:type="dxa"/>
          </w:tblCellMar>
        </w:tblPrEx>
        <w:trPr>
          <w:trHeight w:val="567" w:hRule="exact"/>
        </w:trPr>
        <w:tc>
          <w:tcPr>
            <w:tcW w:w="425" w:type="pct"/>
            <w:tcBorders>
              <w:top w:val="nil"/>
              <w:left w:val="single" w:color="auto" w:sz="4" w:space="0"/>
              <w:bottom w:val="single" w:color="auto" w:sz="4" w:space="0"/>
              <w:right w:val="single" w:color="auto" w:sz="4" w:space="0"/>
            </w:tcBorders>
            <w:vAlign w:val="center"/>
          </w:tcPr>
          <w:p>
            <w:pPr>
              <w:jc w:val="center"/>
              <w:rPr>
                <w:rFonts w:ascii="仿宋_GB2312" w:eastAsia="仿宋_GB2312"/>
                <w:color w:val="000000"/>
                <w:sz w:val="20"/>
                <w:szCs w:val="20"/>
              </w:rPr>
            </w:pPr>
            <w:r>
              <w:rPr>
                <w:rFonts w:ascii="仿宋_GB2312" w:eastAsia="仿宋_GB2312"/>
                <w:color w:val="000000"/>
                <w:sz w:val="20"/>
                <w:szCs w:val="20"/>
              </w:rPr>
              <w:t>3</w:t>
            </w:r>
          </w:p>
        </w:tc>
        <w:tc>
          <w:tcPr>
            <w:tcW w:w="1075" w:type="pct"/>
            <w:tcBorders>
              <w:top w:val="nil"/>
              <w:left w:val="nil"/>
              <w:bottom w:val="single" w:color="auto" w:sz="4" w:space="0"/>
              <w:right w:val="single" w:color="auto" w:sz="4" w:space="0"/>
            </w:tcBorders>
            <w:vAlign w:val="center"/>
          </w:tcPr>
          <w:p>
            <w:pPr>
              <w:jc w:val="center"/>
              <w:rPr>
                <w:rFonts w:ascii="仿宋_GB2312" w:eastAsia="仿宋_GB2312"/>
                <w:color w:val="000000"/>
                <w:sz w:val="20"/>
                <w:szCs w:val="20"/>
              </w:rPr>
            </w:pPr>
            <w:r>
              <w:rPr>
                <w:rFonts w:hint="eastAsia" w:ascii="仿宋_GB2312" w:eastAsia="仿宋_GB2312"/>
                <w:color w:val="000000"/>
                <w:sz w:val="20"/>
                <w:szCs w:val="20"/>
              </w:rPr>
              <w:t>饰面用石材</w:t>
            </w:r>
            <w:r>
              <w:rPr>
                <w:rFonts w:hint="eastAsia" w:ascii="仿宋_GB2312" w:eastAsia="仿宋_GB2312"/>
                <w:color w:val="000000"/>
                <w:sz w:val="20"/>
                <w:szCs w:val="20"/>
                <w:vertAlign w:val="superscript"/>
              </w:rPr>
              <w:t>2</w:t>
            </w:r>
            <w:r>
              <w:rPr>
                <w:rFonts w:hint="eastAsia" w:ascii="仿宋_GB2312" w:eastAsia="仿宋_GB2312"/>
                <w:color w:val="000000"/>
                <w:sz w:val="20"/>
                <w:szCs w:val="20"/>
              </w:rPr>
              <w:t xml:space="preserve"> (大理岩、花岗岩/其它)</w:t>
            </w:r>
          </w:p>
        </w:tc>
        <w:tc>
          <w:tcPr>
            <w:tcW w:w="728" w:type="pct"/>
            <w:tcBorders>
              <w:top w:val="nil"/>
              <w:left w:val="nil"/>
              <w:bottom w:val="single" w:color="auto" w:sz="4" w:space="0"/>
              <w:right w:val="single" w:color="auto" w:sz="4" w:space="0"/>
            </w:tcBorders>
            <w:vAlign w:val="center"/>
          </w:tcPr>
          <w:p>
            <w:pPr>
              <w:jc w:val="center"/>
              <w:rPr>
                <w:rFonts w:ascii="仿宋_GB2312" w:eastAsia="仿宋_GB2312"/>
                <w:color w:val="000000"/>
                <w:sz w:val="20"/>
                <w:szCs w:val="20"/>
              </w:rPr>
            </w:pPr>
            <w:r>
              <w:rPr>
                <w:rFonts w:hint="eastAsia" w:ascii="仿宋_GB2312" w:eastAsia="仿宋_GB2312"/>
                <w:color w:val="000000"/>
                <w:sz w:val="20"/>
                <w:szCs w:val="20"/>
              </w:rPr>
              <w:t>矿石 万立方米</w:t>
            </w:r>
          </w:p>
        </w:tc>
        <w:tc>
          <w:tcPr>
            <w:tcW w:w="511" w:type="pct"/>
            <w:tcBorders>
              <w:top w:val="nil"/>
              <w:left w:val="nil"/>
              <w:bottom w:val="single" w:color="auto" w:sz="4" w:space="0"/>
              <w:right w:val="single" w:color="auto" w:sz="4" w:space="0"/>
            </w:tcBorders>
            <w:vAlign w:val="center"/>
          </w:tcPr>
          <w:p>
            <w:pPr>
              <w:jc w:val="center"/>
              <w:rPr>
                <w:rFonts w:ascii="仿宋_GB2312" w:eastAsia="仿宋_GB2312"/>
                <w:color w:val="000000"/>
                <w:sz w:val="20"/>
                <w:szCs w:val="20"/>
              </w:rPr>
            </w:pPr>
            <w:r>
              <w:rPr>
                <w:rFonts w:hint="eastAsia" w:ascii="仿宋_GB2312" w:eastAsia="仿宋_GB2312"/>
                <w:color w:val="000000"/>
                <w:sz w:val="20"/>
                <w:szCs w:val="20"/>
              </w:rPr>
              <w:t>10</w:t>
            </w:r>
          </w:p>
        </w:tc>
        <w:tc>
          <w:tcPr>
            <w:tcW w:w="563" w:type="pct"/>
            <w:tcBorders>
              <w:top w:val="nil"/>
              <w:left w:val="nil"/>
              <w:bottom w:val="single" w:color="auto" w:sz="4" w:space="0"/>
              <w:right w:val="single" w:color="auto" w:sz="4" w:space="0"/>
            </w:tcBorders>
            <w:vAlign w:val="center"/>
          </w:tcPr>
          <w:p>
            <w:pPr>
              <w:jc w:val="center"/>
              <w:rPr>
                <w:rFonts w:ascii="仿宋_GB2312" w:eastAsia="仿宋_GB2312"/>
                <w:color w:val="000000"/>
                <w:sz w:val="20"/>
                <w:szCs w:val="20"/>
              </w:rPr>
            </w:pPr>
            <w:r>
              <w:rPr>
                <w:rFonts w:hint="eastAsia" w:ascii="仿宋_GB2312" w:eastAsia="仿宋_GB2312"/>
                <w:color w:val="000000"/>
                <w:sz w:val="20"/>
                <w:szCs w:val="20"/>
              </w:rPr>
              <w:t>矿石 万立方米</w:t>
            </w:r>
          </w:p>
        </w:tc>
        <w:tc>
          <w:tcPr>
            <w:tcW w:w="425" w:type="pct"/>
            <w:tcBorders>
              <w:top w:val="nil"/>
              <w:left w:val="nil"/>
              <w:bottom w:val="single" w:color="auto" w:sz="4" w:space="0"/>
              <w:right w:val="single" w:color="auto" w:sz="4" w:space="0"/>
            </w:tcBorders>
            <w:vAlign w:val="center"/>
          </w:tcPr>
          <w:p>
            <w:pPr>
              <w:jc w:val="center"/>
              <w:rPr>
                <w:rFonts w:ascii="仿宋_GB2312" w:eastAsia="仿宋_GB2312"/>
                <w:color w:val="000000"/>
                <w:sz w:val="20"/>
                <w:szCs w:val="20"/>
              </w:rPr>
            </w:pPr>
            <w:r>
              <w:rPr>
                <w:rFonts w:hint="eastAsia" w:ascii="仿宋_GB2312" w:eastAsia="仿宋_GB2312"/>
                <w:color w:val="000000"/>
                <w:sz w:val="20"/>
                <w:szCs w:val="20"/>
              </w:rPr>
              <w:t>10/1</w:t>
            </w:r>
            <w:r>
              <w:rPr>
                <w:rFonts w:ascii="仿宋_GB2312" w:eastAsia="仿宋_GB2312"/>
                <w:color w:val="000000"/>
                <w:sz w:val="20"/>
                <w:szCs w:val="20"/>
              </w:rPr>
              <w:t>0</w:t>
            </w:r>
          </w:p>
        </w:tc>
        <w:tc>
          <w:tcPr>
            <w:tcW w:w="425" w:type="pct"/>
            <w:tcBorders>
              <w:top w:val="nil"/>
              <w:left w:val="nil"/>
              <w:bottom w:val="single" w:color="auto" w:sz="4" w:space="0"/>
              <w:right w:val="single" w:color="auto" w:sz="4" w:space="0"/>
            </w:tcBorders>
            <w:vAlign w:val="center"/>
          </w:tcPr>
          <w:p>
            <w:pPr>
              <w:jc w:val="center"/>
              <w:rPr>
                <w:rFonts w:ascii="仿宋_GB2312" w:eastAsia="仿宋_GB2312"/>
                <w:color w:val="000000"/>
                <w:sz w:val="20"/>
                <w:szCs w:val="20"/>
              </w:rPr>
            </w:pPr>
            <w:r>
              <w:rPr>
                <w:rFonts w:hint="eastAsia" w:ascii="仿宋_GB2312" w:eastAsia="仿宋_GB2312"/>
                <w:color w:val="000000"/>
                <w:sz w:val="20"/>
                <w:szCs w:val="20"/>
              </w:rPr>
              <w:t>5/3</w:t>
            </w:r>
          </w:p>
        </w:tc>
        <w:tc>
          <w:tcPr>
            <w:tcW w:w="426" w:type="pct"/>
            <w:tcBorders>
              <w:top w:val="nil"/>
              <w:left w:val="nil"/>
              <w:bottom w:val="single" w:color="auto" w:sz="4" w:space="0"/>
              <w:right w:val="single" w:color="auto" w:sz="4" w:space="0"/>
            </w:tcBorders>
            <w:vAlign w:val="center"/>
          </w:tcPr>
          <w:p>
            <w:pPr>
              <w:jc w:val="center"/>
              <w:rPr>
                <w:rFonts w:ascii="仿宋_GB2312" w:eastAsia="仿宋_GB2312"/>
                <w:color w:val="000000"/>
                <w:sz w:val="20"/>
                <w:szCs w:val="20"/>
              </w:rPr>
            </w:pPr>
            <w:r>
              <w:rPr>
                <w:rFonts w:hint="eastAsia" w:ascii="仿宋_GB2312" w:eastAsia="仿宋_GB2312"/>
                <w:color w:val="000000"/>
                <w:sz w:val="20"/>
                <w:szCs w:val="20"/>
              </w:rPr>
              <w:t>-/1</w:t>
            </w:r>
          </w:p>
        </w:tc>
        <w:tc>
          <w:tcPr>
            <w:tcW w:w="422" w:type="pct"/>
            <w:tcBorders>
              <w:top w:val="nil"/>
              <w:left w:val="nil"/>
              <w:bottom w:val="single" w:color="auto" w:sz="4" w:space="0"/>
              <w:right w:val="single" w:color="auto" w:sz="4" w:space="0"/>
            </w:tcBorders>
            <w:vAlign w:val="center"/>
          </w:tcPr>
          <w:p>
            <w:pPr>
              <w:jc w:val="center"/>
              <w:rPr>
                <w:rFonts w:ascii="仿宋_GB2312" w:eastAsia="仿宋_GB2312"/>
                <w:color w:val="000000"/>
                <w:sz w:val="20"/>
                <w:szCs w:val="20"/>
              </w:rPr>
            </w:pPr>
            <w:r>
              <w:rPr>
                <w:rFonts w:hint="eastAsia" w:ascii="仿宋_GB2312" w:eastAsia="仿宋_GB2312"/>
                <w:color w:val="000000"/>
                <w:sz w:val="20"/>
                <w:szCs w:val="20"/>
              </w:rPr>
              <w:t>　</w:t>
            </w:r>
          </w:p>
        </w:tc>
      </w:tr>
      <w:tr>
        <w:tblPrEx>
          <w:tblCellMar>
            <w:top w:w="0" w:type="dxa"/>
            <w:left w:w="108" w:type="dxa"/>
            <w:bottom w:w="0" w:type="dxa"/>
            <w:right w:w="108" w:type="dxa"/>
          </w:tblCellMar>
        </w:tblPrEx>
        <w:trPr>
          <w:trHeight w:val="1431" w:hRule="exact"/>
        </w:trPr>
        <w:tc>
          <w:tcPr>
            <w:tcW w:w="5000" w:type="pct"/>
            <w:gridSpan w:val="9"/>
            <w:tcBorders>
              <w:top w:val="nil"/>
              <w:left w:val="nil"/>
              <w:bottom w:val="nil"/>
              <w:right w:val="nil"/>
            </w:tcBorders>
            <w:vAlign w:val="center"/>
          </w:tcPr>
          <w:p>
            <w:pPr>
              <w:rPr>
                <w:rFonts w:ascii="仿宋_GB2312" w:eastAsia="仿宋_GB2312"/>
                <w:sz w:val="20"/>
                <w:szCs w:val="20"/>
              </w:rPr>
            </w:pPr>
            <w:r>
              <w:rPr>
                <w:rFonts w:hint="eastAsia" w:ascii="仿宋_GB2312" w:eastAsia="仿宋_GB2312"/>
                <w:color w:val="000000"/>
                <w:sz w:val="20"/>
                <w:szCs w:val="20"/>
              </w:rPr>
              <w:t>注：1.本表中最低资源量规模为规划期内矿山最低资源量准入条件，其资源量规模分类（大型、中型、小型）根据“国土资发〔2000〕133号”规模划分标准确定； 2.饰面用石材</w:t>
            </w:r>
            <w:r>
              <w:rPr>
                <w:rFonts w:hint="eastAsia" w:ascii="仿宋_GB2312" w:eastAsia="仿宋_GB2312"/>
                <w:color w:val="000000"/>
                <w:sz w:val="20"/>
                <w:szCs w:val="20"/>
                <w:vertAlign w:val="superscript"/>
              </w:rPr>
              <w:t>2</w:t>
            </w:r>
            <w:r>
              <w:rPr>
                <w:rFonts w:hint="eastAsia" w:ascii="仿宋_GB2312" w:eastAsia="仿宋_GB2312"/>
                <w:color w:val="000000"/>
                <w:sz w:val="20"/>
                <w:szCs w:val="20"/>
              </w:rPr>
              <w:t>：饰面用大理岩、花岗岩、灰岩矿山主要用作砌筑用条石、雕刻、制板材等；</w:t>
            </w:r>
            <w:r>
              <w:rPr>
                <w:rFonts w:ascii="仿宋_GB2312" w:eastAsia="仿宋_GB2312"/>
                <w:color w:val="000000"/>
                <w:sz w:val="20"/>
                <w:szCs w:val="20"/>
              </w:rPr>
              <w:t>3.</w:t>
            </w:r>
            <w:r>
              <w:rPr>
                <w:rFonts w:hint="eastAsia" w:ascii="仿宋_GB2312" w:eastAsia="仿宋_GB2312"/>
                <w:color w:val="000000"/>
                <w:sz w:val="20"/>
                <w:szCs w:val="20"/>
              </w:rPr>
              <w:t>未列入上表的其他矿种最低资源量规模和设计开采规模必须达到小型及以上标准。</w:t>
            </w:r>
          </w:p>
        </w:tc>
      </w:tr>
    </w:tbl>
    <w:p>
      <w:pPr>
        <w:jc w:val="center"/>
        <w:rPr>
          <w:rFonts w:ascii="黑体" w:hAnsi="黑体" w:eastAsia="黑体"/>
          <w:sz w:val="32"/>
          <w:szCs w:val="32"/>
        </w:rPr>
      </w:pPr>
    </w:p>
    <w:p>
      <w:pPr>
        <w:rPr>
          <w:rFonts w:ascii="黑体" w:hAnsi="黑体" w:eastAsia="黑体"/>
          <w:sz w:val="32"/>
          <w:szCs w:val="32"/>
        </w:rPr>
        <w:sectPr>
          <w:pgSz w:w="16838" w:h="11906" w:orient="landscape"/>
          <w:pgMar w:top="1588" w:right="2098" w:bottom="1474" w:left="1985" w:header="851" w:footer="1701" w:gutter="0"/>
          <w:cols w:space="720" w:num="1"/>
          <w:docGrid w:type="lines" w:linePitch="312" w:charSpace="0"/>
        </w:sectPr>
      </w:pPr>
    </w:p>
    <w:p>
      <w:pPr>
        <w:jc w:val="center"/>
        <w:rPr>
          <w:rFonts w:ascii="黑体" w:hAnsi="黑体" w:eastAsia="黑体"/>
          <w:sz w:val="32"/>
          <w:szCs w:val="32"/>
        </w:rPr>
      </w:pPr>
      <w:bookmarkStart w:id="118" w:name="_Toc21314"/>
      <w:bookmarkStart w:id="119" w:name="_Toc22812"/>
      <w:r>
        <w:rPr>
          <w:rFonts w:hint="eastAsia" w:ascii="黑体" w:hAnsi="黑体" w:eastAsia="黑体"/>
          <w:sz w:val="32"/>
          <w:szCs w:val="32"/>
        </w:rPr>
        <w:t>附表9  小金县砂石土类矿产集中开采区表</w:t>
      </w:r>
      <w:bookmarkEnd w:id="118"/>
      <w:bookmarkEnd w:id="119"/>
    </w:p>
    <w:tbl>
      <w:tblPr>
        <w:tblStyle w:val="2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86"/>
        <w:gridCol w:w="1286"/>
        <w:gridCol w:w="1199"/>
        <w:gridCol w:w="1374"/>
        <w:gridCol w:w="1286"/>
        <w:gridCol w:w="1286"/>
        <w:gridCol w:w="1286"/>
        <w:gridCol w:w="1286"/>
        <w:gridCol w:w="1287"/>
        <w:gridCol w:w="1619"/>
        <w:gridCol w:w="9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454" w:type="pct"/>
            <w:shd w:val="clear" w:color="auto" w:fill="auto"/>
            <w:vAlign w:val="center"/>
          </w:tcPr>
          <w:p>
            <w:pPr>
              <w:widowControl/>
              <w:jc w:val="center"/>
              <w:rPr>
                <w:rFonts w:ascii="黑体" w:hAnsi="黑体" w:eastAsia="黑体" w:cs="宋体"/>
                <w:kern w:val="0"/>
                <w:szCs w:val="21"/>
              </w:rPr>
            </w:pPr>
            <w:r>
              <w:rPr>
                <w:rFonts w:hint="eastAsia" w:ascii="黑体" w:hAnsi="黑体" w:eastAsia="黑体" w:cs="宋体"/>
                <w:kern w:val="0"/>
                <w:szCs w:val="21"/>
              </w:rPr>
              <w:t>序号</w:t>
            </w:r>
          </w:p>
        </w:tc>
        <w:tc>
          <w:tcPr>
            <w:tcW w:w="454" w:type="pct"/>
            <w:shd w:val="clear" w:color="auto" w:fill="auto"/>
            <w:vAlign w:val="center"/>
          </w:tcPr>
          <w:p>
            <w:pPr>
              <w:widowControl/>
              <w:jc w:val="center"/>
              <w:rPr>
                <w:rFonts w:ascii="黑体" w:hAnsi="黑体" w:eastAsia="黑体" w:cs="宋体"/>
                <w:kern w:val="0"/>
                <w:szCs w:val="21"/>
              </w:rPr>
            </w:pPr>
            <w:r>
              <w:rPr>
                <w:rFonts w:hint="eastAsia" w:ascii="黑体" w:hAnsi="黑体" w:eastAsia="黑体" w:cs="宋体"/>
                <w:kern w:val="0"/>
                <w:szCs w:val="21"/>
              </w:rPr>
              <w:t>编号</w:t>
            </w:r>
          </w:p>
        </w:tc>
        <w:tc>
          <w:tcPr>
            <w:tcW w:w="423" w:type="pct"/>
            <w:shd w:val="clear" w:color="auto" w:fill="auto"/>
            <w:vAlign w:val="center"/>
          </w:tcPr>
          <w:p>
            <w:pPr>
              <w:widowControl/>
              <w:jc w:val="center"/>
              <w:rPr>
                <w:rFonts w:ascii="黑体" w:hAnsi="黑体" w:eastAsia="黑体" w:cs="宋体"/>
                <w:kern w:val="0"/>
                <w:szCs w:val="21"/>
              </w:rPr>
            </w:pPr>
            <w:r>
              <w:rPr>
                <w:rFonts w:hint="eastAsia" w:ascii="黑体" w:hAnsi="黑体" w:eastAsia="黑体" w:cs="宋体"/>
                <w:kern w:val="0"/>
                <w:szCs w:val="21"/>
              </w:rPr>
              <w:t>名称</w:t>
            </w:r>
          </w:p>
        </w:tc>
        <w:tc>
          <w:tcPr>
            <w:tcW w:w="485" w:type="pct"/>
            <w:shd w:val="clear" w:color="auto" w:fill="auto"/>
            <w:vAlign w:val="center"/>
          </w:tcPr>
          <w:p>
            <w:pPr>
              <w:widowControl/>
              <w:jc w:val="center"/>
              <w:rPr>
                <w:rFonts w:ascii="黑体" w:hAnsi="黑体" w:eastAsia="黑体" w:cs="宋体"/>
                <w:kern w:val="0"/>
                <w:szCs w:val="21"/>
              </w:rPr>
            </w:pPr>
            <w:r>
              <w:rPr>
                <w:rFonts w:hint="eastAsia" w:ascii="黑体" w:hAnsi="黑体" w:eastAsia="黑体" w:cs="宋体"/>
                <w:kern w:val="0"/>
                <w:szCs w:val="21"/>
              </w:rPr>
              <w:t>所在行政区</w:t>
            </w:r>
          </w:p>
        </w:tc>
        <w:tc>
          <w:tcPr>
            <w:tcW w:w="454" w:type="pct"/>
            <w:shd w:val="clear" w:color="auto" w:fill="auto"/>
            <w:vAlign w:val="center"/>
          </w:tcPr>
          <w:p>
            <w:pPr>
              <w:widowControl/>
              <w:jc w:val="center"/>
              <w:rPr>
                <w:rFonts w:ascii="黑体" w:hAnsi="黑体" w:eastAsia="黑体" w:cs="宋体"/>
                <w:kern w:val="0"/>
                <w:szCs w:val="21"/>
              </w:rPr>
            </w:pPr>
            <w:r>
              <w:rPr>
                <w:rFonts w:hint="eastAsia" w:ascii="黑体" w:hAnsi="黑体" w:eastAsia="黑体" w:cs="宋体"/>
                <w:kern w:val="0"/>
                <w:szCs w:val="21"/>
              </w:rPr>
              <w:t>面积（平方千米）</w:t>
            </w:r>
          </w:p>
        </w:tc>
        <w:tc>
          <w:tcPr>
            <w:tcW w:w="454" w:type="pct"/>
            <w:shd w:val="clear" w:color="auto" w:fill="auto"/>
            <w:vAlign w:val="center"/>
          </w:tcPr>
          <w:p>
            <w:pPr>
              <w:widowControl/>
              <w:jc w:val="center"/>
              <w:rPr>
                <w:rFonts w:ascii="黑体" w:hAnsi="黑体" w:eastAsia="黑体" w:cs="宋体"/>
                <w:kern w:val="0"/>
                <w:szCs w:val="21"/>
              </w:rPr>
            </w:pPr>
            <w:r>
              <w:rPr>
                <w:rFonts w:hint="eastAsia" w:ascii="黑体" w:hAnsi="黑体" w:eastAsia="黑体" w:cs="宋体"/>
                <w:kern w:val="0"/>
                <w:szCs w:val="21"/>
              </w:rPr>
              <w:t>拐点坐标</w:t>
            </w:r>
          </w:p>
        </w:tc>
        <w:tc>
          <w:tcPr>
            <w:tcW w:w="454" w:type="pct"/>
            <w:shd w:val="clear" w:color="auto" w:fill="auto"/>
            <w:vAlign w:val="center"/>
          </w:tcPr>
          <w:p>
            <w:pPr>
              <w:widowControl/>
              <w:jc w:val="center"/>
              <w:rPr>
                <w:rFonts w:ascii="黑体" w:hAnsi="黑体" w:eastAsia="黑体" w:cs="宋体"/>
                <w:kern w:val="0"/>
                <w:szCs w:val="21"/>
              </w:rPr>
            </w:pPr>
            <w:r>
              <w:rPr>
                <w:rFonts w:hint="eastAsia" w:ascii="黑体" w:hAnsi="黑体" w:eastAsia="黑体" w:cs="宋体"/>
                <w:kern w:val="0"/>
                <w:szCs w:val="21"/>
              </w:rPr>
              <w:t>主要矿种</w:t>
            </w:r>
          </w:p>
        </w:tc>
        <w:tc>
          <w:tcPr>
            <w:tcW w:w="454" w:type="pct"/>
            <w:shd w:val="clear" w:color="auto" w:fill="auto"/>
            <w:vAlign w:val="center"/>
          </w:tcPr>
          <w:p>
            <w:pPr>
              <w:widowControl/>
              <w:jc w:val="center"/>
              <w:rPr>
                <w:rFonts w:ascii="黑体" w:hAnsi="黑体" w:eastAsia="黑体" w:cs="宋体"/>
                <w:kern w:val="0"/>
                <w:szCs w:val="21"/>
              </w:rPr>
            </w:pPr>
            <w:r>
              <w:rPr>
                <w:rFonts w:hint="eastAsia" w:ascii="黑体" w:hAnsi="黑体" w:eastAsia="黑体" w:cs="宋体"/>
                <w:kern w:val="0"/>
                <w:szCs w:val="21"/>
              </w:rPr>
              <w:t>拟设采矿权总数</w:t>
            </w:r>
          </w:p>
        </w:tc>
        <w:tc>
          <w:tcPr>
            <w:tcW w:w="454" w:type="pct"/>
            <w:shd w:val="clear" w:color="auto" w:fill="auto"/>
            <w:vAlign w:val="center"/>
          </w:tcPr>
          <w:p>
            <w:pPr>
              <w:widowControl/>
              <w:jc w:val="center"/>
              <w:rPr>
                <w:rFonts w:ascii="黑体" w:hAnsi="黑体" w:eastAsia="黑体" w:cs="宋体"/>
                <w:kern w:val="0"/>
                <w:szCs w:val="21"/>
              </w:rPr>
            </w:pPr>
            <w:r>
              <w:rPr>
                <w:rFonts w:hint="eastAsia" w:ascii="黑体" w:hAnsi="黑体" w:eastAsia="黑体" w:cs="宋体"/>
                <w:kern w:val="0"/>
                <w:szCs w:val="21"/>
              </w:rPr>
              <w:t>最低开采规模</w:t>
            </w:r>
          </w:p>
        </w:tc>
        <w:tc>
          <w:tcPr>
            <w:tcW w:w="571" w:type="pct"/>
            <w:shd w:val="clear" w:color="auto" w:fill="auto"/>
            <w:vAlign w:val="center"/>
          </w:tcPr>
          <w:p>
            <w:pPr>
              <w:widowControl/>
              <w:jc w:val="center"/>
              <w:rPr>
                <w:rFonts w:ascii="黑体" w:hAnsi="黑体" w:eastAsia="黑体" w:cs="宋体"/>
                <w:kern w:val="0"/>
                <w:szCs w:val="21"/>
              </w:rPr>
            </w:pPr>
            <w:r>
              <w:rPr>
                <w:rFonts w:hint="eastAsia" w:ascii="黑体" w:hAnsi="黑体" w:eastAsia="黑体" w:cs="宋体"/>
                <w:kern w:val="0"/>
                <w:szCs w:val="21"/>
              </w:rPr>
              <w:t>环境保护与恢复治理措施</w:t>
            </w:r>
          </w:p>
        </w:tc>
        <w:tc>
          <w:tcPr>
            <w:tcW w:w="337" w:type="pct"/>
            <w:shd w:val="clear" w:color="auto" w:fill="auto"/>
            <w:vAlign w:val="center"/>
          </w:tcPr>
          <w:p>
            <w:pPr>
              <w:widowControl/>
              <w:jc w:val="center"/>
              <w:rPr>
                <w:rFonts w:ascii="黑体" w:hAnsi="黑体" w:eastAsia="黑体" w:cs="宋体"/>
                <w:kern w:val="0"/>
                <w:szCs w:val="21"/>
              </w:rPr>
            </w:pPr>
            <w:r>
              <w:rPr>
                <w:rFonts w:hint="eastAsia" w:ascii="黑体" w:hAnsi="黑体" w:eastAsia="黑体" w:cs="宋体"/>
                <w:kern w:val="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5000" w:type="pct"/>
            <w:gridSpan w:val="11"/>
            <w:shd w:val="clear" w:color="auto" w:fill="auto"/>
            <w:vAlign w:val="center"/>
          </w:tcPr>
          <w:p>
            <w:pPr>
              <w:ind w:firstLine="480"/>
              <w:jc w:val="center"/>
            </w:pPr>
            <w:r>
              <w:rPr>
                <w:rFonts w:hint="eastAsia" w:ascii="楷体" w:hAnsi="楷体" w:eastAsia="楷体" w:cs="楷体"/>
                <w:sz w:val="24"/>
              </w:rPr>
              <w:t>--此表为空--</w:t>
            </w:r>
          </w:p>
        </w:tc>
      </w:tr>
      <w:bookmarkEnd w:id="116"/>
    </w:tbl>
    <w:p>
      <w:pPr>
        <w:spacing w:line="360" w:lineRule="auto"/>
        <w:jc w:val="left"/>
        <w:rPr>
          <w:rFonts w:eastAsia="仿宋"/>
          <w:sz w:val="20"/>
          <w:szCs w:val="20"/>
        </w:rPr>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华文新魏">
    <w:panose1 w:val="02010800040101010101"/>
    <w:charset w:val="86"/>
    <w:family w:val="auto"/>
    <w:pitch w:val="default"/>
    <w:sig w:usb0="00000001" w:usb1="080F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45851690"/>
      <w:docPartObj>
        <w:docPartGallery w:val="AutoText"/>
      </w:docPartObj>
    </w:sdtPr>
    <w:sdtContent>
      <w:p>
        <w:pPr>
          <w:pStyle w:val="12"/>
          <w:jc w:val="center"/>
        </w:pPr>
        <w:r>
          <w:fldChar w:fldCharType="begin"/>
        </w:r>
        <w:r>
          <w:instrText xml:space="preserve">PAGE   \* MERGEFORMAT</w:instrText>
        </w:r>
        <w:r>
          <w:fldChar w:fldCharType="separate"/>
        </w:r>
        <w:r>
          <w:rPr>
            <w:lang w:val="zh-CN"/>
          </w:rPr>
          <w:t>2</w:t>
        </w:r>
        <w:r>
          <w:fldChar w:fldCharType="end"/>
        </w:r>
      </w:p>
    </w:sdtContent>
  </w:sdt>
  <w:p>
    <w:pPr>
      <w:pStyle w:val="12"/>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11143441"/>
      <w:docPartObj>
        <w:docPartGallery w:val="AutoText"/>
      </w:docPartObj>
    </w:sdtPr>
    <w:sdtContent>
      <w:p>
        <w:pPr>
          <w:pStyle w:val="12"/>
          <w:jc w:val="center"/>
        </w:pPr>
        <w:r>
          <w:fldChar w:fldCharType="begin"/>
        </w:r>
        <w:r>
          <w:instrText xml:space="preserve">PAGE   \* MERGEFORMAT</w:instrText>
        </w:r>
        <w:r>
          <w:fldChar w:fldCharType="separate"/>
        </w:r>
        <w:r>
          <w:rPr>
            <w:lang w:val="zh-CN"/>
          </w:rPr>
          <w:t>2</w:t>
        </w:r>
        <w:r>
          <w:fldChar w:fldCharType="end"/>
        </w:r>
      </w:p>
    </w:sdtContent>
  </w:sdt>
  <w:p>
    <w:pPr>
      <w:pStyle w:val="1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60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zg1YzIxYWQxYWUzNDgzZmMwODNiNzQwZjJmNTQ5MzgifQ=="/>
  </w:docVars>
  <w:rsids>
    <w:rsidRoot w:val="003C508F"/>
    <w:rsid w:val="00000919"/>
    <w:rsid w:val="00000F08"/>
    <w:rsid w:val="0000226F"/>
    <w:rsid w:val="000033BC"/>
    <w:rsid w:val="0000479F"/>
    <w:rsid w:val="00010458"/>
    <w:rsid w:val="00010EF3"/>
    <w:rsid w:val="000155B9"/>
    <w:rsid w:val="000163FC"/>
    <w:rsid w:val="00016C58"/>
    <w:rsid w:val="00022828"/>
    <w:rsid w:val="000256B0"/>
    <w:rsid w:val="00026A70"/>
    <w:rsid w:val="00027F88"/>
    <w:rsid w:val="000311D6"/>
    <w:rsid w:val="00031C91"/>
    <w:rsid w:val="0003493E"/>
    <w:rsid w:val="00035BB4"/>
    <w:rsid w:val="00036AA6"/>
    <w:rsid w:val="00036EAB"/>
    <w:rsid w:val="00037027"/>
    <w:rsid w:val="00040A1E"/>
    <w:rsid w:val="0004248F"/>
    <w:rsid w:val="0004455F"/>
    <w:rsid w:val="00044A20"/>
    <w:rsid w:val="00046F55"/>
    <w:rsid w:val="000473C0"/>
    <w:rsid w:val="00047F74"/>
    <w:rsid w:val="00050237"/>
    <w:rsid w:val="00050320"/>
    <w:rsid w:val="000518A6"/>
    <w:rsid w:val="00052987"/>
    <w:rsid w:val="00053750"/>
    <w:rsid w:val="000545F1"/>
    <w:rsid w:val="000554E0"/>
    <w:rsid w:val="00055633"/>
    <w:rsid w:val="00055E66"/>
    <w:rsid w:val="000612FF"/>
    <w:rsid w:val="0006148A"/>
    <w:rsid w:val="0006231B"/>
    <w:rsid w:val="00062398"/>
    <w:rsid w:val="0006433D"/>
    <w:rsid w:val="00064353"/>
    <w:rsid w:val="00064670"/>
    <w:rsid w:val="00066243"/>
    <w:rsid w:val="00066279"/>
    <w:rsid w:val="00070C78"/>
    <w:rsid w:val="00070FDD"/>
    <w:rsid w:val="00071E6B"/>
    <w:rsid w:val="00072BFD"/>
    <w:rsid w:val="0007351C"/>
    <w:rsid w:val="00073A20"/>
    <w:rsid w:val="00074F6E"/>
    <w:rsid w:val="00076A8F"/>
    <w:rsid w:val="0007704E"/>
    <w:rsid w:val="00081CCF"/>
    <w:rsid w:val="000830FB"/>
    <w:rsid w:val="00083E64"/>
    <w:rsid w:val="00084D75"/>
    <w:rsid w:val="00085215"/>
    <w:rsid w:val="0008652B"/>
    <w:rsid w:val="00087959"/>
    <w:rsid w:val="0009123F"/>
    <w:rsid w:val="00091D3D"/>
    <w:rsid w:val="000930C2"/>
    <w:rsid w:val="000948F5"/>
    <w:rsid w:val="00094A77"/>
    <w:rsid w:val="00095DFF"/>
    <w:rsid w:val="000969A2"/>
    <w:rsid w:val="00097242"/>
    <w:rsid w:val="000A20F6"/>
    <w:rsid w:val="000A347C"/>
    <w:rsid w:val="000A4C55"/>
    <w:rsid w:val="000A5832"/>
    <w:rsid w:val="000A7783"/>
    <w:rsid w:val="000B0001"/>
    <w:rsid w:val="000B3969"/>
    <w:rsid w:val="000B45A4"/>
    <w:rsid w:val="000B56F5"/>
    <w:rsid w:val="000C06B9"/>
    <w:rsid w:val="000C22C7"/>
    <w:rsid w:val="000C2516"/>
    <w:rsid w:val="000C263A"/>
    <w:rsid w:val="000C3C35"/>
    <w:rsid w:val="000C45DE"/>
    <w:rsid w:val="000C5EA3"/>
    <w:rsid w:val="000C6534"/>
    <w:rsid w:val="000C7285"/>
    <w:rsid w:val="000D087A"/>
    <w:rsid w:val="000D1D84"/>
    <w:rsid w:val="000D29EC"/>
    <w:rsid w:val="000D305B"/>
    <w:rsid w:val="000D6A9F"/>
    <w:rsid w:val="000E2A82"/>
    <w:rsid w:val="000E5697"/>
    <w:rsid w:val="000E5A19"/>
    <w:rsid w:val="000E5C51"/>
    <w:rsid w:val="000E6350"/>
    <w:rsid w:val="000E6825"/>
    <w:rsid w:val="000F1C1C"/>
    <w:rsid w:val="000F2A2D"/>
    <w:rsid w:val="000F4B5F"/>
    <w:rsid w:val="000F4B80"/>
    <w:rsid w:val="000F5EEA"/>
    <w:rsid w:val="000F648C"/>
    <w:rsid w:val="000F7CAE"/>
    <w:rsid w:val="000F7D51"/>
    <w:rsid w:val="0010038B"/>
    <w:rsid w:val="00102421"/>
    <w:rsid w:val="00103320"/>
    <w:rsid w:val="001050AC"/>
    <w:rsid w:val="001050DB"/>
    <w:rsid w:val="00111BCE"/>
    <w:rsid w:val="00112850"/>
    <w:rsid w:val="00112B1D"/>
    <w:rsid w:val="00112C3F"/>
    <w:rsid w:val="00113EBB"/>
    <w:rsid w:val="00114555"/>
    <w:rsid w:val="00114CB3"/>
    <w:rsid w:val="0012145A"/>
    <w:rsid w:val="00121949"/>
    <w:rsid w:val="001253F1"/>
    <w:rsid w:val="00125557"/>
    <w:rsid w:val="001258B8"/>
    <w:rsid w:val="00126A50"/>
    <w:rsid w:val="00126CE5"/>
    <w:rsid w:val="001271B6"/>
    <w:rsid w:val="00127683"/>
    <w:rsid w:val="0013280B"/>
    <w:rsid w:val="00132BBF"/>
    <w:rsid w:val="00133F79"/>
    <w:rsid w:val="001346AA"/>
    <w:rsid w:val="00134B75"/>
    <w:rsid w:val="001356C8"/>
    <w:rsid w:val="00140096"/>
    <w:rsid w:val="0014076B"/>
    <w:rsid w:val="00141459"/>
    <w:rsid w:val="00143ECD"/>
    <w:rsid w:val="001457ED"/>
    <w:rsid w:val="001506A2"/>
    <w:rsid w:val="00150F9E"/>
    <w:rsid w:val="001513DF"/>
    <w:rsid w:val="0015441C"/>
    <w:rsid w:val="00154A80"/>
    <w:rsid w:val="00155E28"/>
    <w:rsid w:val="001612E6"/>
    <w:rsid w:val="00162286"/>
    <w:rsid w:val="001646DA"/>
    <w:rsid w:val="0016492B"/>
    <w:rsid w:val="00164D91"/>
    <w:rsid w:val="00167A78"/>
    <w:rsid w:val="00172347"/>
    <w:rsid w:val="00172B39"/>
    <w:rsid w:val="0017467A"/>
    <w:rsid w:val="0018248B"/>
    <w:rsid w:val="00184418"/>
    <w:rsid w:val="00185107"/>
    <w:rsid w:val="001856F7"/>
    <w:rsid w:val="00186B1E"/>
    <w:rsid w:val="001905EB"/>
    <w:rsid w:val="00191B13"/>
    <w:rsid w:val="00192F62"/>
    <w:rsid w:val="0019417D"/>
    <w:rsid w:val="001979CD"/>
    <w:rsid w:val="001A03DC"/>
    <w:rsid w:val="001A177F"/>
    <w:rsid w:val="001A178E"/>
    <w:rsid w:val="001A3B5A"/>
    <w:rsid w:val="001A5E48"/>
    <w:rsid w:val="001A6046"/>
    <w:rsid w:val="001A68E3"/>
    <w:rsid w:val="001A7242"/>
    <w:rsid w:val="001A78CA"/>
    <w:rsid w:val="001A7D3E"/>
    <w:rsid w:val="001B0A43"/>
    <w:rsid w:val="001B0FED"/>
    <w:rsid w:val="001B1990"/>
    <w:rsid w:val="001B4433"/>
    <w:rsid w:val="001B5B2F"/>
    <w:rsid w:val="001B5EB5"/>
    <w:rsid w:val="001B78E5"/>
    <w:rsid w:val="001C0B2F"/>
    <w:rsid w:val="001C459A"/>
    <w:rsid w:val="001C4637"/>
    <w:rsid w:val="001D0731"/>
    <w:rsid w:val="001D1424"/>
    <w:rsid w:val="001D146B"/>
    <w:rsid w:val="001D2F99"/>
    <w:rsid w:val="001D5D35"/>
    <w:rsid w:val="001D6039"/>
    <w:rsid w:val="001E085E"/>
    <w:rsid w:val="001E2B57"/>
    <w:rsid w:val="001E2BBE"/>
    <w:rsid w:val="001E413A"/>
    <w:rsid w:val="001E7C1D"/>
    <w:rsid w:val="001E7F87"/>
    <w:rsid w:val="001F080B"/>
    <w:rsid w:val="001F0A26"/>
    <w:rsid w:val="001F0B15"/>
    <w:rsid w:val="001F46B7"/>
    <w:rsid w:val="001F525E"/>
    <w:rsid w:val="001F584F"/>
    <w:rsid w:val="001F772A"/>
    <w:rsid w:val="002020D2"/>
    <w:rsid w:val="002044F4"/>
    <w:rsid w:val="00204B80"/>
    <w:rsid w:val="0020549B"/>
    <w:rsid w:val="00205CEC"/>
    <w:rsid w:val="00207363"/>
    <w:rsid w:val="00210AF0"/>
    <w:rsid w:val="00211845"/>
    <w:rsid w:val="00212D6E"/>
    <w:rsid w:val="002137A9"/>
    <w:rsid w:val="002169AA"/>
    <w:rsid w:val="0022092C"/>
    <w:rsid w:val="002217A3"/>
    <w:rsid w:val="002220DE"/>
    <w:rsid w:val="002223C1"/>
    <w:rsid w:val="00224A49"/>
    <w:rsid w:val="00225900"/>
    <w:rsid w:val="00225E67"/>
    <w:rsid w:val="002263D5"/>
    <w:rsid w:val="00227B56"/>
    <w:rsid w:val="002307C3"/>
    <w:rsid w:val="002313E7"/>
    <w:rsid w:val="00233F2A"/>
    <w:rsid w:val="00234A40"/>
    <w:rsid w:val="00235379"/>
    <w:rsid w:val="002358D6"/>
    <w:rsid w:val="00237AF7"/>
    <w:rsid w:val="00237E00"/>
    <w:rsid w:val="0024018D"/>
    <w:rsid w:val="00241657"/>
    <w:rsid w:val="00242DCB"/>
    <w:rsid w:val="002440A8"/>
    <w:rsid w:val="002440E0"/>
    <w:rsid w:val="00245F2D"/>
    <w:rsid w:val="00245F52"/>
    <w:rsid w:val="002463BF"/>
    <w:rsid w:val="00246862"/>
    <w:rsid w:val="0024764B"/>
    <w:rsid w:val="002501A0"/>
    <w:rsid w:val="00252BC4"/>
    <w:rsid w:val="00254152"/>
    <w:rsid w:val="00254B6F"/>
    <w:rsid w:val="00260331"/>
    <w:rsid w:val="00263DAA"/>
    <w:rsid w:val="00265D7C"/>
    <w:rsid w:val="00265D90"/>
    <w:rsid w:val="0026627B"/>
    <w:rsid w:val="002667D9"/>
    <w:rsid w:val="00267033"/>
    <w:rsid w:val="00267AFF"/>
    <w:rsid w:val="00270816"/>
    <w:rsid w:val="00270D0B"/>
    <w:rsid w:val="00270D19"/>
    <w:rsid w:val="00271741"/>
    <w:rsid w:val="002754B7"/>
    <w:rsid w:val="00277DD7"/>
    <w:rsid w:val="00277F9F"/>
    <w:rsid w:val="00282F80"/>
    <w:rsid w:val="00284135"/>
    <w:rsid w:val="00284CAD"/>
    <w:rsid w:val="00285910"/>
    <w:rsid w:val="002859E5"/>
    <w:rsid w:val="0028632E"/>
    <w:rsid w:val="002875DB"/>
    <w:rsid w:val="00287971"/>
    <w:rsid w:val="00290041"/>
    <w:rsid w:val="00291174"/>
    <w:rsid w:val="002923CA"/>
    <w:rsid w:val="00293260"/>
    <w:rsid w:val="00293B10"/>
    <w:rsid w:val="00294918"/>
    <w:rsid w:val="00295190"/>
    <w:rsid w:val="0029526B"/>
    <w:rsid w:val="00295C48"/>
    <w:rsid w:val="0029675F"/>
    <w:rsid w:val="00297D1C"/>
    <w:rsid w:val="002A005F"/>
    <w:rsid w:val="002A01DE"/>
    <w:rsid w:val="002A2652"/>
    <w:rsid w:val="002A279F"/>
    <w:rsid w:val="002A2A4A"/>
    <w:rsid w:val="002A33E7"/>
    <w:rsid w:val="002A47F5"/>
    <w:rsid w:val="002A4CC9"/>
    <w:rsid w:val="002A4DE3"/>
    <w:rsid w:val="002A4EBD"/>
    <w:rsid w:val="002A5868"/>
    <w:rsid w:val="002A6194"/>
    <w:rsid w:val="002A6FE1"/>
    <w:rsid w:val="002B06B7"/>
    <w:rsid w:val="002B2CA3"/>
    <w:rsid w:val="002B32E5"/>
    <w:rsid w:val="002B3320"/>
    <w:rsid w:val="002B3AE2"/>
    <w:rsid w:val="002B48B6"/>
    <w:rsid w:val="002C00E7"/>
    <w:rsid w:val="002C1055"/>
    <w:rsid w:val="002C33C9"/>
    <w:rsid w:val="002C56D5"/>
    <w:rsid w:val="002C57BB"/>
    <w:rsid w:val="002C588D"/>
    <w:rsid w:val="002C737B"/>
    <w:rsid w:val="002D0259"/>
    <w:rsid w:val="002D18CD"/>
    <w:rsid w:val="002D2D3E"/>
    <w:rsid w:val="002D30C1"/>
    <w:rsid w:val="002D4B16"/>
    <w:rsid w:val="002D6BD6"/>
    <w:rsid w:val="002D7139"/>
    <w:rsid w:val="002E3626"/>
    <w:rsid w:val="002E38A0"/>
    <w:rsid w:val="002E3BFE"/>
    <w:rsid w:val="002E7022"/>
    <w:rsid w:val="002E71EA"/>
    <w:rsid w:val="002E7A30"/>
    <w:rsid w:val="002F2CC0"/>
    <w:rsid w:val="002F3D51"/>
    <w:rsid w:val="002F5D85"/>
    <w:rsid w:val="002F6336"/>
    <w:rsid w:val="002F74EF"/>
    <w:rsid w:val="00300013"/>
    <w:rsid w:val="0030055D"/>
    <w:rsid w:val="003006D7"/>
    <w:rsid w:val="0030085A"/>
    <w:rsid w:val="00300B1C"/>
    <w:rsid w:val="0030189E"/>
    <w:rsid w:val="00303C76"/>
    <w:rsid w:val="00303C90"/>
    <w:rsid w:val="00305030"/>
    <w:rsid w:val="003058B6"/>
    <w:rsid w:val="00305C08"/>
    <w:rsid w:val="0030757B"/>
    <w:rsid w:val="00307CF2"/>
    <w:rsid w:val="00310C41"/>
    <w:rsid w:val="00310E9C"/>
    <w:rsid w:val="003119B8"/>
    <w:rsid w:val="00312B2E"/>
    <w:rsid w:val="00312D6C"/>
    <w:rsid w:val="0031306F"/>
    <w:rsid w:val="00313090"/>
    <w:rsid w:val="0031411F"/>
    <w:rsid w:val="003164B3"/>
    <w:rsid w:val="00321DAC"/>
    <w:rsid w:val="0032270D"/>
    <w:rsid w:val="00323E18"/>
    <w:rsid w:val="00326B47"/>
    <w:rsid w:val="003274A0"/>
    <w:rsid w:val="00330C67"/>
    <w:rsid w:val="0033124F"/>
    <w:rsid w:val="003341EF"/>
    <w:rsid w:val="00334A56"/>
    <w:rsid w:val="00335206"/>
    <w:rsid w:val="00336A8D"/>
    <w:rsid w:val="0034008B"/>
    <w:rsid w:val="00340203"/>
    <w:rsid w:val="00340AA8"/>
    <w:rsid w:val="00341815"/>
    <w:rsid w:val="003431AF"/>
    <w:rsid w:val="00343DFA"/>
    <w:rsid w:val="00343FD0"/>
    <w:rsid w:val="00345357"/>
    <w:rsid w:val="003467CC"/>
    <w:rsid w:val="00346826"/>
    <w:rsid w:val="00346D18"/>
    <w:rsid w:val="00347635"/>
    <w:rsid w:val="00354EB6"/>
    <w:rsid w:val="00355096"/>
    <w:rsid w:val="00355E16"/>
    <w:rsid w:val="003563C3"/>
    <w:rsid w:val="00357149"/>
    <w:rsid w:val="0035763E"/>
    <w:rsid w:val="00360399"/>
    <w:rsid w:val="00360545"/>
    <w:rsid w:val="00360DBE"/>
    <w:rsid w:val="00360F4C"/>
    <w:rsid w:val="0036197D"/>
    <w:rsid w:val="00361AAC"/>
    <w:rsid w:val="00361C2F"/>
    <w:rsid w:val="003641B7"/>
    <w:rsid w:val="003641F1"/>
    <w:rsid w:val="0036420B"/>
    <w:rsid w:val="00364339"/>
    <w:rsid w:val="003646B8"/>
    <w:rsid w:val="00365DBE"/>
    <w:rsid w:val="0037025D"/>
    <w:rsid w:val="00371361"/>
    <w:rsid w:val="00372E83"/>
    <w:rsid w:val="00373482"/>
    <w:rsid w:val="0037365D"/>
    <w:rsid w:val="0037437E"/>
    <w:rsid w:val="00374923"/>
    <w:rsid w:val="00375BFD"/>
    <w:rsid w:val="00376EE7"/>
    <w:rsid w:val="003772CA"/>
    <w:rsid w:val="00377ACE"/>
    <w:rsid w:val="003805F3"/>
    <w:rsid w:val="00380EB9"/>
    <w:rsid w:val="003816CE"/>
    <w:rsid w:val="00382DC6"/>
    <w:rsid w:val="00382F9E"/>
    <w:rsid w:val="00383E0C"/>
    <w:rsid w:val="00390811"/>
    <w:rsid w:val="003920AA"/>
    <w:rsid w:val="00394356"/>
    <w:rsid w:val="00394A45"/>
    <w:rsid w:val="003952BF"/>
    <w:rsid w:val="00397008"/>
    <w:rsid w:val="003970F8"/>
    <w:rsid w:val="003978A1"/>
    <w:rsid w:val="003A04E5"/>
    <w:rsid w:val="003A0A9F"/>
    <w:rsid w:val="003A1FBC"/>
    <w:rsid w:val="003A3702"/>
    <w:rsid w:val="003A3DA6"/>
    <w:rsid w:val="003A406D"/>
    <w:rsid w:val="003A5889"/>
    <w:rsid w:val="003A7888"/>
    <w:rsid w:val="003A7BA1"/>
    <w:rsid w:val="003B1BE7"/>
    <w:rsid w:val="003B4A24"/>
    <w:rsid w:val="003B4B07"/>
    <w:rsid w:val="003B564E"/>
    <w:rsid w:val="003B6318"/>
    <w:rsid w:val="003B70F4"/>
    <w:rsid w:val="003B7958"/>
    <w:rsid w:val="003C0DE0"/>
    <w:rsid w:val="003C230A"/>
    <w:rsid w:val="003C508F"/>
    <w:rsid w:val="003C65E2"/>
    <w:rsid w:val="003C675C"/>
    <w:rsid w:val="003D0C89"/>
    <w:rsid w:val="003D1D21"/>
    <w:rsid w:val="003D4EF2"/>
    <w:rsid w:val="003D7812"/>
    <w:rsid w:val="003E1D71"/>
    <w:rsid w:val="003E24D1"/>
    <w:rsid w:val="003E3D57"/>
    <w:rsid w:val="003E4302"/>
    <w:rsid w:val="003E4409"/>
    <w:rsid w:val="003E7308"/>
    <w:rsid w:val="003E7C2D"/>
    <w:rsid w:val="003E7FA4"/>
    <w:rsid w:val="003F0CDA"/>
    <w:rsid w:val="003F43D1"/>
    <w:rsid w:val="003F4B6A"/>
    <w:rsid w:val="003F5928"/>
    <w:rsid w:val="003F728C"/>
    <w:rsid w:val="0040054C"/>
    <w:rsid w:val="00403960"/>
    <w:rsid w:val="00404C58"/>
    <w:rsid w:val="00406767"/>
    <w:rsid w:val="0040731C"/>
    <w:rsid w:val="00407AC9"/>
    <w:rsid w:val="00412279"/>
    <w:rsid w:val="00413723"/>
    <w:rsid w:val="00414184"/>
    <w:rsid w:val="00415EB4"/>
    <w:rsid w:val="0041602D"/>
    <w:rsid w:val="00417E7A"/>
    <w:rsid w:val="00420BDF"/>
    <w:rsid w:val="004227E2"/>
    <w:rsid w:val="00426188"/>
    <w:rsid w:val="0042715D"/>
    <w:rsid w:val="0042751A"/>
    <w:rsid w:val="004276C3"/>
    <w:rsid w:val="004278B2"/>
    <w:rsid w:val="00430A72"/>
    <w:rsid w:val="00430E8A"/>
    <w:rsid w:val="00431514"/>
    <w:rsid w:val="00434453"/>
    <w:rsid w:val="00435721"/>
    <w:rsid w:val="004361D0"/>
    <w:rsid w:val="0043687E"/>
    <w:rsid w:val="00437039"/>
    <w:rsid w:val="00437584"/>
    <w:rsid w:val="0044148A"/>
    <w:rsid w:val="0044257B"/>
    <w:rsid w:val="004426B3"/>
    <w:rsid w:val="00443326"/>
    <w:rsid w:val="00443ABC"/>
    <w:rsid w:val="0044447E"/>
    <w:rsid w:val="00445D34"/>
    <w:rsid w:val="004471B4"/>
    <w:rsid w:val="00447811"/>
    <w:rsid w:val="00451BE6"/>
    <w:rsid w:val="0045247E"/>
    <w:rsid w:val="004529C9"/>
    <w:rsid w:val="00452C75"/>
    <w:rsid w:val="00452E71"/>
    <w:rsid w:val="00453D68"/>
    <w:rsid w:val="00454B5E"/>
    <w:rsid w:val="00456D50"/>
    <w:rsid w:val="0045780F"/>
    <w:rsid w:val="0046518C"/>
    <w:rsid w:val="004735ED"/>
    <w:rsid w:val="004747B0"/>
    <w:rsid w:val="00476759"/>
    <w:rsid w:val="00476BAA"/>
    <w:rsid w:val="00476EE4"/>
    <w:rsid w:val="004803B4"/>
    <w:rsid w:val="004806FB"/>
    <w:rsid w:val="0048079D"/>
    <w:rsid w:val="00480A13"/>
    <w:rsid w:val="00481154"/>
    <w:rsid w:val="004824A0"/>
    <w:rsid w:val="00483535"/>
    <w:rsid w:val="00485627"/>
    <w:rsid w:val="004874F9"/>
    <w:rsid w:val="0049007A"/>
    <w:rsid w:val="004927AC"/>
    <w:rsid w:val="004928B3"/>
    <w:rsid w:val="00495C98"/>
    <w:rsid w:val="00496D5C"/>
    <w:rsid w:val="004974E6"/>
    <w:rsid w:val="004A280B"/>
    <w:rsid w:val="004A2A91"/>
    <w:rsid w:val="004A3839"/>
    <w:rsid w:val="004A3DF6"/>
    <w:rsid w:val="004A4224"/>
    <w:rsid w:val="004A547A"/>
    <w:rsid w:val="004A580C"/>
    <w:rsid w:val="004A5A39"/>
    <w:rsid w:val="004A6C4F"/>
    <w:rsid w:val="004A7356"/>
    <w:rsid w:val="004A7420"/>
    <w:rsid w:val="004B0AA1"/>
    <w:rsid w:val="004B2C17"/>
    <w:rsid w:val="004B2FE8"/>
    <w:rsid w:val="004B56DD"/>
    <w:rsid w:val="004B7139"/>
    <w:rsid w:val="004C0297"/>
    <w:rsid w:val="004C13CE"/>
    <w:rsid w:val="004C15C7"/>
    <w:rsid w:val="004C2607"/>
    <w:rsid w:val="004C26AE"/>
    <w:rsid w:val="004C45E6"/>
    <w:rsid w:val="004C6E19"/>
    <w:rsid w:val="004C7F9D"/>
    <w:rsid w:val="004D0365"/>
    <w:rsid w:val="004D1741"/>
    <w:rsid w:val="004D3860"/>
    <w:rsid w:val="004D46FC"/>
    <w:rsid w:val="004D4768"/>
    <w:rsid w:val="004D5059"/>
    <w:rsid w:val="004D67CA"/>
    <w:rsid w:val="004D7C15"/>
    <w:rsid w:val="004E11F1"/>
    <w:rsid w:val="004E3BF6"/>
    <w:rsid w:val="004E3D36"/>
    <w:rsid w:val="004E7D5B"/>
    <w:rsid w:val="004E7EBD"/>
    <w:rsid w:val="004F0D9C"/>
    <w:rsid w:val="004F13CE"/>
    <w:rsid w:val="004F141F"/>
    <w:rsid w:val="004F18B0"/>
    <w:rsid w:val="004F2DF2"/>
    <w:rsid w:val="004F3A73"/>
    <w:rsid w:val="004F3F0A"/>
    <w:rsid w:val="004F4675"/>
    <w:rsid w:val="004F5AA0"/>
    <w:rsid w:val="004F5AC7"/>
    <w:rsid w:val="00500AF0"/>
    <w:rsid w:val="005010DF"/>
    <w:rsid w:val="00502F48"/>
    <w:rsid w:val="005030BA"/>
    <w:rsid w:val="005037A8"/>
    <w:rsid w:val="0050386D"/>
    <w:rsid w:val="005040A4"/>
    <w:rsid w:val="00506A62"/>
    <w:rsid w:val="005103CA"/>
    <w:rsid w:val="00511717"/>
    <w:rsid w:val="00511B41"/>
    <w:rsid w:val="00513A16"/>
    <w:rsid w:val="0051434B"/>
    <w:rsid w:val="00514CCD"/>
    <w:rsid w:val="00514D91"/>
    <w:rsid w:val="005158F7"/>
    <w:rsid w:val="0052004C"/>
    <w:rsid w:val="005232B5"/>
    <w:rsid w:val="00531DC8"/>
    <w:rsid w:val="00531E75"/>
    <w:rsid w:val="00532249"/>
    <w:rsid w:val="00532EB6"/>
    <w:rsid w:val="00533070"/>
    <w:rsid w:val="00533792"/>
    <w:rsid w:val="00534193"/>
    <w:rsid w:val="005351A9"/>
    <w:rsid w:val="00536A1D"/>
    <w:rsid w:val="005406CD"/>
    <w:rsid w:val="00540777"/>
    <w:rsid w:val="00540E5C"/>
    <w:rsid w:val="005417F5"/>
    <w:rsid w:val="00543CFE"/>
    <w:rsid w:val="00544454"/>
    <w:rsid w:val="00544F10"/>
    <w:rsid w:val="00551200"/>
    <w:rsid w:val="00551D68"/>
    <w:rsid w:val="00552414"/>
    <w:rsid w:val="005543D6"/>
    <w:rsid w:val="00555991"/>
    <w:rsid w:val="00557608"/>
    <w:rsid w:val="0056343A"/>
    <w:rsid w:val="00565EB0"/>
    <w:rsid w:val="005665E6"/>
    <w:rsid w:val="00567E29"/>
    <w:rsid w:val="00571807"/>
    <w:rsid w:val="00572AC1"/>
    <w:rsid w:val="00580193"/>
    <w:rsid w:val="00580D62"/>
    <w:rsid w:val="00582809"/>
    <w:rsid w:val="005843BA"/>
    <w:rsid w:val="00584C46"/>
    <w:rsid w:val="00591626"/>
    <w:rsid w:val="00591AE1"/>
    <w:rsid w:val="00591B70"/>
    <w:rsid w:val="005925F0"/>
    <w:rsid w:val="005926A8"/>
    <w:rsid w:val="00592D39"/>
    <w:rsid w:val="005957BD"/>
    <w:rsid w:val="005972F8"/>
    <w:rsid w:val="00597BBE"/>
    <w:rsid w:val="00597BCE"/>
    <w:rsid w:val="005A11DA"/>
    <w:rsid w:val="005A1A45"/>
    <w:rsid w:val="005A25B3"/>
    <w:rsid w:val="005A28A5"/>
    <w:rsid w:val="005A324D"/>
    <w:rsid w:val="005A3768"/>
    <w:rsid w:val="005A4A21"/>
    <w:rsid w:val="005A6536"/>
    <w:rsid w:val="005A7A6F"/>
    <w:rsid w:val="005A7BD8"/>
    <w:rsid w:val="005B0C49"/>
    <w:rsid w:val="005B29C2"/>
    <w:rsid w:val="005B2DA0"/>
    <w:rsid w:val="005B61CF"/>
    <w:rsid w:val="005B6D0F"/>
    <w:rsid w:val="005C095E"/>
    <w:rsid w:val="005C19F3"/>
    <w:rsid w:val="005C2072"/>
    <w:rsid w:val="005C2E87"/>
    <w:rsid w:val="005C3A96"/>
    <w:rsid w:val="005C3C65"/>
    <w:rsid w:val="005C3F60"/>
    <w:rsid w:val="005C453A"/>
    <w:rsid w:val="005C4A4D"/>
    <w:rsid w:val="005C4B69"/>
    <w:rsid w:val="005C4FE0"/>
    <w:rsid w:val="005C64DC"/>
    <w:rsid w:val="005D123F"/>
    <w:rsid w:val="005D2640"/>
    <w:rsid w:val="005D2CAA"/>
    <w:rsid w:val="005D3A94"/>
    <w:rsid w:val="005D3E35"/>
    <w:rsid w:val="005D458F"/>
    <w:rsid w:val="005D4A55"/>
    <w:rsid w:val="005D63F8"/>
    <w:rsid w:val="005E2BFD"/>
    <w:rsid w:val="005E37D3"/>
    <w:rsid w:val="005E5664"/>
    <w:rsid w:val="005E73FC"/>
    <w:rsid w:val="005E74C1"/>
    <w:rsid w:val="005F0389"/>
    <w:rsid w:val="005F202B"/>
    <w:rsid w:val="005F39FE"/>
    <w:rsid w:val="005F3FD9"/>
    <w:rsid w:val="005F400F"/>
    <w:rsid w:val="005F4912"/>
    <w:rsid w:val="005F495B"/>
    <w:rsid w:val="005F5F81"/>
    <w:rsid w:val="005F71D8"/>
    <w:rsid w:val="006020AC"/>
    <w:rsid w:val="00603FAF"/>
    <w:rsid w:val="006051F1"/>
    <w:rsid w:val="00605D2D"/>
    <w:rsid w:val="0060753B"/>
    <w:rsid w:val="00607E72"/>
    <w:rsid w:val="006104BE"/>
    <w:rsid w:val="0061109D"/>
    <w:rsid w:val="0061170D"/>
    <w:rsid w:val="0061213A"/>
    <w:rsid w:val="00612C38"/>
    <w:rsid w:val="00614117"/>
    <w:rsid w:val="0061577C"/>
    <w:rsid w:val="0061790A"/>
    <w:rsid w:val="006215B0"/>
    <w:rsid w:val="00622E4F"/>
    <w:rsid w:val="00623E4D"/>
    <w:rsid w:val="00624A3B"/>
    <w:rsid w:val="00624EED"/>
    <w:rsid w:val="00627CFF"/>
    <w:rsid w:val="0063284A"/>
    <w:rsid w:val="00632FC0"/>
    <w:rsid w:val="0063368E"/>
    <w:rsid w:val="00634409"/>
    <w:rsid w:val="00635A8D"/>
    <w:rsid w:val="0063749B"/>
    <w:rsid w:val="006412AD"/>
    <w:rsid w:val="006418CE"/>
    <w:rsid w:val="00641D68"/>
    <w:rsid w:val="00643C67"/>
    <w:rsid w:val="006443BD"/>
    <w:rsid w:val="00644EB7"/>
    <w:rsid w:val="00645519"/>
    <w:rsid w:val="0064786A"/>
    <w:rsid w:val="00647D1B"/>
    <w:rsid w:val="00647D57"/>
    <w:rsid w:val="006518EF"/>
    <w:rsid w:val="00652139"/>
    <w:rsid w:val="00654F59"/>
    <w:rsid w:val="006554DE"/>
    <w:rsid w:val="006559EA"/>
    <w:rsid w:val="00656C18"/>
    <w:rsid w:val="006575F6"/>
    <w:rsid w:val="006605FA"/>
    <w:rsid w:val="006608A2"/>
    <w:rsid w:val="00662A24"/>
    <w:rsid w:val="006659B5"/>
    <w:rsid w:val="00666934"/>
    <w:rsid w:val="00666D59"/>
    <w:rsid w:val="00670710"/>
    <w:rsid w:val="006730AE"/>
    <w:rsid w:val="0067389E"/>
    <w:rsid w:val="0067424D"/>
    <w:rsid w:val="00674EDE"/>
    <w:rsid w:val="00675265"/>
    <w:rsid w:val="006752B2"/>
    <w:rsid w:val="0067565F"/>
    <w:rsid w:val="00677093"/>
    <w:rsid w:val="0067761D"/>
    <w:rsid w:val="00677D3E"/>
    <w:rsid w:val="00682163"/>
    <w:rsid w:val="00682330"/>
    <w:rsid w:val="00683340"/>
    <w:rsid w:val="0068369E"/>
    <w:rsid w:val="00683E3F"/>
    <w:rsid w:val="0068462E"/>
    <w:rsid w:val="0068527C"/>
    <w:rsid w:val="00686EB4"/>
    <w:rsid w:val="006872F1"/>
    <w:rsid w:val="006912F0"/>
    <w:rsid w:val="00694B09"/>
    <w:rsid w:val="006967EC"/>
    <w:rsid w:val="00696811"/>
    <w:rsid w:val="006972EC"/>
    <w:rsid w:val="006A00BF"/>
    <w:rsid w:val="006A1B5A"/>
    <w:rsid w:val="006A2A84"/>
    <w:rsid w:val="006A320A"/>
    <w:rsid w:val="006A3213"/>
    <w:rsid w:val="006A321D"/>
    <w:rsid w:val="006A33BE"/>
    <w:rsid w:val="006A3FE4"/>
    <w:rsid w:val="006A4C93"/>
    <w:rsid w:val="006A5E04"/>
    <w:rsid w:val="006A685D"/>
    <w:rsid w:val="006A6A62"/>
    <w:rsid w:val="006B22D2"/>
    <w:rsid w:val="006B417A"/>
    <w:rsid w:val="006B4693"/>
    <w:rsid w:val="006B51B1"/>
    <w:rsid w:val="006B74E6"/>
    <w:rsid w:val="006C1075"/>
    <w:rsid w:val="006C2836"/>
    <w:rsid w:val="006C5162"/>
    <w:rsid w:val="006D00AF"/>
    <w:rsid w:val="006D02CA"/>
    <w:rsid w:val="006D34F7"/>
    <w:rsid w:val="006D3501"/>
    <w:rsid w:val="006D516E"/>
    <w:rsid w:val="006D58B7"/>
    <w:rsid w:val="006D62E6"/>
    <w:rsid w:val="006E175B"/>
    <w:rsid w:val="006E259F"/>
    <w:rsid w:val="006E5E4F"/>
    <w:rsid w:val="006E6BEC"/>
    <w:rsid w:val="006E6D61"/>
    <w:rsid w:val="006F0CD0"/>
    <w:rsid w:val="006F168C"/>
    <w:rsid w:val="006F1F59"/>
    <w:rsid w:val="006F585C"/>
    <w:rsid w:val="006F5E1D"/>
    <w:rsid w:val="00700D76"/>
    <w:rsid w:val="00701B47"/>
    <w:rsid w:val="00707DED"/>
    <w:rsid w:val="00710117"/>
    <w:rsid w:val="007126EB"/>
    <w:rsid w:val="00713172"/>
    <w:rsid w:val="0071443D"/>
    <w:rsid w:val="00714D32"/>
    <w:rsid w:val="007172E6"/>
    <w:rsid w:val="00717D8E"/>
    <w:rsid w:val="00720199"/>
    <w:rsid w:val="00723507"/>
    <w:rsid w:val="007235F1"/>
    <w:rsid w:val="0072367E"/>
    <w:rsid w:val="00723F98"/>
    <w:rsid w:val="00724BAD"/>
    <w:rsid w:val="00724DB8"/>
    <w:rsid w:val="0073083C"/>
    <w:rsid w:val="00730851"/>
    <w:rsid w:val="00732F2A"/>
    <w:rsid w:val="007345E1"/>
    <w:rsid w:val="0073510D"/>
    <w:rsid w:val="00735D61"/>
    <w:rsid w:val="00740AAB"/>
    <w:rsid w:val="00741F1D"/>
    <w:rsid w:val="0074217A"/>
    <w:rsid w:val="00743C91"/>
    <w:rsid w:val="0074405F"/>
    <w:rsid w:val="00744B54"/>
    <w:rsid w:val="00745391"/>
    <w:rsid w:val="0074564A"/>
    <w:rsid w:val="00745F89"/>
    <w:rsid w:val="00746B0A"/>
    <w:rsid w:val="0074757A"/>
    <w:rsid w:val="00747FB2"/>
    <w:rsid w:val="00750BF9"/>
    <w:rsid w:val="00753183"/>
    <w:rsid w:val="00754B41"/>
    <w:rsid w:val="0075513A"/>
    <w:rsid w:val="007563B8"/>
    <w:rsid w:val="0075716C"/>
    <w:rsid w:val="00761BD3"/>
    <w:rsid w:val="00762273"/>
    <w:rsid w:val="007625EC"/>
    <w:rsid w:val="007647A4"/>
    <w:rsid w:val="00765873"/>
    <w:rsid w:val="0076636C"/>
    <w:rsid w:val="0076759A"/>
    <w:rsid w:val="00770194"/>
    <w:rsid w:val="007716BD"/>
    <w:rsid w:val="0077211A"/>
    <w:rsid w:val="007727BF"/>
    <w:rsid w:val="00775836"/>
    <w:rsid w:val="00776A9B"/>
    <w:rsid w:val="00777A7A"/>
    <w:rsid w:val="00780CF6"/>
    <w:rsid w:val="00781EE6"/>
    <w:rsid w:val="00783910"/>
    <w:rsid w:val="00783F17"/>
    <w:rsid w:val="00784084"/>
    <w:rsid w:val="00785B97"/>
    <w:rsid w:val="00786533"/>
    <w:rsid w:val="00791647"/>
    <w:rsid w:val="00792B81"/>
    <w:rsid w:val="00792DC5"/>
    <w:rsid w:val="00793330"/>
    <w:rsid w:val="00793492"/>
    <w:rsid w:val="00794D7C"/>
    <w:rsid w:val="007954FE"/>
    <w:rsid w:val="0079622C"/>
    <w:rsid w:val="00796864"/>
    <w:rsid w:val="00797071"/>
    <w:rsid w:val="007A0F27"/>
    <w:rsid w:val="007A3CC8"/>
    <w:rsid w:val="007A606C"/>
    <w:rsid w:val="007A7DEA"/>
    <w:rsid w:val="007B2B98"/>
    <w:rsid w:val="007B6F3F"/>
    <w:rsid w:val="007C0C7F"/>
    <w:rsid w:val="007C38ED"/>
    <w:rsid w:val="007C392A"/>
    <w:rsid w:val="007C3D96"/>
    <w:rsid w:val="007C607B"/>
    <w:rsid w:val="007C6309"/>
    <w:rsid w:val="007C722B"/>
    <w:rsid w:val="007D0E29"/>
    <w:rsid w:val="007D2C57"/>
    <w:rsid w:val="007D2D9C"/>
    <w:rsid w:val="007D6037"/>
    <w:rsid w:val="007D6BDF"/>
    <w:rsid w:val="007D7172"/>
    <w:rsid w:val="007D723A"/>
    <w:rsid w:val="007D7965"/>
    <w:rsid w:val="007E19FE"/>
    <w:rsid w:val="007E2187"/>
    <w:rsid w:val="007E234C"/>
    <w:rsid w:val="007E2779"/>
    <w:rsid w:val="007E44A0"/>
    <w:rsid w:val="007E4ABE"/>
    <w:rsid w:val="007E548F"/>
    <w:rsid w:val="007E5C84"/>
    <w:rsid w:val="007E7855"/>
    <w:rsid w:val="007F15C8"/>
    <w:rsid w:val="007F2F40"/>
    <w:rsid w:val="007F4171"/>
    <w:rsid w:val="007F5373"/>
    <w:rsid w:val="007F5E3A"/>
    <w:rsid w:val="007F63C9"/>
    <w:rsid w:val="007F6509"/>
    <w:rsid w:val="007F692E"/>
    <w:rsid w:val="00800363"/>
    <w:rsid w:val="0080060B"/>
    <w:rsid w:val="00800C66"/>
    <w:rsid w:val="00804328"/>
    <w:rsid w:val="00804AD0"/>
    <w:rsid w:val="00804BF4"/>
    <w:rsid w:val="00804E29"/>
    <w:rsid w:val="00805016"/>
    <w:rsid w:val="00806116"/>
    <w:rsid w:val="00806617"/>
    <w:rsid w:val="0081036D"/>
    <w:rsid w:val="0081218E"/>
    <w:rsid w:val="00814011"/>
    <w:rsid w:val="00817328"/>
    <w:rsid w:val="00817952"/>
    <w:rsid w:val="00821325"/>
    <w:rsid w:val="00821523"/>
    <w:rsid w:val="008215B5"/>
    <w:rsid w:val="008248EC"/>
    <w:rsid w:val="0082543C"/>
    <w:rsid w:val="00825AF5"/>
    <w:rsid w:val="00826167"/>
    <w:rsid w:val="0082636C"/>
    <w:rsid w:val="008269AE"/>
    <w:rsid w:val="008309AE"/>
    <w:rsid w:val="00832293"/>
    <w:rsid w:val="00833D5F"/>
    <w:rsid w:val="00840752"/>
    <w:rsid w:val="00840BEE"/>
    <w:rsid w:val="00842929"/>
    <w:rsid w:val="00844245"/>
    <w:rsid w:val="008446A4"/>
    <w:rsid w:val="00845AB0"/>
    <w:rsid w:val="008462C7"/>
    <w:rsid w:val="008517D8"/>
    <w:rsid w:val="008538E9"/>
    <w:rsid w:val="00853ED7"/>
    <w:rsid w:val="0085514E"/>
    <w:rsid w:val="008557D9"/>
    <w:rsid w:val="008567B5"/>
    <w:rsid w:val="00857F95"/>
    <w:rsid w:val="008604F7"/>
    <w:rsid w:val="00860DD2"/>
    <w:rsid w:val="00861897"/>
    <w:rsid w:val="00863852"/>
    <w:rsid w:val="008641B4"/>
    <w:rsid w:val="0086570D"/>
    <w:rsid w:val="00865A28"/>
    <w:rsid w:val="00866342"/>
    <w:rsid w:val="0087057A"/>
    <w:rsid w:val="00873B93"/>
    <w:rsid w:val="00874ECC"/>
    <w:rsid w:val="00875BDA"/>
    <w:rsid w:val="00875E4F"/>
    <w:rsid w:val="00876221"/>
    <w:rsid w:val="00876604"/>
    <w:rsid w:val="00877B1D"/>
    <w:rsid w:val="0088197D"/>
    <w:rsid w:val="00882773"/>
    <w:rsid w:val="00883BBA"/>
    <w:rsid w:val="00887DCD"/>
    <w:rsid w:val="00891804"/>
    <w:rsid w:val="00892B84"/>
    <w:rsid w:val="0089745B"/>
    <w:rsid w:val="008A021B"/>
    <w:rsid w:val="008A2101"/>
    <w:rsid w:val="008A2420"/>
    <w:rsid w:val="008A2C18"/>
    <w:rsid w:val="008A7461"/>
    <w:rsid w:val="008A7A1A"/>
    <w:rsid w:val="008B0C17"/>
    <w:rsid w:val="008B1812"/>
    <w:rsid w:val="008B34BE"/>
    <w:rsid w:val="008B51CD"/>
    <w:rsid w:val="008B5E95"/>
    <w:rsid w:val="008B75EC"/>
    <w:rsid w:val="008C0309"/>
    <w:rsid w:val="008C055A"/>
    <w:rsid w:val="008C2473"/>
    <w:rsid w:val="008C491F"/>
    <w:rsid w:val="008C5523"/>
    <w:rsid w:val="008C5F5B"/>
    <w:rsid w:val="008C609A"/>
    <w:rsid w:val="008C689A"/>
    <w:rsid w:val="008C701B"/>
    <w:rsid w:val="008C74CB"/>
    <w:rsid w:val="008D154D"/>
    <w:rsid w:val="008D1A91"/>
    <w:rsid w:val="008D5E4B"/>
    <w:rsid w:val="008E1763"/>
    <w:rsid w:val="008E1D8F"/>
    <w:rsid w:val="008E37D6"/>
    <w:rsid w:val="008E4271"/>
    <w:rsid w:val="008E6330"/>
    <w:rsid w:val="008E69B3"/>
    <w:rsid w:val="008F137F"/>
    <w:rsid w:val="008F1C48"/>
    <w:rsid w:val="008F35A7"/>
    <w:rsid w:val="008F4BF9"/>
    <w:rsid w:val="008F4F42"/>
    <w:rsid w:val="008F519D"/>
    <w:rsid w:val="008F5376"/>
    <w:rsid w:val="008F791B"/>
    <w:rsid w:val="00902433"/>
    <w:rsid w:val="00902C59"/>
    <w:rsid w:val="00903C29"/>
    <w:rsid w:val="00905380"/>
    <w:rsid w:val="00905AD6"/>
    <w:rsid w:val="00905ECE"/>
    <w:rsid w:val="009076BB"/>
    <w:rsid w:val="00907EB6"/>
    <w:rsid w:val="009133D0"/>
    <w:rsid w:val="0091575D"/>
    <w:rsid w:val="00917117"/>
    <w:rsid w:val="00923671"/>
    <w:rsid w:val="00926B48"/>
    <w:rsid w:val="00927BAE"/>
    <w:rsid w:val="00931215"/>
    <w:rsid w:val="009316DD"/>
    <w:rsid w:val="00931E37"/>
    <w:rsid w:val="00932FCA"/>
    <w:rsid w:val="009334D4"/>
    <w:rsid w:val="00935A30"/>
    <w:rsid w:val="00935CDE"/>
    <w:rsid w:val="00935E80"/>
    <w:rsid w:val="009368F7"/>
    <w:rsid w:val="00936ED6"/>
    <w:rsid w:val="00940008"/>
    <w:rsid w:val="009415FA"/>
    <w:rsid w:val="00941F3B"/>
    <w:rsid w:val="00942F5A"/>
    <w:rsid w:val="009442ED"/>
    <w:rsid w:val="00944C94"/>
    <w:rsid w:val="00945293"/>
    <w:rsid w:val="009455EF"/>
    <w:rsid w:val="009469A4"/>
    <w:rsid w:val="009472FC"/>
    <w:rsid w:val="009531E9"/>
    <w:rsid w:val="009621A4"/>
    <w:rsid w:val="00963566"/>
    <w:rsid w:val="009638E5"/>
    <w:rsid w:val="0096787F"/>
    <w:rsid w:val="00970181"/>
    <w:rsid w:val="00970319"/>
    <w:rsid w:val="00970348"/>
    <w:rsid w:val="009710E5"/>
    <w:rsid w:val="00971D1D"/>
    <w:rsid w:val="0097217B"/>
    <w:rsid w:val="00974946"/>
    <w:rsid w:val="00974C3C"/>
    <w:rsid w:val="009754BB"/>
    <w:rsid w:val="00976DF4"/>
    <w:rsid w:val="00977870"/>
    <w:rsid w:val="00981AB4"/>
    <w:rsid w:val="00981B6C"/>
    <w:rsid w:val="009841B7"/>
    <w:rsid w:val="0098654C"/>
    <w:rsid w:val="00986C74"/>
    <w:rsid w:val="009902FD"/>
    <w:rsid w:val="00992492"/>
    <w:rsid w:val="00992C80"/>
    <w:rsid w:val="0099452C"/>
    <w:rsid w:val="00994A42"/>
    <w:rsid w:val="009A3153"/>
    <w:rsid w:val="009A4717"/>
    <w:rsid w:val="009A5917"/>
    <w:rsid w:val="009A63B8"/>
    <w:rsid w:val="009A76CF"/>
    <w:rsid w:val="009B07FF"/>
    <w:rsid w:val="009B18C6"/>
    <w:rsid w:val="009B1A58"/>
    <w:rsid w:val="009B1B96"/>
    <w:rsid w:val="009B290E"/>
    <w:rsid w:val="009B2AFD"/>
    <w:rsid w:val="009B353E"/>
    <w:rsid w:val="009B3DF9"/>
    <w:rsid w:val="009B4A3A"/>
    <w:rsid w:val="009B54CE"/>
    <w:rsid w:val="009B6853"/>
    <w:rsid w:val="009B73E8"/>
    <w:rsid w:val="009C2651"/>
    <w:rsid w:val="009C2F6A"/>
    <w:rsid w:val="009C3498"/>
    <w:rsid w:val="009C5240"/>
    <w:rsid w:val="009C58C0"/>
    <w:rsid w:val="009C61B6"/>
    <w:rsid w:val="009C6D19"/>
    <w:rsid w:val="009C7384"/>
    <w:rsid w:val="009C745D"/>
    <w:rsid w:val="009C74E1"/>
    <w:rsid w:val="009C7659"/>
    <w:rsid w:val="009D0F78"/>
    <w:rsid w:val="009D1F43"/>
    <w:rsid w:val="009D3D1B"/>
    <w:rsid w:val="009D431C"/>
    <w:rsid w:val="009D74D3"/>
    <w:rsid w:val="009D7A79"/>
    <w:rsid w:val="009E1484"/>
    <w:rsid w:val="009E218B"/>
    <w:rsid w:val="009E220F"/>
    <w:rsid w:val="009E2A3C"/>
    <w:rsid w:val="009E354D"/>
    <w:rsid w:val="009E57A5"/>
    <w:rsid w:val="009E599C"/>
    <w:rsid w:val="009E6886"/>
    <w:rsid w:val="009F3650"/>
    <w:rsid w:val="009F559E"/>
    <w:rsid w:val="009F7CC5"/>
    <w:rsid w:val="00A0124E"/>
    <w:rsid w:val="00A01CED"/>
    <w:rsid w:val="00A02F67"/>
    <w:rsid w:val="00A04991"/>
    <w:rsid w:val="00A0556F"/>
    <w:rsid w:val="00A05FA0"/>
    <w:rsid w:val="00A06ADC"/>
    <w:rsid w:val="00A123B1"/>
    <w:rsid w:val="00A13E2B"/>
    <w:rsid w:val="00A143EC"/>
    <w:rsid w:val="00A15252"/>
    <w:rsid w:val="00A22B98"/>
    <w:rsid w:val="00A2438C"/>
    <w:rsid w:val="00A26277"/>
    <w:rsid w:val="00A266B5"/>
    <w:rsid w:val="00A27EFE"/>
    <w:rsid w:val="00A302D9"/>
    <w:rsid w:val="00A34BA2"/>
    <w:rsid w:val="00A402A4"/>
    <w:rsid w:val="00A41FAC"/>
    <w:rsid w:val="00A431AD"/>
    <w:rsid w:val="00A4352C"/>
    <w:rsid w:val="00A43859"/>
    <w:rsid w:val="00A43BC5"/>
    <w:rsid w:val="00A4468A"/>
    <w:rsid w:val="00A465BA"/>
    <w:rsid w:val="00A4690E"/>
    <w:rsid w:val="00A47048"/>
    <w:rsid w:val="00A475D8"/>
    <w:rsid w:val="00A47AFD"/>
    <w:rsid w:val="00A505C0"/>
    <w:rsid w:val="00A51E4E"/>
    <w:rsid w:val="00A53220"/>
    <w:rsid w:val="00A538DF"/>
    <w:rsid w:val="00A56824"/>
    <w:rsid w:val="00A6089D"/>
    <w:rsid w:val="00A628C8"/>
    <w:rsid w:val="00A64FBF"/>
    <w:rsid w:val="00A65335"/>
    <w:rsid w:val="00A70027"/>
    <w:rsid w:val="00A70BD0"/>
    <w:rsid w:val="00A72320"/>
    <w:rsid w:val="00A726C2"/>
    <w:rsid w:val="00A755E4"/>
    <w:rsid w:val="00A75731"/>
    <w:rsid w:val="00A80238"/>
    <w:rsid w:val="00A80B47"/>
    <w:rsid w:val="00A83CAE"/>
    <w:rsid w:val="00A8427F"/>
    <w:rsid w:val="00A846D6"/>
    <w:rsid w:val="00A84837"/>
    <w:rsid w:val="00A84F5D"/>
    <w:rsid w:val="00A85976"/>
    <w:rsid w:val="00A85BA4"/>
    <w:rsid w:val="00A86345"/>
    <w:rsid w:val="00A87791"/>
    <w:rsid w:val="00A919CF"/>
    <w:rsid w:val="00A9201D"/>
    <w:rsid w:val="00A93C8E"/>
    <w:rsid w:val="00A96F88"/>
    <w:rsid w:val="00AA0034"/>
    <w:rsid w:val="00AA030F"/>
    <w:rsid w:val="00AA2D89"/>
    <w:rsid w:val="00AA3FB2"/>
    <w:rsid w:val="00AA532B"/>
    <w:rsid w:val="00AB1901"/>
    <w:rsid w:val="00AB2774"/>
    <w:rsid w:val="00AB5059"/>
    <w:rsid w:val="00AB5615"/>
    <w:rsid w:val="00AB6152"/>
    <w:rsid w:val="00AB70EF"/>
    <w:rsid w:val="00AB751F"/>
    <w:rsid w:val="00AC1139"/>
    <w:rsid w:val="00AC1415"/>
    <w:rsid w:val="00AC4F3A"/>
    <w:rsid w:val="00AC61B7"/>
    <w:rsid w:val="00AD0401"/>
    <w:rsid w:val="00AD1168"/>
    <w:rsid w:val="00AD1B50"/>
    <w:rsid w:val="00AE18A4"/>
    <w:rsid w:val="00AE46DF"/>
    <w:rsid w:val="00AE5852"/>
    <w:rsid w:val="00AE6216"/>
    <w:rsid w:val="00AF2106"/>
    <w:rsid w:val="00AF2DD1"/>
    <w:rsid w:val="00AF3A04"/>
    <w:rsid w:val="00AF4117"/>
    <w:rsid w:val="00AF7A2B"/>
    <w:rsid w:val="00B00015"/>
    <w:rsid w:val="00B0031C"/>
    <w:rsid w:val="00B0049F"/>
    <w:rsid w:val="00B0176F"/>
    <w:rsid w:val="00B04C56"/>
    <w:rsid w:val="00B06CCB"/>
    <w:rsid w:val="00B1030A"/>
    <w:rsid w:val="00B105C5"/>
    <w:rsid w:val="00B10EC1"/>
    <w:rsid w:val="00B115EF"/>
    <w:rsid w:val="00B13232"/>
    <w:rsid w:val="00B13ADD"/>
    <w:rsid w:val="00B13D36"/>
    <w:rsid w:val="00B14890"/>
    <w:rsid w:val="00B161BB"/>
    <w:rsid w:val="00B21022"/>
    <w:rsid w:val="00B211C5"/>
    <w:rsid w:val="00B21425"/>
    <w:rsid w:val="00B2450B"/>
    <w:rsid w:val="00B25088"/>
    <w:rsid w:val="00B253CF"/>
    <w:rsid w:val="00B26430"/>
    <w:rsid w:val="00B31E16"/>
    <w:rsid w:val="00B33DF7"/>
    <w:rsid w:val="00B343E1"/>
    <w:rsid w:val="00B35501"/>
    <w:rsid w:val="00B359E6"/>
    <w:rsid w:val="00B362F4"/>
    <w:rsid w:val="00B37451"/>
    <w:rsid w:val="00B40805"/>
    <w:rsid w:val="00B41B2C"/>
    <w:rsid w:val="00B421C5"/>
    <w:rsid w:val="00B42F93"/>
    <w:rsid w:val="00B44C72"/>
    <w:rsid w:val="00B46689"/>
    <w:rsid w:val="00B46F4B"/>
    <w:rsid w:val="00B4785D"/>
    <w:rsid w:val="00B510D7"/>
    <w:rsid w:val="00B51B0A"/>
    <w:rsid w:val="00B51D1B"/>
    <w:rsid w:val="00B51F8F"/>
    <w:rsid w:val="00B53F85"/>
    <w:rsid w:val="00B54F88"/>
    <w:rsid w:val="00B63F06"/>
    <w:rsid w:val="00B64858"/>
    <w:rsid w:val="00B70329"/>
    <w:rsid w:val="00B704B7"/>
    <w:rsid w:val="00B7680F"/>
    <w:rsid w:val="00B77076"/>
    <w:rsid w:val="00B7783F"/>
    <w:rsid w:val="00B81180"/>
    <w:rsid w:val="00B84AA6"/>
    <w:rsid w:val="00B84F7A"/>
    <w:rsid w:val="00B86117"/>
    <w:rsid w:val="00B92122"/>
    <w:rsid w:val="00B92173"/>
    <w:rsid w:val="00B930F9"/>
    <w:rsid w:val="00B94134"/>
    <w:rsid w:val="00B94DE8"/>
    <w:rsid w:val="00B955A9"/>
    <w:rsid w:val="00B96CEF"/>
    <w:rsid w:val="00B9764F"/>
    <w:rsid w:val="00BA0AD6"/>
    <w:rsid w:val="00BA2B6B"/>
    <w:rsid w:val="00BA3079"/>
    <w:rsid w:val="00BA5D99"/>
    <w:rsid w:val="00BA7007"/>
    <w:rsid w:val="00BA7B3B"/>
    <w:rsid w:val="00BB0F2A"/>
    <w:rsid w:val="00BB5A05"/>
    <w:rsid w:val="00BB5FE7"/>
    <w:rsid w:val="00BB643B"/>
    <w:rsid w:val="00BC1DE4"/>
    <w:rsid w:val="00BC2225"/>
    <w:rsid w:val="00BC24CB"/>
    <w:rsid w:val="00BC30D5"/>
    <w:rsid w:val="00BC3EF8"/>
    <w:rsid w:val="00BC6106"/>
    <w:rsid w:val="00BC71AC"/>
    <w:rsid w:val="00BD0077"/>
    <w:rsid w:val="00BD02D6"/>
    <w:rsid w:val="00BD4353"/>
    <w:rsid w:val="00BE04A7"/>
    <w:rsid w:val="00BE273A"/>
    <w:rsid w:val="00BE3508"/>
    <w:rsid w:val="00BE41AD"/>
    <w:rsid w:val="00BE5D6C"/>
    <w:rsid w:val="00BE60C5"/>
    <w:rsid w:val="00BE6778"/>
    <w:rsid w:val="00BE763E"/>
    <w:rsid w:val="00BF171C"/>
    <w:rsid w:val="00BF2E09"/>
    <w:rsid w:val="00BF30B3"/>
    <w:rsid w:val="00BF3B05"/>
    <w:rsid w:val="00BF572A"/>
    <w:rsid w:val="00C002A8"/>
    <w:rsid w:val="00C01080"/>
    <w:rsid w:val="00C0196F"/>
    <w:rsid w:val="00C03E74"/>
    <w:rsid w:val="00C04DDA"/>
    <w:rsid w:val="00C04F30"/>
    <w:rsid w:val="00C05F4A"/>
    <w:rsid w:val="00C0690C"/>
    <w:rsid w:val="00C07364"/>
    <w:rsid w:val="00C116C0"/>
    <w:rsid w:val="00C14D5C"/>
    <w:rsid w:val="00C15C03"/>
    <w:rsid w:val="00C15C70"/>
    <w:rsid w:val="00C162FA"/>
    <w:rsid w:val="00C16E70"/>
    <w:rsid w:val="00C1799A"/>
    <w:rsid w:val="00C22A1E"/>
    <w:rsid w:val="00C23421"/>
    <w:rsid w:val="00C240F4"/>
    <w:rsid w:val="00C24C00"/>
    <w:rsid w:val="00C25BC2"/>
    <w:rsid w:val="00C30D54"/>
    <w:rsid w:val="00C31BB3"/>
    <w:rsid w:val="00C335C7"/>
    <w:rsid w:val="00C35118"/>
    <w:rsid w:val="00C405E8"/>
    <w:rsid w:val="00C414D0"/>
    <w:rsid w:val="00C421AD"/>
    <w:rsid w:val="00C4241C"/>
    <w:rsid w:val="00C4249D"/>
    <w:rsid w:val="00C42894"/>
    <w:rsid w:val="00C42F1C"/>
    <w:rsid w:val="00C430C5"/>
    <w:rsid w:val="00C446F1"/>
    <w:rsid w:val="00C45B55"/>
    <w:rsid w:val="00C45E8C"/>
    <w:rsid w:val="00C47A0C"/>
    <w:rsid w:val="00C50640"/>
    <w:rsid w:val="00C512E5"/>
    <w:rsid w:val="00C51914"/>
    <w:rsid w:val="00C52774"/>
    <w:rsid w:val="00C5349B"/>
    <w:rsid w:val="00C55757"/>
    <w:rsid w:val="00C577C4"/>
    <w:rsid w:val="00C61892"/>
    <w:rsid w:val="00C6363B"/>
    <w:rsid w:val="00C6514C"/>
    <w:rsid w:val="00C6553F"/>
    <w:rsid w:val="00C66908"/>
    <w:rsid w:val="00C67250"/>
    <w:rsid w:val="00C67DF9"/>
    <w:rsid w:val="00C702CC"/>
    <w:rsid w:val="00C71A2A"/>
    <w:rsid w:val="00C723AD"/>
    <w:rsid w:val="00C73062"/>
    <w:rsid w:val="00C753C9"/>
    <w:rsid w:val="00C76256"/>
    <w:rsid w:val="00C800BC"/>
    <w:rsid w:val="00C80497"/>
    <w:rsid w:val="00C804DB"/>
    <w:rsid w:val="00C876C1"/>
    <w:rsid w:val="00C8793C"/>
    <w:rsid w:val="00C9024D"/>
    <w:rsid w:val="00C91302"/>
    <w:rsid w:val="00C91E0D"/>
    <w:rsid w:val="00C91F7E"/>
    <w:rsid w:val="00C928B2"/>
    <w:rsid w:val="00C92B7C"/>
    <w:rsid w:val="00C93008"/>
    <w:rsid w:val="00C935DE"/>
    <w:rsid w:val="00C9521C"/>
    <w:rsid w:val="00C97949"/>
    <w:rsid w:val="00CA3DC1"/>
    <w:rsid w:val="00CA64C4"/>
    <w:rsid w:val="00CB0D17"/>
    <w:rsid w:val="00CB1A18"/>
    <w:rsid w:val="00CB59FF"/>
    <w:rsid w:val="00CB6B02"/>
    <w:rsid w:val="00CB7AB2"/>
    <w:rsid w:val="00CB7D14"/>
    <w:rsid w:val="00CC09C0"/>
    <w:rsid w:val="00CC26D7"/>
    <w:rsid w:val="00CC3AF9"/>
    <w:rsid w:val="00CC5028"/>
    <w:rsid w:val="00CC5F02"/>
    <w:rsid w:val="00CC6ED5"/>
    <w:rsid w:val="00CC77E0"/>
    <w:rsid w:val="00CD0EDA"/>
    <w:rsid w:val="00CD1A05"/>
    <w:rsid w:val="00CD1C2A"/>
    <w:rsid w:val="00CD2741"/>
    <w:rsid w:val="00CD3901"/>
    <w:rsid w:val="00CD4C60"/>
    <w:rsid w:val="00CD5303"/>
    <w:rsid w:val="00CD56D4"/>
    <w:rsid w:val="00CD5CF9"/>
    <w:rsid w:val="00CD5DA9"/>
    <w:rsid w:val="00CD6930"/>
    <w:rsid w:val="00CE0053"/>
    <w:rsid w:val="00CE231E"/>
    <w:rsid w:val="00CE2AFA"/>
    <w:rsid w:val="00CE3246"/>
    <w:rsid w:val="00CE7834"/>
    <w:rsid w:val="00CE78B3"/>
    <w:rsid w:val="00CE7AB5"/>
    <w:rsid w:val="00CF0B4E"/>
    <w:rsid w:val="00CF0C79"/>
    <w:rsid w:val="00CF1800"/>
    <w:rsid w:val="00CF18A9"/>
    <w:rsid w:val="00CF1E43"/>
    <w:rsid w:val="00CF2959"/>
    <w:rsid w:val="00CF356C"/>
    <w:rsid w:val="00CF4F4A"/>
    <w:rsid w:val="00CF5DCF"/>
    <w:rsid w:val="00CF5EC8"/>
    <w:rsid w:val="00CF621B"/>
    <w:rsid w:val="00CF6BA3"/>
    <w:rsid w:val="00D00F12"/>
    <w:rsid w:val="00D021E9"/>
    <w:rsid w:val="00D02932"/>
    <w:rsid w:val="00D03EC7"/>
    <w:rsid w:val="00D04383"/>
    <w:rsid w:val="00D04F90"/>
    <w:rsid w:val="00D063F0"/>
    <w:rsid w:val="00D07AA7"/>
    <w:rsid w:val="00D103DE"/>
    <w:rsid w:val="00D104A8"/>
    <w:rsid w:val="00D11907"/>
    <w:rsid w:val="00D11EDE"/>
    <w:rsid w:val="00D12C8F"/>
    <w:rsid w:val="00D13227"/>
    <w:rsid w:val="00D14CA6"/>
    <w:rsid w:val="00D22CFB"/>
    <w:rsid w:val="00D25A6E"/>
    <w:rsid w:val="00D27C9D"/>
    <w:rsid w:val="00D27F0B"/>
    <w:rsid w:val="00D30247"/>
    <w:rsid w:val="00D3043D"/>
    <w:rsid w:val="00D33621"/>
    <w:rsid w:val="00D33625"/>
    <w:rsid w:val="00D34A8D"/>
    <w:rsid w:val="00D34D3B"/>
    <w:rsid w:val="00D368A8"/>
    <w:rsid w:val="00D36951"/>
    <w:rsid w:val="00D36C89"/>
    <w:rsid w:val="00D40C5B"/>
    <w:rsid w:val="00D4223C"/>
    <w:rsid w:val="00D432A4"/>
    <w:rsid w:val="00D45193"/>
    <w:rsid w:val="00D469B2"/>
    <w:rsid w:val="00D50234"/>
    <w:rsid w:val="00D5103B"/>
    <w:rsid w:val="00D51C38"/>
    <w:rsid w:val="00D52D89"/>
    <w:rsid w:val="00D54261"/>
    <w:rsid w:val="00D547CA"/>
    <w:rsid w:val="00D54BF5"/>
    <w:rsid w:val="00D550A6"/>
    <w:rsid w:val="00D57B52"/>
    <w:rsid w:val="00D621E5"/>
    <w:rsid w:val="00D635AA"/>
    <w:rsid w:val="00D63A70"/>
    <w:rsid w:val="00D640BA"/>
    <w:rsid w:val="00D647D5"/>
    <w:rsid w:val="00D6641A"/>
    <w:rsid w:val="00D70B4E"/>
    <w:rsid w:val="00D746C9"/>
    <w:rsid w:val="00D75F75"/>
    <w:rsid w:val="00D770DD"/>
    <w:rsid w:val="00D77707"/>
    <w:rsid w:val="00D8266B"/>
    <w:rsid w:val="00D83D50"/>
    <w:rsid w:val="00D8406C"/>
    <w:rsid w:val="00D84EC6"/>
    <w:rsid w:val="00D86FD6"/>
    <w:rsid w:val="00D87001"/>
    <w:rsid w:val="00D8734E"/>
    <w:rsid w:val="00D907F5"/>
    <w:rsid w:val="00D91DBB"/>
    <w:rsid w:val="00D92E9F"/>
    <w:rsid w:val="00D9456E"/>
    <w:rsid w:val="00D965ED"/>
    <w:rsid w:val="00D97988"/>
    <w:rsid w:val="00DA0061"/>
    <w:rsid w:val="00DA0E34"/>
    <w:rsid w:val="00DA18FA"/>
    <w:rsid w:val="00DA1C70"/>
    <w:rsid w:val="00DA1F66"/>
    <w:rsid w:val="00DA37E9"/>
    <w:rsid w:val="00DA58D1"/>
    <w:rsid w:val="00DA7747"/>
    <w:rsid w:val="00DB02A5"/>
    <w:rsid w:val="00DB0DFC"/>
    <w:rsid w:val="00DB244A"/>
    <w:rsid w:val="00DB27FC"/>
    <w:rsid w:val="00DB33E4"/>
    <w:rsid w:val="00DB4EC2"/>
    <w:rsid w:val="00DB529C"/>
    <w:rsid w:val="00DB6686"/>
    <w:rsid w:val="00DB6F34"/>
    <w:rsid w:val="00DB741D"/>
    <w:rsid w:val="00DB76F3"/>
    <w:rsid w:val="00DC1127"/>
    <w:rsid w:val="00DC189F"/>
    <w:rsid w:val="00DC1917"/>
    <w:rsid w:val="00DC44B2"/>
    <w:rsid w:val="00DC5985"/>
    <w:rsid w:val="00DC621A"/>
    <w:rsid w:val="00DC7A6F"/>
    <w:rsid w:val="00DD14F6"/>
    <w:rsid w:val="00DD2270"/>
    <w:rsid w:val="00DD2C10"/>
    <w:rsid w:val="00DD3410"/>
    <w:rsid w:val="00DD3610"/>
    <w:rsid w:val="00DD3A46"/>
    <w:rsid w:val="00DD41E0"/>
    <w:rsid w:val="00DD6D17"/>
    <w:rsid w:val="00DE1176"/>
    <w:rsid w:val="00DE2689"/>
    <w:rsid w:val="00DE341B"/>
    <w:rsid w:val="00DE4D27"/>
    <w:rsid w:val="00DF0C30"/>
    <w:rsid w:val="00DF0E93"/>
    <w:rsid w:val="00DF1719"/>
    <w:rsid w:val="00DF1A71"/>
    <w:rsid w:val="00DF1FB4"/>
    <w:rsid w:val="00DF2E52"/>
    <w:rsid w:val="00DF2E5E"/>
    <w:rsid w:val="00DF43E5"/>
    <w:rsid w:val="00DF4964"/>
    <w:rsid w:val="00DF4E5F"/>
    <w:rsid w:val="00DF51E6"/>
    <w:rsid w:val="00DF5941"/>
    <w:rsid w:val="00DF5BC5"/>
    <w:rsid w:val="00DF66E6"/>
    <w:rsid w:val="00E01449"/>
    <w:rsid w:val="00E01590"/>
    <w:rsid w:val="00E01706"/>
    <w:rsid w:val="00E017A7"/>
    <w:rsid w:val="00E03312"/>
    <w:rsid w:val="00E054F4"/>
    <w:rsid w:val="00E0576C"/>
    <w:rsid w:val="00E07501"/>
    <w:rsid w:val="00E07FB0"/>
    <w:rsid w:val="00E10AA0"/>
    <w:rsid w:val="00E127AD"/>
    <w:rsid w:val="00E12F6A"/>
    <w:rsid w:val="00E14A0D"/>
    <w:rsid w:val="00E14EE4"/>
    <w:rsid w:val="00E15316"/>
    <w:rsid w:val="00E1591D"/>
    <w:rsid w:val="00E160CD"/>
    <w:rsid w:val="00E162CE"/>
    <w:rsid w:val="00E16656"/>
    <w:rsid w:val="00E1673E"/>
    <w:rsid w:val="00E16826"/>
    <w:rsid w:val="00E1797D"/>
    <w:rsid w:val="00E20980"/>
    <w:rsid w:val="00E20BA0"/>
    <w:rsid w:val="00E20D94"/>
    <w:rsid w:val="00E2239D"/>
    <w:rsid w:val="00E229C0"/>
    <w:rsid w:val="00E23842"/>
    <w:rsid w:val="00E25180"/>
    <w:rsid w:val="00E2606F"/>
    <w:rsid w:val="00E30DE3"/>
    <w:rsid w:val="00E31D59"/>
    <w:rsid w:val="00E32425"/>
    <w:rsid w:val="00E32D0A"/>
    <w:rsid w:val="00E3524E"/>
    <w:rsid w:val="00E37E1E"/>
    <w:rsid w:val="00E41600"/>
    <w:rsid w:val="00E41C95"/>
    <w:rsid w:val="00E440FB"/>
    <w:rsid w:val="00E4495C"/>
    <w:rsid w:val="00E44C1A"/>
    <w:rsid w:val="00E47E73"/>
    <w:rsid w:val="00E50440"/>
    <w:rsid w:val="00E52EFC"/>
    <w:rsid w:val="00E53F3A"/>
    <w:rsid w:val="00E544EF"/>
    <w:rsid w:val="00E5454D"/>
    <w:rsid w:val="00E54831"/>
    <w:rsid w:val="00E56229"/>
    <w:rsid w:val="00E56A33"/>
    <w:rsid w:val="00E6000E"/>
    <w:rsid w:val="00E60202"/>
    <w:rsid w:val="00E60EDD"/>
    <w:rsid w:val="00E61A42"/>
    <w:rsid w:val="00E623A9"/>
    <w:rsid w:val="00E632E9"/>
    <w:rsid w:val="00E63DE7"/>
    <w:rsid w:val="00E64745"/>
    <w:rsid w:val="00E679A9"/>
    <w:rsid w:val="00E726A0"/>
    <w:rsid w:val="00E734E3"/>
    <w:rsid w:val="00E73BC1"/>
    <w:rsid w:val="00E73D1B"/>
    <w:rsid w:val="00E73EEA"/>
    <w:rsid w:val="00E753E1"/>
    <w:rsid w:val="00E7545A"/>
    <w:rsid w:val="00E7594A"/>
    <w:rsid w:val="00E76332"/>
    <w:rsid w:val="00E7733A"/>
    <w:rsid w:val="00E77958"/>
    <w:rsid w:val="00E809B4"/>
    <w:rsid w:val="00E8396B"/>
    <w:rsid w:val="00E8470C"/>
    <w:rsid w:val="00E86B99"/>
    <w:rsid w:val="00E87A4A"/>
    <w:rsid w:val="00E905A3"/>
    <w:rsid w:val="00E90D8F"/>
    <w:rsid w:val="00E9205B"/>
    <w:rsid w:val="00E93302"/>
    <w:rsid w:val="00E958AA"/>
    <w:rsid w:val="00E9658B"/>
    <w:rsid w:val="00E972AE"/>
    <w:rsid w:val="00E97349"/>
    <w:rsid w:val="00EA1228"/>
    <w:rsid w:val="00EA16D8"/>
    <w:rsid w:val="00EA218B"/>
    <w:rsid w:val="00EA273D"/>
    <w:rsid w:val="00EA2F75"/>
    <w:rsid w:val="00EA496F"/>
    <w:rsid w:val="00EA539E"/>
    <w:rsid w:val="00EA5BF5"/>
    <w:rsid w:val="00EA68B6"/>
    <w:rsid w:val="00EA6B58"/>
    <w:rsid w:val="00EA715B"/>
    <w:rsid w:val="00EB51A5"/>
    <w:rsid w:val="00EB5652"/>
    <w:rsid w:val="00EB57B3"/>
    <w:rsid w:val="00EB5D17"/>
    <w:rsid w:val="00EB6B2C"/>
    <w:rsid w:val="00EB6BBA"/>
    <w:rsid w:val="00EC18D3"/>
    <w:rsid w:val="00EC1C3A"/>
    <w:rsid w:val="00EC4077"/>
    <w:rsid w:val="00EC4AFB"/>
    <w:rsid w:val="00EC5690"/>
    <w:rsid w:val="00EC70C3"/>
    <w:rsid w:val="00EC7777"/>
    <w:rsid w:val="00ED1DBD"/>
    <w:rsid w:val="00ED49E7"/>
    <w:rsid w:val="00ED4A49"/>
    <w:rsid w:val="00ED5EDA"/>
    <w:rsid w:val="00EE43EC"/>
    <w:rsid w:val="00EE4695"/>
    <w:rsid w:val="00EE4D04"/>
    <w:rsid w:val="00EE5E86"/>
    <w:rsid w:val="00EE6624"/>
    <w:rsid w:val="00EF15AA"/>
    <w:rsid w:val="00EF206A"/>
    <w:rsid w:val="00EF355F"/>
    <w:rsid w:val="00EF50B0"/>
    <w:rsid w:val="00EF6D70"/>
    <w:rsid w:val="00EF7ED3"/>
    <w:rsid w:val="00F018AE"/>
    <w:rsid w:val="00F03211"/>
    <w:rsid w:val="00F03444"/>
    <w:rsid w:val="00F03F6C"/>
    <w:rsid w:val="00F04DDC"/>
    <w:rsid w:val="00F074F0"/>
    <w:rsid w:val="00F137E3"/>
    <w:rsid w:val="00F14C91"/>
    <w:rsid w:val="00F20B49"/>
    <w:rsid w:val="00F20BC4"/>
    <w:rsid w:val="00F2213A"/>
    <w:rsid w:val="00F2255E"/>
    <w:rsid w:val="00F260F6"/>
    <w:rsid w:val="00F2754D"/>
    <w:rsid w:val="00F30C99"/>
    <w:rsid w:val="00F32F11"/>
    <w:rsid w:val="00F33BF6"/>
    <w:rsid w:val="00F34541"/>
    <w:rsid w:val="00F34BE4"/>
    <w:rsid w:val="00F35643"/>
    <w:rsid w:val="00F36511"/>
    <w:rsid w:val="00F36D6B"/>
    <w:rsid w:val="00F3715A"/>
    <w:rsid w:val="00F37C42"/>
    <w:rsid w:val="00F4130A"/>
    <w:rsid w:val="00F4139E"/>
    <w:rsid w:val="00F436F9"/>
    <w:rsid w:val="00F4409D"/>
    <w:rsid w:val="00F44329"/>
    <w:rsid w:val="00F45B74"/>
    <w:rsid w:val="00F47487"/>
    <w:rsid w:val="00F508C1"/>
    <w:rsid w:val="00F5369F"/>
    <w:rsid w:val="00F56481"/>
    <w:rsid w:val="00F56C1D"/>
    <w:rsid w:val="00F56C3C"/>
    <w:rsid w:val="00F57795"/>
    <w:rsid w:val="00F60BA3"/>
    <w:rsid w:val="00F6154F"/>
    <w:rsid w:val="00F618EC"/>
    <w:rsid w:val="00F61C2B"/>
    <w:rsid w:val="00F65449"/>
    <w:rsid w:val="00F65E5D"/>
    <w:rsid w:val="00F66D3C"/>
    <w:rsid w:val="00F717E1"/>
    <w:rsid w:val="00F71869"/>
    <w:rsid w:val="00F71EFD"/>
    <w:rsid w:val="00F7206A"/>
    <w:rsid w:val="00F73D4B"/>
    <w:rsid w:val="00F756AC"/>
    <w:rsid w:val="00F7737B"/>
    <w:rsid w:val="00F775B9"/>
    <w:rsid w:val="00F80C31"/>
    <w:rsid w:val="00F80E72"/>
    <w:rsid w:val="00F81334"/>
    <w:rsid w:val="00F84DFB"/>
    <w:rsid w:val="00F84F2A"/>
    <w:rsid w:val="00F852AD"/>
    <w:rsid w:val="00F8535F"/>
    <w:rsid w:val="00F8655F"/>
    <w:rsid w:val="00F866CF"/>
    <w:rsid w:val="00F902AA"/>
    <w:rsid w:val="00F9050B"/>
    <w:rsid w:val="00F91616"/>
    <w:rsid w:val="00F95914"/>
    <w:rsid w:val="00F963E8"/>
    <w:rsid w:val="00F9652C"/>
    <w:rsid w:val="00FA00CC"/>
    <w:rsid w:val="00FA0486"/>
    <w:rsid w:val="00FA06FE"/>
    <w:rsid w:val="00FA15F1"/>
    <w:rsid w:val="00FA27F8"/>
    <w:rsid w:val="00FA293B"/>
    <w:rsid w:val="00FA2B0B"/>
    <w:rsid w:val="00FB0C68"/>
    <w:rsid w:val="00FB102C"/>
    <w:rsid w:val="00FB129C"/>
    <w:rsid w:val="00FB2294"/>
    <w:rsid w:val="00FB2535"/>
    <w:rsid w:val="00FB3526"/>
    <w:rsid w:val="00FB3A38"/>
    <w:rsid w:val="00FB471E"/>
    <w:rsid w:val="00FB5361"/>
    <w:rsid w:val="00FB639A"/>
    <w:rsid w:val="00FB65F7"/>
    <w:rsid w:val="00FB7687"/>
    <w:rsid w:val="00FC0354"/>
    <w:rsid w:val="00FC061F"/>
    <w:rsid w:val="00FC269C"/>
    <w:rsid w:val="00FC2C9C"/>
    <w:rsid w:val="00FC3487"/>
    <w:rsid w:val="00FC3F34"/>
    <w:rsid w:val="00FC443C"/>
    <w:rsid w:val="00FC485F"/>
    <w:rsid w:val="00FC4D15"/>
    <w:rsid w:val="00FC6D57"/>
    <w:rsid w:val="00FC779F"/>
    <w:rsid w:val="00FD5008"/>
    <w:rsid w:val="00FD6E74"/>
    <w:rsid w:val="00FD70CA"/>
    <w:rsid w:val="00FD7E5E"/>
    <w:rsid w:val="00FE0D91"/>
    <w:rsid w:val="00FE1996"/>
    <w:rsid w:val="00FE2153"/>
    <w:rsid w:val="00FE2EC5"/>
    <w:rsid w:val="00FE3479"/>
    <w:rsid w:val="00FE389F"/>
    <w:rsid w:val="00FE3B46"/>
    <w:rsid w:val="00FE51BA"/>
    <w:rsid w:val="00FE7D31"/>
    <w:rsid w:val="00FF04AA"/>
    <w:rsid w:val="00FF0E0D"/>
    <w:rsid w:val="00FF1C43"/>
    <w:rsid w:val="00FF1C63"/>
    <w:rsid w:val="00FF1DA7"/>
    <w:rsid w:val="00FF21D4"/>
    <w:rsid w:val="00FF3F5E"/>
    <w:rsid w:val="00FF403F"/>
    <w:rsid w:val="00FF4392"/>
    <w:rsid w:val="00FF494C"/>
    <w:rsid w:val="00FF4B0A"/>
    <w:rsid w:val="5FC84D5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7"/>
    <w:qFormat/>
    <w:uiPriority w:val="0"/>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28"/>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33"/>
    <w:semiHidden/>
    <w:unhideWhenUsed/>
    <w:qFormat/>
    <w:uiPriority w:val="9"/>
    <w:pPr>
      <w:keepNext/>
      <w:keepLines/>
      <w:spacing w:before="260" w:after="260" w:line="416" w:lineRule="auto"/>
      <w:outlineLvl w:val="2"/>
    </w:pPr>
    <w:rPr>
      <w:b/>
      <w:bCs/>
      <w:sz w:val="32"/>
      <w:szCs w:val="32"/>
    </w:rPr>
  </w:style>
  <w:style w:type="character" w:default="1" w:styleId="23">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5">
    <w:name w:val="toc 7"/>
    <w:basedOn w:val="1"/>
    <w:next w:val="1"/>
    <w:unhideWhenUsed/>
    <w:qFormat/>
    <w:uiPriority w:val="39"/>
    <w:pPr>
      <w:ind w:left="1260"/>
      <w:jc w:val="left"/>
    </w:pPr>
    <w:rPr>
      <w:rFonts w:cstheme="minorHAnsi"/>
      <w:sz w:val="18"/>
      <w:szCs w:val="18"/>
    </w:rPr>
  </w:style>
  <w:style w:type="paragraph" w:styleId="6">
    <w:name w:val="Document Map"/>
    <w:basedOn w:val="1"/>
    <w:link w:val="31"/>
    <w:semiHidden/>
    <w:unhideWhenUsed/>
    <w:qFormat/>
    <w:uiPriority w:val="99"/>
    <w:rPr>
      <w:rFonts w:ascii="宋体" w:eastAsia="宋体"/>
      <w:sz w:val="18"/>
      <w:szCs w:val="18"/>
    </w:rPr>
  </w:style>
  <w:style w:type="paragraph" w:styleId="7">
    <w:name w:val="Body Text"/>
    <w:basedOn w:val="1"/>
    <w:link w:val="25"/>
    <w:qFormat/>
    <w:uiPriority w:val="0"/>
    <w:pPr>
      <w:spacing w:after="120"/>
    </w:pPr>
    <w:rPr>
      <w:rFonts w:ascii="Times New Roman" w:hAnsi="Times New Roman" w:eastAsia="宋体" w:cs="Times New Roman"/>
      <w:szCs w:val="24"/>
    </w:rPr>
  </w:style>
  <w:style w:type="paragraph" w:styleId="8">
    <w:name w:val="Body Text Indent"/>
    <w:basedOn w:val="1"/>
    <w:link w:val="26"/>
    <w:unhideWhenUsed/>
    <w:qFormat/>
    <w:uiPriority w:val="99"/>
    <w:pPr>
      <w:spacing w:after="120"/>
      <w:ind w:left="420" w:leftChars="200"/>
    </w:pPr>
  </w:style>
  <w:style w:type="paragraph" w:styleId="9">
    <w:name w:val="toc 5"/>
    <w:basedOn w:val="1"/>
    <w:next w:val="1"/>
    <w:unhideWhenUsed/>
    <w:qFormat/>
    <w:uiPriority w:val="39"/>
    <w:pPr>
      <w:ind w:left="840"/>
      <w:jc w:val="left"/>
    </w:pPr>
    <w:rPr>
      <w:rFonts w:cstheme="minorHAnsi"/>
      <w:sz w:val="18"/>
      <w:szCs w:val="18"/>
    </w:rPr>
  </w:style>
  <w:style w:type="paragraph" w:styleId="10">
    <w:name w:val="toc 3"/>
    <w:basedOn w:val="1"/>
    <w:next w:val="1"/>
    <w:unhideWhenUsed/>
    <w:qFormat/>
    <w:uiPriority w:val="39"/>
    <w:pPr>
      <w:ind w:left="420"/>
      <w:jc w:val="left"/>
    </w:pPr>
    <w:rPr>
      <w:rFonts w:cstheme="minorHAnsi"/>
      <w:i/>
      <w:iCs/>
      <w:sz w:val="20"/>
      <w:szCs w:val="20"/>
    </w:rPr>
  </w:style>
  <w:style w:type="paragraph" w:styleId="11">
    <w:name w:val="toc 8"/>
    <w:basedOn w:val="1"/>
    <w:next w:val="1"/>
    <w:unhideWhenUsed/>
    <w:qFormat/>
    <w:uiPriority w:val="39"/>
    <w:pPr>
      <w:ind w:left="1470"/>
      <w:jc w:val="left"/>
    </w:pPr>
    <w:rPr>
      <w:rFonts w:cstheme="minorHAnsi"/>
      <w:sz w:val="18"/>
      <w:szCs w:val="18"/>
    </w:rPr>
  </w:style>
  <w:style w:type="paragraph" w:styleId="12">
    <w:name w:val="footer"/>
    <w:basedOn w:val="1"/>
    <w:link w:val="30"/>
    <w:unhideWhenUsed/>
    <w:qFormat/>
    <w:uiPriority w:val="99"/>
    <w:pPr>
      <w:tabs>
        <w:tab w:val="center" w:pos="4153"/>
        <w:tab w:val="right" w:pos="8306"/>
      </w:tabs>
      <w:snapToGrid w:val="0"/>
      <w:jc w:val="left"/>
    </w:pPr>
    <w:rPr>
      <w:sz w:val="18"/>
      <w:szCs w:val="18"/>
    </w:rPr>
  </w:style>
  <w:style w:type="paragraph" w:styleId="13">
    <w:name w:val="header"/>
    <w:basedOn w:val="1"/>
    <w:link w:val="29"/>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39"/>
    <w:pPr>
      <w:spacing w:before="120" w:after="120"/>
      <w:jc w:val="left"/>
    </w:pPr>
    <w:rPr>
      <w:rFonts w:cstheme="minorHAnsi"/>
      <w:b/>
      <w:bCs/>
      <w:caps/>
      <w:sz w:val="20"/>
      <w:szCs w:val="20"/>
    </w:rPr>
  </w:style>
  <w:style w:type="paragraph" w:styleId="15">
    <w:name w:val="toc 4"/>
    <w:basedOn w:val="1"/>
    <w:next w:val="1"/>
    <w:unhideWhenUsed/>
    <w:qFormat/>
    <w:uiPriority w:val="39"/>
    <w:pPr>
      <w:ind w:left="630"/>
      <w:jc w:val="left"/>
    </w:pPr>
    <w:rPr>
      <w:rFonts w:cstheme="minorHAnsi"/>
      <w:sz w:val="18"/>
      <w:szCs w:val="18"/>
    </w:rPr>
  </w:style>
  <w:style w:type="paragraph" w:styleId="16">
    <w:name w:val="toc 6"/>
    <w:basedOn w:val="1"/>
    <w:next w:val="1"/>
    <w:unhideWhenUsed/>
    <w:qFormat/>
    <w:uiPriority w:val="39"/>
    <w:pPr>
      <w:ind w:left="1050"/>
      <w:jc w:val="left"/>
    </w:pPr>
    <w:rPr>
      <w:rFonts w:cstheme="minorHAnsi"/>
      <w:sz w:val="18"/>
      <w:szCs w:val="18"/>
    </w:rPr>
  </w:style>
  <w:style w:type="paragraph" w:styleId="17">
    <w:name w:val="toc 2"/>
    <w:basedOn w:val="1"/>
    <w:next w:val="1"/>
    <w:qFormat/>
    <w:uiPriority w:val="39"/>
    <w:pPr>
      <w:ind w:left="210"/>
      <w:jc w:val="left"/>
    </w:pPr>
    <w:rPr>
      <w:rFonts w:cstheme="minorHAnsi"/>
      <w:smallCaps/>
      <w:sz w:val="20"/>
      <w:szCs w:val="20"/>
    </w:rPr>
  </w:style>
  <w:style w:type="paragraph" w:styleId="18">
    <w:name w:val="toc 9"/>
    <w:basedOn w:val="1"/>
    <w:next w:val="1"/>
    <w:unhideWhenUsed/>
    <w:qFormat/>
    <w:uiPriority w:val="39"/>
    <w:pPr>
      <w:ind w:left="1680"/>
      <w:jc w:val="left"/>
    </w:pPr>
    <w:rPr>
      <w:rFonts w:cstheme="minorHAnsi"/>
      <w:sz w:val="18"/>
      <w:szCs w:val="18"/>
    </w:rPr>
  </w:style>
  <w:style w:type="paragraph" w:styleId="19">
    <w:name w:val="Normal (Web)"/>
    <w:basedOn w:val="1"/>
    <w:qFormat/>
    <w:uiPriority w:val="99"/>
    <w:pPr>
      <w:widowControl/>
      <w:spacing w:before="100" w:beforeAutospacing="1" w:after="100" w:afterAutospacing="1"/>
      <w:jc w:val="left"/>
    </w:pPr>
    <w:rPr>
      <w:rFonts w:ascii="宋体" w:hAnsi="宋体" w:eastAsia="宋体" w:cs="宋体"/>
      <w:color w:val="000000"/>
      <w:kern w:val="0"/>
      <w:sz w:val="20"/>
      <w:szCs w:val="20"/>
    </w:rPr>
  </w:style>
  <w:style w:type="paragraph" w:styleId="20">
    <w:name w:val="Title"/>
    <w:basedOn w:val="1"/>
    <w:next w:val="1"/>
    <w:link w:val="35"/>
    <w:qFormat/>
    <w:uiPriority w:val="10"/>
    <w:pPr>
      <w:spacing w:before="240" w:after="60" w:line="360" w:lineRule="auto"/>
      <w:ind w:firstLine="200" w:firstLineChars="200"/>
      <w:jc w:val="center"/>
      <w:outlineLvl w:val="0"/>
    </w:pPr>
    <w:rPr>
      <w:rFonts w:asciiTheme="majorHAnsi" w:hAnsiTheme="majorHAnsi" w:eastAsiaTheme="majorEastAsia" w:cstheme="majorBidi"/>
      <w:b/>
      <w:bCs/>
      <w:sz w:val="32"/>
      <w:szCs w:val="32"/>
    </w:rPr>
  </w:style>
  <w:style w:type="paragraph" w:styleId="21">
    <w:name w:val="Body Text First Indent 2"/>
    <w:basedOn w:val="8"/>
    <w:link w:val="37"/>
    <w:qFormat/>
    <w:uiPriority w:val="0"/>
    <w:pPr>
      <w:spacing w:line="360" w:lineRule="auto"/>
      <w:ind w:firstLine="420" w:firstLineChars="200"/>
    </w:pPr>
    <w:rPr>
      <w:rFonts w:ascii="Times New Roman" w:hAnsi="Times New Roman" w:eastAsia="宋体" w:cs="Times New Roman"/>
      <w:sz w:val="28"/>
      <w:szCs w:val="24"/>
    </w:rPr>
  </w:style>
  <w:style w:type="character" w:styleId="24">
    <w:name w:val="Hyperlink"/>
    <w:qFormat/>
    <w:uiPriority w:val="99"/>
    <w:rPr>
      <w:color w:val="0000FF"/>
      <w:u w:val="single"/>
    </w:rPr>
  </w:style>
  <w:style w:type="character" w:customStyle="1" w:styleId="25">
    <w:name w:val="正文文本 字符"/>
    <w:basedOn w:val="23"/>
    <w:link w:val="7"/>
    <w:qFormat/>
    <w:uiPriority w:val="0"/>
    <w:rPr>
      <w:rFonts w:ascii="Times New Roman" w:hAnsi="Times New Roman" w:eastAsia="宋体" w:cs="Times New Roman"/>
      <w:szCs w:val="24"/>
    </w:rPr>
  </w:style>
  <w:style w:type="character" w:customStyle="1" w:styleId="26">
    <w:name w:val="正文文本缩进 字符"/>
    <w:basedOn w:val="23"/>
    <w:link w:val="8"/>
    <w:qFormat/>
    <w:uiPriority w:val="99"/>
  </w:style>
  <w:style w:type="character" w:customStyle="1" w:styleId="27">
    <w:name w:val="标题 1 字符"/>
    <w:basedOn w:val="23"/>
    <w:link w:val="2"/>
    <w:qFormat/>
    <w:uiPriority w:val="0"/>
    <w:rPr>
      <w:rFonts w:ascii="Times New Roman" w:hAnsi="Times New Roman" w:eastAsia="宋体" w:cs="Times New Roman"/>
      <w:b/>
      <w:bCs/>
      <w:kern w:val="44"/>
      <w:sz w:val="44"/>
      <w:szCs w:val="44"/>
    </w:rPr>
  </w:style>
  <w:style w:type="character" w:customStyle="1" w:styleId="28">
    <w:name w:val="标题 2 字符"/>
    <w:basedOn w:val="23"/>
    <w:link w:val="3"/>
    <w:qFormat/>
    <w:uiPriority w:val="9"/>
    <w:rPr>
      <w:rFonts w:asciiTheme="majorHAnsi" w:hAnsiTheme="majorHAnsi" w:eastAsiaTheme="majorEastAsia" w:cstheme="majorBidi"/>
      <w:b/>
      <w:bCs/>
      <w:sz w:val="32"/>
      <w:szCs w:val="32"/>
    </w:rPr>
  </w:style>
  <w:style w:type="character" w:customStyle="1" w:styleId="29">
    <w:name w:val="页眉 字符"/>
    <w:basedOn w:val="23"/>
    <w:link w:val="13"/>
    <w:qFormat/>
    <w:uiPriority w:val="99"/>
    <w:rPr>
      <w:sz w:val="18"/>
      <w:szCs w:val="18"/>
    </w:rPr>
  </w:style>
  <w:style w:type="character" w:customStyle="1" w:styleId="30">
    <w:name w:val="页脚 字符"/>
    <w:basedOn w:val="23"/>
    <w:link w:val="12"/>
    <w:qFormat/>
    <w:uiPriority w:val="99"/>
    <w:rPr>
      <w:sz w:val="18"/>
      <w:szCs w:val="18"/>
    </w:rPr>
  </w:style>
  <w:style w:type="character" w:customStyle="1" w:styleId="31">
    <w:name w:val="文档结构图 字符"/>
    <w:basedOn w:val="23"/>
    <w:link w:val="6"/>
    <w:semiHidden/>
    <w:qFormat/>
    <w:uiPriority w:val="99"/>
    <w:rPr>
      <w:rFonts w:ascii="宋体" w:eastAsia="宋体"/>
      <w:sz w:val="18"/>
      <w:szCs w:val="18"/>
    </w:rPr>
  </w:style>
  <w:style w:type="paragraph" w:styleId="32">
    <w:name w:val="List Paragraph"/>
    <w:basedOn w:val="1"/>
    <w:qFormat/>
    <w:uiPriority w:val="34"/>
    <w:pPr>
      <w:ind w:firstLine="420" w:firstLineChars="200"/>
    </w:pPr>
  </w:style>
  <w:style w:type="character" w:customStyle="1" w:styleId="33">
    <w:name w:val="标题 3 字符"/>
    <w:basedOn w:val="23"/>
    <w:link w:val="4"/>
    <w:semiHidden/>
    <w:qFormat/>
    <w:uiPriority w:val="9"/>
    <w:rPr>
      <w:b/>
      <w:bCs/>
      <w:sz w:val="32"/>
      <w:szCs w:val="32"/>
    </w:rPr>
  </w:style>
  <w:style w:type="paragraph" w:customStyle="1" w:styleId="34">
    <w:name w:val="Normal_0"/>
    <w:qFormat/>
    <w:uiPriority w:val="0"/>
    <w:pPr>
      <w:spacing w:before="120" w:after="240"/>
      <w:jc w:val="both"/>
    </w:pPr>
    <w:rPr>
      <w:rFonts w:ascii="Calibri" w:hAnsi="Calibri" w:eastAsia="Calibri" w:cs="Times New Roman"/>
      <w:kern w:val="0"/>
      <w:sz w:val="22"/>
      <w:szCs w:val="22"/>
      <w:lang w:val="ru-RU" w:eastAsia="en-US" w:bidi="ar-SA"/>
    </w:rPr>
  </w:style>
  <w:style w:type="character" w:customStyle="1" w:styleId="35">
    <w:name w:val="标题 字符"/>
    <w:basedOn w:val="23"/>
    <w:link w:val="20"/>
    <w:qFormat/>
    <w:uiPriority w:val="10"/>
    <w:rPr>
      <w:rFonts w:asciiTheme="majorHAnsi" w:hAnsiTheme="majorHAnsi" w:eastAsiaTheme="majorEastAsia" w:cstheme="majorBidi"/>
      <w:b/>
      <w:bCs/>
      <w:sz w:val="32"/>
      <w:szCs w:val="32"/>
    </w:rPr>
  </w:style>
  <w:style w:type="paragraph" w:customStyle="1" w:styleId="36">
    <w:name w:val="Default"/>
    <w:qFormat/>
    <w:uiPriority w:val="0"/>
    <w:pPr>
      <w:widowControl w:val="0"/>
      <w:autoSpaceDE w:val="0"/>
      <w:autoSpaceDN w:val="0"/>
      <w:adjustRightInd w:val="0"/>
    </w:pPr>
    <w:rPr>
      <w:rFonts w:ascii="仿宋_GB2312" w:hAnsi="Calibri" w:eastAsia="仿宋_GB2312" w:cs="仿宋_GB2312"/>
      <w:color w:val="000000"/>
      <w:kern w:val="0"/>
      <w:sz w:val="24"/>
      <w:szCs w:val="24"/>
      <w:lang w:val="en-US" w:eastAsia="zh-CN" w:bidi="ar-SA"/>
    </w:rPr>
  </w:style>
  <w:style w:type="character" w:customStyle="1" w:styleId="37">
    <w:name w:val="正文文本首行缩进 2 字符"/>
    <w:basedOn w:val="26"/>
    <w:link w:val="21"/>
    <w:qFormat/>
    <w:uiPriority w:val="0"/>
    <w:rPr>
      <w:rFonts w:ascii="Times New Roman" w:hAnsi="Times New Roman" w:eastAsia="宋体" w:cs="Times New Roman"/>
      <w:sz w:val="28"/>
      <w:szCs w:val="24"/>
    </w:rPr>
  </w:style>
  <w:style w:type="character" w:customStyle="1" w:styleId="38">
    <w:name w:val="页眉 Char"/>
    <w:qFormat/>
    <w:uiPriority w:val="99"/>
    <w:rPr>
      <w:kern w:val="2"/>
      <w:sz w:val="18"/>
      <w:szCs w:val="18"/>
    </w:rPr>
  </w:style>
  <w:style w:type="character" w:customStyle="1" w:styleId="39">
    <w:name w:val="页脚 Char"/>
    <w:qFormat/>
    <w:uiPriority w:val="99"/>
    <w:rPr>
      <w:kern w:val="2"/>
      <w:sz w:val="18"/>
      <w:szCs w:val="18"/>
    </w:rPr>
  </w:style>
  <w:style w:type="character" w:customStyle="1" w:styleId="40">
    <w:name w:val="fontstyle01"/>
    <w:qFormat/>
    <w:uiPriority w:val="0"/>
    <w:rPr>
      <w:rFonts w:hint="eastAsia" w:ascii="仿宋_GB2312" w:eastAsia="仿宋_GB2312"/>
      <w:color w:val="000000"/>
      <w:sz w:val="32"/>
      <w:szCs w:val="32"/>
    </w:rPr>
  </w:style>
  <w:style w:type="character" w:customStyle="1" w:styleId="41">
    <w:name w:val="fontstyle21"/>
    <w:qFormat/>
    <w:uiPriority w:val="0"/>
    <w:rPr>
      <w:rFonts w:hint="eastAsia" w:ascii="宋体" w:hAnsi="宋体" w:eastAsia="宋体"/>
      <w:color w:val="000000"/>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F96169-4817-42A7-AC0B-D57996AF7172}">
  <ds:schemaRefs/>
</ds:datastoreItem>
</file>

<file path=docProps/app.xml><?xml version="1.0" encoding="utf-8"?>
<Properties xmlns="http://schemas.openxmlformats.org/officeDocument/2006/extended-properties" xmlns:vt="http://schemas.openxmlformats.org/officeDocument/2006/docPropsVTypes">
  <Template>Normal</Template>
  <Pages>48</Pages>
  <Words>17636</Words>
  <Characters>18628</Characters>
  <Lines>149</Lines>
  <Paragraphs>42</Paragraphs>
  <TotalTime>5339</TotalTime>
  <ScaleCrop>false</ScaleCrop>
  <LinksUpToDate>false</LinksUpToDate>
  <CharactersWithSpaces>18816</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2021-06-17T02:22:00Z</dcterms:created>
  <dc:creator>DELL</dc:creator>
  <cp:lastModifiedBy>纺巢</cp:lastModifiedBy>
  <cp:lastPrinted>2023-01-09T01:58:00Z</cp:lastPrinted>
  <dcterms:modified xsi:type="dcterms:W3CDTF">2023-05-08T09:25:24Z</dcterms:modified>
  <cp:revision>1487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2A97386E47854837B5E0E7869DECE8FF_12</vt:lpwstr>
  </property>
</Properties>
</file>